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F1D6467" w14:textId="77777777" w:rsidTr="00C97039">
        <w:trPr>
          <w:trHeight w:hRule="exact" w:val="851"/>
        </w:trPr>
        <w:tc>
          <w:tcPr>
            <w:tcW w:w="1276" w:type="dxa"/>
            <w:tcBorders>
              <w:bottom w:val="single" w:sz="4" w:space="0" w:color="auto"/>
            </w:tcBorders>
          </w:tcPr>
          <w:p w14:paraId="7164C4DC" w14:textId="77777777" w:rsidR="00F35BAF" w:rsidRPr="00DB58B5" w:rsidRDefault="00F35BAF" w:rsidP="002B7A37"/>
        </w:tc>
        <w:tc>
          <w:tcPr>
            <w:tcW w:w="2268" w:type="dxa"/>
            <w:tcBorders>
              <w:bottom w:val="single" w:sz="4" w:space="0" w:color="auto"/>
            </w:tcBorders>
            <w:vAlign w:val="bottom"/>
          </w:tcPr>
          <w:p w14:paraId="41E11DF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4751E3" w14:textId="2076BC0F" w:rsidR="00F35BAF" w:rsidRPr="00DB58B5" w:rsidRDefault="002B7A37" w:rsidP="002B7A37">
            <w:pPr>
              <w:jc w:val="right"/>
            </w:pPr>
            <w:r w:rsidRPr="002B7A37">
              <w:rPr>
                <w:sz w:val="40"/>
              </w:rPr>
              <w:t>ECE</w:t>
            </w:r>
            <w:r>
              <w:t>/TRANS/WP.29/GRSP/2021/21</w:t>
            </w:r>
          </w:p>
        </w:tc>
      </w:tr>
      <w:tr w:rsidR="00F35BAF" w:rsidRPr="00DB58B5" w14:paraId="22A40A4A" w14:textId="77777777" w:rsidTr="00C97039">
        <w:trPr>
          <w:trHeight w:hRule="exact" w:val="2835"/>
        </w:trPr>
        <w:tc>
          <w:tcPr>
            <w:tcW w:w="1276" w:type="dxa"/>
            <w:tcBorders>
              <w:top w:val="single" w:sz="4" w:space="0" w:color="auto"/>
              <w:bottom w:val="single" w:sz="12" w:space="0" w:color="auto"/>
            </w:tcBorders>
          </w:tcPr>
          <w:p w14:paraId="55A1B5D5" w14:textId="77777777" w:rsidR="00F35BAF" w:rsidRPr="00DB58B5" w:rsidRDefault="00F35BAF" w:rsidP="00C97039">
            <w:pPr>
              <w:spacing w:before="120"/>
              <w:jc w:val="center"/>
            </w:pPr>
            <w:r>
              <w:rPr>
                <w:noProof/>
                <w:lang w:eastAsia="fr-CH"/>
              </w:rPr>
              <w:drawing>
                <wp:inline distT="0" distB="0" distL="0" distR="0" wp14:anchorId="19E3C0C1" wp14:editId="516675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C9944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4BC41F3" w14:textId="77777777" w:rsidR="00F35BAF" w:rsidRDefault="002B7A37" w:rsidP="00C97039">
            <w:pPr>
              <w:spacing w:before="240"/>
            </w:pPr>
            <w:r>
              <w:t>Distr. générale</w:t>
            </w:r>
          </w:p>
          <w:p w14:paraId="69A150EC" w14:textId="77777777" w:rsidR="002B7A37" w:rsidRDefault="002B7A37" w:rsidP="002B7A37">
            <w:pPr>
              <w:spacing w:line="240" w:lineRule="exact"/>
            </w:pPr>
            <w:r>
              <w:t>20 septembre 2021</w:t>
            </w:r>
          </w:p>
          <w:p w14:paraId="11B61EA7" w14:textId="77777777" w:rsidR="002B7A37" w:rsidRDefault="002B7A37" w:rsidP="002B7A37">
            <w:pPr>
              <w:spacing w:line="240" w:lineRule="exact"/>
            </w:pPr>
            <w:r>
              <w:t>Français</w:t>
            </w:r>
          </w:p>
          <w:p w14:paraId="4B4B4BB4" w14:textId="4ED72500" w:rsidR="002B7A37" w:rsidRPr="00DB58B5" w:rsidRDefault="002B7A37" w:rsidP="002B7A37">
            <w:pPr>
              <w:spacing w:line="240" w:lineRule="exact"/>
            </w:pPr>
            <w:r>
              <w:t>Original : anglais</w:t>
            </w:r>
          </w:p>
        </w:tc>
      </w:tr>
    </w:tbl>
    <w:p w14:paraId="0A2B80D1" w14:textId="77777777" w:rsidR="007F20FA" w:rsidRPr="000312C0" w:rsidRDefault="007F20FA" w:rsidP="007F20FA">
      <w:pPr>
        <w:spacing w:before="120"/>
        <w:rPr>
          <w:b/>
          <w:sz w:val="28"/>
          <w:szCs w:val="28"/>
        </w:rPr>
      </w:pPr>
      <w:r w:rsidRPr="000312C0">
        <w:rPr>
          <w:b/>
          <w:sz w:val="28"/>
          <w:szCs w:val="28"/>
        </w:rPr>
        <w:t>Commission économique pour l’Europe</w:t>
      </w:r>
    </w:p>
    <w:p w14:paraId="41F993CA" w14:textId="77777777" w:rsidR="007F20FA" w:rsidRDefault="007F20FA" w:rsidP="007F20FA">
      <w:pPr>
        <w:spacing w:before="120"/>
        <w:rPr>
          <w:sz w:val="28"/>
          <w:szCs w:val="28"/>
        </w:rPr>
      </w:pPr>
      <w:r w:rsidRPr="00685843">
        <w:rPr>
          <w:sz w:val="28"/>
          <w:szCs w:val="28"/>
        </w:rPr>
        <w:t>Comité des transports intérieurs</w:t>
      </w:r>
    </w:p>
    <w:p w14:paraId="1840A99A" w14:textId="77777777" w:rsidR="002B7A37" w:rsidRDefault="002B7A3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3B73BC9" w14:textId="77777777" w:rsidR="002B7A37" w:rsidRDefault="002B7A37" w:rsidP="00257168">
      <w:pPr>
        <w:spacing w:before="120" w:after="120" w:line="240" w:lineRule="exact"/>
        <w:rPr>
          <w:b/>
        </w:rPr>
      </w:pPr>
      <w:r>
        <w:rPr>
          <w:b/>
        </w:rPr>
        <w:t>Groupe de travail de la sécurité passive</w:t>
      </w:r>
    </w:p>
    <w:p w14:paraId="2763AA08" w14:textId="77777777" w:rsidR="002B7A37" w:rsidRPr="009479FF" w:rsidRDefault="002B7A37" w:rsidP="002B7A37">
      <w:pPr>
        <w:spacing w:before="120"/>
        <w:rPr>
          <w:b/>
          <w:lang w:val="fr-FR"/>
        </w:rPr>
      </w:pPr>
      <w:r>
        <w:rPr>
          <w:b/>
          <w:bCs/>
          <w:lang w:val="fr-FR"/>
        </w:rPr>
        <w:t>Soixante-dixième session</w:t>
      </w:r>
      <w:r>
        <w:rPr>
          <w:lang w:val="fr-FR"/>
        </w:rPr>
        <w:t xml:space="preserve"> </w:t>
      </w:r>
    </w:p>
    <w:p w14:paraId="357ECD19" w14:textId="77777777" w:rsidR="002B7A37" w:rsidRPr="009479FF" w:rsidRDefault="002B7A37" w:rsidP="002B7A37">
      <w:pPr>
        <w:rPr>
          <w:bCs/>
          <w:lang w:val="fr-FR"/>
        </w:rPr>
      </w:pPr>
      <w:r>
        <w:rPr>
          <w:lang w:val="fr-FR"/>
        </w:rPr>
        <w:t>Genève, 6-10 décembre 2021</w:t>
      </w:r>
      <w:bookmarkStart w:id="0" w:name="_Hlk30413188"/>
      <w:bookmarkEnd w:id="0"/>
    </w:p>
    <w:p w14:paraId="5C8F09E7" w14:textId="77777777" w:rsidR="002B7A37" w:rsidRPr="009479FF" w:rsidRDefault="002B7A37" w:rsidP="002B7A37">
      <w:pPr>
        <w:rPr>
          <w:bCs/>
          <w:lang w:val="fr-FR"/>
        </w:rPr>
      </w:pPr>
      <w:r>
        <w:rPr>
          <w:lang w:val="fr-FR"/>
        </w:rPr>
        <w:t>Point 12 de l’ordre du jour provisoire</w:t>
      </w:r>
    </w:p>
    <w:p w14:paraId="767BCA3E" w14:textId="3B08E862" w:rsidR="002B7A37" w:rsidRPr="009479FF" w:rsidRDefault="002B7A37" w:rsidP="002B7A37">
      <w:pPr>
        <w:rPr>
          <w:b/>
          <w:lang w:val="fr-FR"/>
        </w:rPr>
      </w:pPr>
      <w:r>
        <w:rPr>
          <w:b/>
          <w:bCs/>
          <w:lang w:val="fr-FR"/>
        </w:rPr>
        <w:t xml:space="preserve">Règlement ONU </w:t>
      </w:r>
      <w:r w:rsidRPr="002B7A37">
        <w:rPr>
          <w:rFonts w:eastAsia="MS Mincho"/>
          <w:b/>
          <w:bCs/>
          <w:lang w:val="fr-FR"/>
        </w:rPr>
        <w:t>n</w:t>
      </w:r>
      <w:r w:rsidRPr="002B7A37">
        <w:rPr>
          <w:rFonts w:eastAsia="MS Mincho"/>
          <w:b/>
          <w:bCs/>
          <w:vertAlign w:val="superscript"/>
          <w:lang w:val="fr-FR"/>
        </w:rPr>
        <w:t>o</w:t>
      </w:r>
      <w:r>
        <w:rPr>
          <w:b/>
          <w:bCs/>
          <w:lang w:val="fr-FR"/>
        </w:rPr>
        <w:t xml:space="preserve"> 135 (Choc latéral contre un poteau)</w:t>
      </w:r>
    </w:p>
    <w:p w14:paraId="060A98E0" w14:textId="29B0282E" w:rsidR="002B7A37" w:rsidRPr="009479FF" w:rsidRDefault="002B7A37" w:rsidP="002B7A37">
      <w:pPr>
        <w:pStyle w:val="HChG"/>
        <w:rPr>
          <w:lang w:val="fr-FR"/>
        </w:rPr>
      </w:pPr>
      <w:r>
        <w:rPr>
          <w:lang w:val="fr-FR"/>
        </w:rPr>
        <w:tab/>
      </w:r>
      <w:r>
        <w:rPr>
          <w:lang w:val="fr-FR"/>
        </w:rPr>
        <w:tab/>
        <w:t xml:space="preserve">Proposition de série 02 d’amendements au Règlement </w:t>
      </w:r>
      <w:r>
        <w:rPr>
          <w:lang w:val="fr-FR"/>
        </w:rPr>
        <w:br/>
        <w:t xml:space="preserve">ONU </w:t>
      </w:r>
      <w:r w:rsidRPr="002B7A37">
        <w:rPr>
          <w:rFonts w:eastAsia="MS Mincho"/>
          <w:lang w:val="fr-FR"/>
        </w:rPr>
        <w:t>n</w:t>
      </w:r>
      <w:r w:rsidRPr="002B7A37">
        <w:rPr>
          <w:rFonts w:eastAsia="MS Mincho"/>
          <w:vertAlign w:val="superscript"/>
          <w:lang w:val="fr-FR"/>
        </w:rPr>
        <w:t>o</w:t>
      </w:r>
      <w:r>
        <w:rPr>
          <w:lang w:val="fr-FR"/>
        </w:rPr>
        <w:t xml:space="preserve"> 135 (Choc latéral contre un poteau)</w:t>
      </w:r>
    </w:p>
    <w:p w14:paraId="5F976FA9" w14:textId="6EB20019" w:rsidR="002B7A37" w:rsidRPr="009479FF" w:rsidRDefault="002B7A37" w:rsidP="002B7A37">
      <w:pPr>
        <w:pStyle w:val="H1G"/>
        <w:rPr>
          <w:lang w:val="fr-FR"/>
        </w:rPr>
      </w:pPr>
      <w:r>
        <w:rPr>
          <w:lang w:val="fr-FR"/>
        </w:rPr>
        <w:tab/>
      </w:r>
      <w:r>
        <w:rPr>
          <w:lang w:val="fr-FR"/>
        </w:rPr>
        <w:tab/>
        <w:t>Communication de l’expert des Pays-Bas</w:t>
      </w:r>
      <w:r w:rsidRPr="002B7A37">
        <w:rPr>
          <w:b w:val="0"/>
          <w:bCs/>
          <w:sz w:val="20"/>
          <w:lang w:val="fr-FR"/>
        </w:rPr>
        <w:footnoteReference w:customMarkFollows="1" w:id="2"/>
        <w:t>*</w:t>
      </w:r>
      <w:r>
        <w:rPr>
          <w:lang w:val="fr-FR"/>
        </w:rPr>
        <w:t xml:space="preserve"> </w:t>
      </w:r>
    </w:p>
    <w:p w14:paraId="4FA39FA1" w14:textId="2F947774" w:rsidR="002B7A37" w:rsidRPr="009479FF" w:rsidRDefault="002B7A37" w:rsidP="002B7A37">
      <w:pPr>
        <w:pStyle w:val="SingleTxtG"/>
        <w:ind w:firstLine="567"/>
        <w:rPr>
          <w:lang w:val="fr-FR"/>
        </w:rPr>
      </w:pPr>
      <w:r>
        <w:rPr>
          <w:lang w:val="fr-FR"/>
        </w:rPr>
        <w:t xml:space="preserve">Le texte ci-après, établi par l’expert des Pays-Bas, vise à introduire dans le Règlement ONU </w:t>
      </w:r>
      <w:r w:rsidRPr="002B7A37">
        <w:rPr>
          <w:rFonts w:eastAsia="MS Mincho"/>
          <w:lang w:val="fr-FR"/>
        </w:rPr>
        <w:t>n</w:t>
      </w:r>
      <w:r w:rsidRPr="002B7A37">
        <w:rPr>
          <w:rFonts w:eastAsia="MS Mincho"/>
          <w:vertAlign w:val="superscript"/>
          <w:lang w:val="fr-FR"/>
        </w:rPr>
        <w:t>o</w:t>
      </w:r>
      <w:r>
        <w:rPr>
          <w:lang w:val="fr-FR"/>
        </w:rPr>
        <w:t xml:space="preserve"> 135 des prescriptions relatives à la sécurité électrique à la suite d’un choc latéral contre un poteau. Il est fondé sur les documents informels GRSP-69-10 et GRSP-69-04, respectivement soumis par l’expert des Pays-Bas et l’expert de l’Association européenne des fournisseurs de l’automobile (CLEPA) au Groupe de travail de la sécurité passive (GRSP) à sa soixante-neuvième session. Les modifications qu’il est proposé d’apporter au texte actuel du Règlement ONU figurent en caractères gras pour les ajouts et biffés pour les suppressions.</w:t>
      </w:r>
    </w:p>
    <w:p w14:paraId="532FB948" w14:textId="77777777" w:rsidR="002B7A37" w:rsidRPr="009479FF" w:rsidRDefault="002B7A37" w:rsidP="002B7A37">
      <w:pPr>
        <w:suppressAutoHyphens w:val="0"/>
        <w:spacing w:line="240" w:lineRule="auto"/>
        <w:rPr>
          <w:lang w:val="fr-FR"/>
        </w:rPr>
      </w:pPr>
      <w:r w:rsidRPr="009479FF">
        <w:rPr>
          <w:lang w:val="fr-FR"/>
        </w:rPr>
        <w:br w:type="page"/>
      </w:r>
    </w:p>
    <w:p w14:paraId="68E3D82B" w14:textId="77777777" w:rsidR="002B7A37" w:rsidRPr="009479FF" w:rsidRDefault="002B7A37" w:rsidP="002B7A37">
      <w:pPr>
        <w:pStyle w:val="HChG"/>
        <w:rPr>
          <w:lang w:val="fr-FR"/>
        </w:rPr>
      </w:pPr>
      <w:r>
        <w:rPr>
          <w:lang w:val="fr-FR"/>
        </w:rPr>
        <w:lastRenderedPageBreak/>
        <w:tab/>
      </w:r>
      <w:r w:rsidRPr="00A404DA">
        <w:rPr>
          <w:lang w:val="fr-FR"/>
        </w:rPr>
        <w:t>I.</w:t>
      </w:r>
      <w:r w:rsidRPr="00A404DA">
        <w:rPr>
          <w:lang w:val="fr-FR"/>
        </w:rPr>
        <w:tab/>
        <w:t>Proposition</w:t>
      </w:r>
    </w:p>
    <w:p w14:paraId="07E8E1BC" w14:textId="7228B286" w:rsidR="002B7A37" w:rsidRPr="009479FF" w:rsidRDefault="002B7A37" w:rsidP="002B7A37">
      <w:pPr>
        <w:pStyle w:val="SingleTxtG"/>
        <w:ind w:left="2268" w:hanging="1134"/>
        <w:rPr>
          <w:lang w:val="fr-FR"/>
        </w:rPr>
      </w:pPr>
      <w:r>
        <w:rPr>
          <w:i/>
          <w:iCs/>
          <w:lang w:val="fr-FR"/>
        </w:rPr>
        <w:t>Table des matières</w:t>
      </w:r>
      <w:r>
        <w:rPr>
          <w:lang w:val="fr-FR"/>
        </w:rPr>
        <w:t>, lire :</w:t>
      </w:r>
    </w:p>
    <w:p w14:paraId="0C28A34B" w14:textId="712D3006" w:rsidR="002B7A37" w:rsidRDefault="002B7A37" w:rsidP="002B7A37">
      <w:pPr>
        <w:pStyle w:val="HChG"/>
        <w:rPr>
          <w:b w:val="0"/>
          <w:bCs/>
          <w:lang w:val="fr-FR"/>
        </w:rPr>
      </w:pPr>
      <w:bookmarkStart w:id="1" w:name="_Toc408307408"/>
      <w:r w:rsidRPr="002B7A37">
        <w:rPr>
          <w:b w:val="0"/>
          <w:bCs/>
          <w:sz w:val="20"/>
          <w:lang w:val="fr-FR"/>
        </w:rPr>
        <w:t>«</w:t>
      </w:r>
      <w:r>
        <w:rPr>
          <w:b w:val="0"/>
          <w:bCs/>
          <w:lang w:val="fr-FR"/>
        </w:rPr>
        <w:t> </w:t>
      </w:r>
      <w:r w:rsidRPr="00A404DA">
        <w:rPr>
          <w:b w:val="0"/>
          <w:bCs/>
          <w:lang w:val="fr-FR"/>
        </w:rPr>
        <w:t>Table des matières</w:t>
      </w:r>
      <w:bookmarkEnd w:id="1"/>
    </w:p>
    <w:p w14:paraId="0E0D3E5B" w14:textId="77777777" w:rsidR="002B7A37" w:rsidRPr="009479FF" w:rsidRDefault="002B7A37" w:rsidP="002B7A37">
      <w:pPr>
        <w:tabs>
          <w:tab w:val="right" w:pos="9638"/>
        </w:tabs>
        <w:spacing w:after="120"/>
        <w:ind w:left="283"/>
        <w:rPr>
          <w:i/>
          <w:sz w:val="18"/>
          <w:lang w:val="fr-FR"/>
        </w:rPr>
      </w:pPr>
      <w:r>
        <w:rPr>
          <w:lang w:val="fr-FR"/>
        </w:rPr>
        <w:tab/>
      </w:r>
      <w:r>
        <w:rPr>
          <w:i/>
          <w:iCs/>
          <w:lang w:val="fr-FR"/>
        </w:rPr>
        <w:t>Page</w:t>
      </w:r>
    </w:p>
    <w:p w14:paraId="2D1DCED3" w14:textId="77777777" w:rsidR="002B7A37" w:rsidRPr="009479FF" w:rsidRDefault="002B7A37" w:rsidP="002B7A37">
      <w:pPr>
        <w:tabs>
          <w:tab w:val="right" w:pos="850"/>
          <w:tab w:val="left" w:pos="1134"/>
          <w:tab w:val="left" w:pos="1559"/>
          <w:tab w:val="left" w:pos="1984"/>
          <w:tab w:val="left" w:leader="dot" w:pos="8929"/>
          <w:tab w:val="right" w:pos="9638"/>
        </w:tabs>
        <w:spacing w:after="120"/>
        <w:rPr>
          <w:lang w:val="fr-FR"/>
        </w:rPr>
      </w:pPr>
      <w:r>
        <w:rPr>
          <w:lang w:val="fr-FR"/>
        </w:rPr>
        <w:t>Règlement</w:t>
      </w:r>
    </w:p>
    <w:p w14:paraId="6B943D1B" w14:textId="26262AE2" w:rsidR="002B7A37" w:rsidRPr="009479FF" w:rsidRDefault="002B7A37" w:rsidP="002B7A37">
      <w:pPr>
        <w:tabs>
          <w:tab w:val="right" w:pos="850"/>
          <w:tab w:val="right" w:leader="dot" w:pos="8787"/>
          <w:tab w:val="right" w:pos="9638"/>
        </w:tabs>
        <w:spacing w:after="120"/>
        <w:ind w:left="1134" w:hanging="1134"/>
        <w:rPr>
          <w:lang w:val="fr-FR"/>
        </w:rPr>
      </w:pPr>
      <w:bookmarkStart w:id="2" w:name="_Hlk85452225"/>
      <w:r>
        <w:rPr>
          <w:lang w:val="fr-FR"/>
        </w:rPr>
        <w:tab/>
        <w:t>1.</w:t>
      </w:r>
      <w:r>
        <w:rPr>
          <w:lang w:val="fr-FR"/>
        </w:rPr>
        <w:tab/>
        <w:t>Champ d’application</w:t>
      </w:r>
      <w:r>
        <w:rPr>
          <w:lang w:val="fr-FR"/>
        </w:rPr>
        <w:tab/>
      </w:r>
      <w:r>
        <w:rPr>
          <w:lang w:val="fr-FR"/>
        </w:rPr>
        <w:tab/>
      </w:r>
      <w:r w:rsidRPr="002B7A37">
        <w:rPr>
          <w:webHidden/>
          <w:lang w:val="fr-FR"/>
        </w:rPr>
        <w:t>…</w:t>
      </w:r>
    </w:p>
    <w:p w14:paraId="30F92773" w14:textId="2147DF1E"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2.</w:t>
      </w:r>
      <w:r>
        <w:rPr>
          <w:lang w:val="fr-FR"/>
        </w:rPr>
        <w:tab/>
        <w:t>Définitions</w:t>
      </w:r>
      <w:r>
        <w:rPr>
          <w:lang w:val="fr-FR"/>
        </w:rPr>
        <w:tab/>
      </w:r>
      <w:r>
        <w:rPr>
          <w:lang w:val="fr-FR"/>
        </w:rPr>
        <w:tab/>
      </w:r>
      <w:r w:rsidRPr="002B7A37">
        <w:rPr>
          <w:webHidden/>
          <w:lang w:val="fr-FR"/>
        </w:rPr>
        <w:t>…</w:t>
      </w:r>
    </w:p>
    <w:p w14:paraId="616B3D51" w14:textId="5D475285"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3.</w:t>
      </w:r>
      <w:r>
        <w:rPr>
          <w:lang w:val="fr-FR"/>
        </w:rPr>
        <w:tab/>
        <w:t>Demande d’homologation</w:t>
      </w:r>
      <w:r>
        <w:rPr>
          <w:lang w:val="fr-FR"/>
        </w:rPr>
        <w:tab/>
      </w:r>
      <w:r>
        <w:rPr>
          <w:lang w:val="fr-FR"/>
        </w:rPr>
        <w:tab/>
      </w:r>
      <w:r w:rsidRPr="002B7A37">
        <w:rPr>
          <w:webHidden/>
          <w:lang w:val="fr-FR"/>
        </w:rPr>
        <w:t>…</w:t>
      </w:r>
    </w:p>
    <w:p w14:paraId="6A1C44C2" w14:textId="1435A33E"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4.</w:t>
      </w:r>
      <w:r>
        <w:rPr>
          <w:lang w:val="fr-FR"/>
        </w:rPr>
        <w:tab/>
        <w:t>Homologation</w:t>
      </w:r>
      <w:r>
        <w:rPr>
          <w:lang w:val="fr-FR"/>
        </w:rPr>
        <w:tab/>
      </w:r>
      <w:r>
        <w:rPr>
          <w:lang w:val="fr-FR"/>
        </w:rPr>
        <w:tab/>
      </w:r>
      <w:r w:rsidRPr="002B7A37">
        <w:rPr>
          <w:webHidden/>
          <w:lang w:val="fr-FR"/>
        </w:rPr>
        <w:t>…</w:t>
      </w:r>
    </w:p>
    <w:p w14:paraId="5986BBBD" w14:textId="68C43CB7"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5.</w:t>
      </w:r>
      <w:r>
        <w:rPr>
          <w:lang w:val="fr-FR"/>
        </w:rPr>
        <w:tab/>
        <w:t>Prescriptions</w:t>
      </w:r>
      <w:r>
        <w:rPr>
          <w:lang w:val="fr-FR"/>
        </w:rPr>
        <w:tab/>
      </w:r>
      <w:r>
        <w:rPr>
          <w:lang w:val="fr-FR"/>
        </w:rPr>
        <w:tab/>
      </w:r>
      <w:r w:rsidRPr="002B7A37">
        <w:rPr>
          <w:webHidden/>
          <w:lang w:val="fr-FR"/>
        </w:rPr>
        <w:t>…</w:t>
      </w:r>
    </w:p>
    <w:p w14:paraId="20DD25C4" w14:textId="4B5A255A"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6.</w:t>
      </w:r>
      <w:r>
        <w:rPr>
          <w:lang w:val="fr-FR"/>
        </w:rPr>
        <w:tab/>
        <w:t>Modification du type de véhicule et extension de l’homologation</w:t>
      </w:r>
      <w:r>
        <w:rPr>
          <w:lang w:val="fr-FR"/>
        </w:rPr>
        <w:tab/>
      </w:r>
      <w:r>
        <w:rPr>
          <w:lang w:val="fr-FR"/>
        </w:rPr>
        <w:tab/>
      </w:r>
      <w:r w:rsidRPr="002B7A37">
        <w:rPr>
          <w:webHidden/>
          <w:lang w:val="fr-FR"/>
        </w:rPr>
        <w:t>…</w:t>
      </w:r>
    </w:p>
    <w:p w14:paraId="5EFE9D74" w14:textId="5C57C49C"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7.</w:t>
      </w:r>
      <w:r>
        <w:rPr>
          <w:lang w:val="fr-FR"/>
        </w:rPr>
        <w:tab/>
        <w:t>Conformité de la production</w:t>
      </w:r>
      <w:r>
        <w:rPr>
          <w:lang w:val="fr-FR"/>
        </w:rPr>
        <w:tab/>
      </w:r>
      <w:r>
        <w:rPr>
          <w:lang w:val="fr-FR"/>
        </w:rPr>
        <w:tab/>
      </w:r>
      <w:r w:rsidRPr="002B7A37">
        <w:rPr>
          <w:webHidden/>
          <w:lang w:val="fr-FR"/>
        </w:rPr>
        <w:t>…</w:t>
      </w:r>
    </w:p>
    <w:p w14:paraId="68EB4F64" w14:textId="2E1E897D"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8.</w:t>
      </w:r>
      <w:r>
        <w:rPr>
          <w:lang w:val="fr-FR"/>
        </w:rPr>
        <w:tab/>
        <w:t>Sanctions pour non-conformité de la production</w:t>
      </w:r>
      <w:r>
        <w:rPr>
          <w:lang w:val="fr-FR"/>
        </w:rPr>
        <w:tab/>
      </w:r>
      <w:r>
        <w:rPr>
          <w:lang w:val="fr-FR"/>
        </w:rPr>
        <w:tab/>
      </w:r>
      <w:r w:rsidRPr="002B7A37">
        <w:rPr>
          <w:webHidden/>
          <w:lang w:val="fr-FR"/>
        </w:rPr>
        <w:t>…</w:t>
      </w:r>
    </w:p>
    <w:p w14:paraId="2651B0E2" w14:textId="648D3AB4"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9.</w:t>
      </w:r>
      <w:r>
        <w:rPr>
          <w:lang w:val="fr-FR"/>
        </w:rPr>
        <w:tab/>
        <w:t>Arrêt définitif de la production</w:t>
      </w:r>
      <w:r>
        <w:rPr>
          <w:lang w:val="fr-FR"/>
        </w:rPr>
        <w:tab/>
      </w:r>
      <w:r>
        <w:rPr>
          <w:lang w:val="fr-FR"/>
        </w:rPr>
        <w:tab/>
      </w:r>
      <w:r w:rsidRPr="002B7A37">
        <w:rPr>
          <w:webHidden/>
          <w:lang w:val="fr-FR"/>
        </w:rPr>
        <w:t>…</w:t>
      </w:r>
    </w:p>
    <w:p w14:paraId="26FB83C1" w14:textId="1911F15F" w:rsidR="002B7A37" w:rsidRPr="002B7A37" w:rsidRDefault="002B7A37" w:rsidP="002B7A37">
      <w:pPr>
        <w:tabs>
          <w:tab w:val="right" w:pos="850"/>
          <w:tab w:val="right" w:leader="dot" w:pos="8787"/>
          <w:tab w:val="right" w:pos="9638"/>
        </w:tabs>
        <w:spacing w:after="120"/>
        <w:ind w:left="1134" w:hanging="1134"/>
        <w:rPr>
          <w:rStyle w:val="Lienhypertexte"/>
          <w:color w:val="auto"/>
          <w:lang w:val="fr-FR"/>
        </w:rPr>
      </w:pPr>
      <w:r>
        <w:rPr>
          <w:lang w:val="fr-FR"/>
        </w:rPr>
        <w:tab/>
        <w:t>10.</w:t>
      </w:r>
      <w:r>
        <w:rPr>
          <w:lang w:val="fr-FR"/>
        </w:rPr>
        <w:tab/>
        <w:t>Noms et adresses des services techniques chargés des essais d’homologation et des autorités d’homologation de type</w:t>
      </w:r>
      <w:r>
        <w:rPr>
          <w:lang w:val="fr-FR"/>
        </w:rPr>
        <w:tab/>
      </w:r>
      <w:r>
        <w:rPr>
          <w:lang w:val="fr-FR"/>
        </w:rPr>
        <w:tab/>
      </w:r>
      <w:r w:rsidRPr="002B7A37">
        <w:rPr>
          <w:webHidden/>
          <w:lang w:val="fr-FR"/>
        </w:rPr>
        <w:t>…</w:t>
      </w:r>
    </w:p>
    <w:p w14:paraId="19FA38B1" w14:textId="55DE2A8D" w:rsidR="002B7A37" w:rsidRPr="008849D2" w:rsidRDefault="002B7A37" w:rsidP="002B7A37">
      <w:pPr>
        <w:tabs>
          <w:tab w:val="right" w:pos="850"/>
          <w:tab w:val="right" w:leader="dot" w:pos="8787"/>
          <w:tab w:val="right" w:pos="9638"/>
        </w:tabs>
        <w:spacing w:after="120"/>
        <w:ind w:left="1134" w:hanging="1134"/>
        <w:rPr>
          <w:b/>
          <w:bCs/>
          <w:lang w:val="fr-FR"/>
        </w:rPr>
      </w:pPr>
      <w:r>
        <w:rPr>
          <w:b/>
          <w:bCs/>
          <w:lang w:val="fr-FR"/>
        </w:rPr>
        <w:tab/>
        <w:t>11.</w:t>
      </w:r>
      <w:r>
        <w:rPr>
          <w:lang w:val="fr-FR"/>
        </w:rPr>
        <w:tab/>
      </w:r>
      <w:r>
        <w:rPr>
          <w:b/>
          <w:bCs/>
          <w:lang w:val="fr-FR"/>
        </w:rPr>
        <w:t>Dispositions transitoires</w:t>
      </w:r>
      <w:r w:rsidRPr="008849D2">
        <w:rPr>
          <w:b/>
          <w:bCs/>
          <w:lang w:val="fr-FR"/>
        </w:rPr>
        <w:tab/>
      </w:r>
      <w:r>
        <w:rPr>
          <w:lang w:val="fr-FR"/>
        </w:rPr>
        <w:tab/>
      </w:r>
      <w:r w:rsidRPr="008849D2">
        <w:rPr>
          <w:b/>
          <w:bCs/>
          <w:lang w:val="fr-FR"/>
        </w:rPr>
        <w:t>…</w:t>
      </w:r>
    </w:p>
    <w:p w14:paraId="2F5D8CE8" w14:textId="1379CC43" w:rsidR="002B7A37" w:rsidRPr="009479FF" w:rsidRDefault="002B7A37" w:rsidP="002B7A37">
      <w:pPr>
        <w:tabs>
          <w:tab w:val="right" w:pos="850"/>
        </w:tabs>
        <w:spacing w:after="120"/>
        <w:rPr>
          <w:lang w:val="fr-FR"/>
        </w:rPr>
      </w:pPr>
      <w:r>
        <w:tab/>
      </w:r>
      <w:hyperlink w:anchor="_Toc408307419" w:history="1">
        <w:r w:rsidRPr="009479FF">
          <w:rPr>
            <w:lang w:val="fr-FR"/>
          </w:rPr>
          <w:t>Annexes</w:t>
        </w:r>
      </w:hyperlink>
    </w:p>
    <w:p w14:paraId="32F3795F" w14:textId="5114D778"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1</w:t>
      </w:r>
      <w:r>
        <w:rPr>
          <w:lang w:val="fr-FR"/>
        </w:rPr>
        <w:tab/>
        <w:t>Communication</w:t>
      </w:r>
      <w:r>
        <w:rPr>
          <w:lang w:val="fr-FR"/>
        </w:rPr>
        <w:tab/>
      </w:r>
      <w:r>
        <w:rPr>
          <w:lang w:val="fr-FR"/>
        </w:rPr>
        <w:tab/>
      </w:r>
      <w:r w:rsidR="008849D2" w:rsidRPr="008849D2">
        <w:rPr>
          <w:webHidden/>
          <w:lang w:val="fr-FR"/>
        </w:rPr>
        <w:t>…</w:t>
      </w:r>
    </w:p>
    <w:p w14:paraId="41840A3A" w14:textId="2DC0339A"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2</w:t>
      </w:r>
      <w:r>
        <w:rPr>
          <w:lang w:val="fr-FR"/>
        </w:rPr>
        <w:tab/>
        <w:t>Exemple de marque d’homologation</w:t>
      </w:r>
      <w:r>
        <w:rPr>
          <w:lang w:val="fr-FR"/>
        </w:rPr>
        <w:tab/>
      </w:r>
      <w:r>
        <w:rPr>
          <w:lang w:val="fr-FR"/>
        </w:rPr>
        <w:tab/>
      </w:r>
      <w:r w:rsidR="008849D2" w:rsidRPr="008849D2">
        <w:rPr>
          <w:webHidden/>
          <w:lang w:val="fr-FR"/>
        </w:rPr>
        <w:t>…</w:t>
      </w:r>
    </w:p>
    <w:p w14:paraId="01892F50" w14:textId="41885D2F"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3</w:t>
      </w:r>
      <w:r>
        <w:rPr>
          <w:lang w:val="fr-FR"/>
        </w:rPr>
        <w:tab/>
        <w:t>Procédure de l’essai dynamique de choc latéral contre un poteau</w:t>
      </w:r>
      <w:r>
        <w:rPr>
          <w:lang w:val="fr-FR"/>
        </w:rPr>
        <w:tab/>
      </w:r>
      <w:r>
        <w:rPr>
          <w:lang w:val="fr-FR"/>
        </w:rPr>
        <w:tab/>
      </w:r>
      <w:r w:rsidR="008849D2" w:rsidRPr="008849D2">
        <w:rPr>
          <w:webHidden/>
          <w:lang w:val="fr-FR"/>
        </w:rPr>
        <w:t>…</w:t>
      </w:r>
    </w:p>
    <w:p w14:paraId="06E8B42F" w14:textId="276B9D6E"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4</w:t>
      </w:r>
      <w:r>
        <w:rPr>
          <w:lang w:val="fr-FR"/>
        </w:rPr>
        <w:tab/>
        <w:t xml:space="preserve">Prescriptions relatives au réglage des sièges et à l’installation du mannequin WorldSID homme </w:t>
      </w:r>
      <w:r>
        <w:rPr>
          <w:lang w:val="fr-FR"/>
        </w:rPr>
        <w:br/>
        <w:t>du 50</w:t>
      </w:r>
      <w:r w:rsidRPr="002B7A37">
        <w:rPr>
          <w:vertAlign w:val="superscript"/>
          <w:lang w:val="fr-FR"/>
        </w:rPr>
        <w:t>e</w:t>
      </w:r>
      <w:r>
        <w:rPr>
          <w:lang w:val="fr-FR"/>
        </w:rPr>
        <w:t xml:space="preserve"> centile</w:t>
      </w:r>
      <w:r>
        <w:rPr>
          <w:lang w:val="fr-FR"/>
        </w:rPr>
        <w:tab/>
      </w:r>
      <w:r>
        <w:rPr>
          <w:lang w:val="fr-FR"/>
        </w:rPr>
        <w:tab/>
      </w:r>
      <w:r w:rsidR="008849D2" w:rsidRPr="008849D2">
        <w:rPr>
          <w:webHidden/>
          <w:lang w:val="fr-FR"/>
        </w:rPr>
        <w:t>…</w:t>
      </w:r>
    </w:p>
    <w:p w14:paraId="28551152" w14:textId="66835821"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5</w:t>
      </w:r>
      <w:r>
        <w:rPr>
          <w:lang w:val="fr-FR"/>
        </w:rPr>
        <w:tab/>
        <w:t>Description du mannequin 3-D H</w:t>
      </w:r>
      <w:r>
        <w:rPr>
          <w:lang w:val="fr-FR"/>
        </w:rPr>
        <w:tab/>
      </w:r>
      <w:r>
        <w:rPr>
          <w:lang w:val="fr-FR"/>
        </w:rPr>
        <w:tab/>
      </w:r>
      <w:r w:rsidR="008849D2" w:rsidRPr="008849D2">
        <w:rPr>
          <w:webHidden/>
          <w:lang w:val="fr-FR"/>
        </w:rPr>
        <w:t>…</w:t>
      </w:r>
    </w:p>
    <w:p w14:paraId="62863624" w14:textId="57D8DBA7"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6</w:t>
      </w:r>
      <w:r>
        <w:rPr>
          <w:lang w:val="fr-FR"/>
        </w:rPr>
        <w:tab/>
        <w:t xml:space="preserve">Modalité des essais servant à évaluer l’intégrité du système d’alimentation en hydrogène </w:t>
      </w:r>
      <w:r>
        <w:rPr>
          <w:lang w:val="fr-FR"/>
        </w:rPr>
        <w:br/>
        <w:t>en cas de choc</w:t>
      </w:r>
      <w:r>
        <w:rPr>
          <w:lang w:val="fr-FR"/>
        </w:rPr>
        <w:tab/>
      </w:r>
      <w:r>
        <w:rPr>
          <w:lang w:val="fr-FR"/>
        </w:rPr>
        <w:tab/>
      </w:r>
      <w:r w:rsidR="008849D2" w:rsidRPr="008849D2">
        <w:rPr>
          <w:webHidden/>
          <w:lang w:val="fr-FR"/>
        </w:rPr>
        <w:t>…</w:t>
      </w:r>
    </w:p>
    <w:p w14:paraId="51D7DFE0" w14:textId="356F8490"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7</w:t>
      </w:r>
      <w:r>
        <w:rPr>
          <w:lang w:val="fr-FR"/>
        </w:rPr>
        <w:tab/>
        <w:t>Ligne de référence de l’impact</w:t>
      </w:r>
      <w:r>
        <w:rPr>
          <w:lang w:val="fr-FR"/>
        </w:rPr>
        <w:tab/>
      </w:r>
      <w:r>
        <w:rPr>
          <w:lang w:val="fr-FR"/>
        </w:rPr>
        <w:tab/>
      </w:r>
      <w:r w:rsidR="008849D2" w:rsidRPr="008849D2">
        <w:rPr>
          <w:webHidden/>
          <w:lang w:val="fr-FR"/>
        </w:rPr>
        <w:t>…</w:t>
      </w:r>
    </w:p>
    <w:p w14:paraId="61B47FF8" w14:textId="123D5B90"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8</w:t>
      </w:r>
      <w:r>
        <w:rPr>
          <w:lang w:val="fr-FR"/>
        </w:rPr>
        <w:tab/>
        <w:t>Angle d’impact</w:t>
      </w:r>
      <w:r>
        <w:rPr>
          <w:lang w:val="fr-FR"/>
        </w:rPr>
        <w:tab/>
      </w:r>
      <w:r>
        <w:rPr>
          <w:lang w:val="fr-FR"/>
        </w:rPr>
        <w:tab/>
      </w:r>
      <w:r w:rsidR="008849D2" w:rsidRPr="008849D2">
        <w:rPr>
          <w:webHidden/>
          <w:lang w:val="fr-FR"/>
        </w:rPr>
        <w:t>…</w:t>
      </w:r>
    </w:p>
    <w:p w14:paraId="649E4700" w14:textId="56EE4F38"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t>9</w:t>
      </w:r>
      <w:r>
        <w:rPr>
          <w:lang w:val="fr-FR"/>
        </w:rPr>
        <w:tab/>
        <w:t>Marques de référence des angles de tangage et de roulis</w:t>
      </w:r>
      <w:r>
        <w:rPr>
          <w:lang w:val="fr-FR"/>
        </w:rPr>
        <w:tab/>
      </w:r>
      <w:r>
        <w:rPr>
          <w:lang w:val="fr-FR"/>
        </w:rPr>
        <w:tab/>
      </w:r>
      <w:r w:rsidR="008849D2" w:rsidRPr="008849D2">
        <w:rPr>
          <w:webHidden/>
          <w:lang w:val="fr-FR"/>
        </w:rPr>
        <w:t>…</w:t>
      </w:r>
    </w:p>
    <w:p w14:paraId="2716B925" w14:textId="0F62021F" w:rsidR="002B7A37" w:rsidRPr="002B7A37" w:rsidRDefault="002B7A37" w:rsidP="002B7A37">
      <w:pPr>
        <w:tabs>
          <w:tab w:val="right" w:pos="850"/>
          <w:tab w:val="right" w:leader="dot" w:pos="8787"/>
          <w:tab w:val="right" w:pos="9638"/>
        </w:tabs>
        <w:spacing w:after="120"/>
        <w:ind w:left="1134" w:hanging="1134"/>
        <w:rPr>
          <w:rStyle w:val="Lienhypertexte"/>
          <w:color w:val="auto"/>
          <w:lang w:val="fr-FR"/>
        </w:rPr>
      </w:pPr>
      <w:r>
        <w:rPr>
          <w:lang w:val="fr-FR"/>
        </w:rPr>
        <w:tab/>
        <w:t>10</w:t>
      </w:r>
      <w:r>
        <w:rPr>
          <w:lang w:val="fr-FR"/>
        </w:rPr>
        <w:tab/>
        <w:t>Détermination des critères de résultats du mannequin WorldSID homme du 50</w:t>
      </w:r>
      <w:r w:rsidRPr="002B7A37">
        <w:rPr>
          <w:vertAlign w:val="superscript"/>
          <w:lang w:val="fr-FR"/>
        </w:rPr>
        <w:t>e</w:t>
      </w:r>
      <w:r>
        <w:rPr>
          <w:lang w:val="fr-FR"/>
        </w:rPr>
        <w:t xml:space="preserve"> centile</w:t>
      </w:r>
      <w:r>
        <w:rPr>
          <w:lang w:val="fr-FR"/>
        </w:rPr>
        <w:tab/>
      </w:r>
      <w:r>
        <w:rPr>
          <w:lang w:val="fr-FR"/>
        </w:rPr>
        <w:tab/>
      </w:r>
      <w:r w:rsidR="008849D2" w:rsidRPr="008849D2">
        <w:rPr>
          <w:webHidden/>
          <w:lang w:val="fr-FR"/>
        </w:rPr>
        <w:t>…</w:t>
      </w:r>
    </w:p>
    <w:p w14:paraId="2DC99ABB" w14:textId="5F14B81D" w:rsidR="002B7A37" w:rsidRPr="009479FF" w:rsidRDefault="002B7A37" w:rsidP="002B7A37">
      <w:pPr>
        <w:tabs>
          <w:tab w:val="right" w:pos="850"/>
          <w:tab w:val="right" w:leader="dot" w:pos="8787"/>
          <w:tab w:val="right" w:pos="9638"/>
        </w:tabs>
        <w:spacing w:after="120"/>
        <w:ind w:left="1134" w:hanging="1134"/>
        <w:rPr>
          <w:lang w:val="fr-FR"/>
        </w:rPr>
      </w:pPr>
      <w:r>
        <w:rPr>
          <w:lang w:val="fr-FR"/>
        </w:rPr>
        <w:tab/>
      </w:r>
      <w:r>
        <w:rPr>
          <w:b/>
          <w:bCs/>
          <w:lang w:val="fr-FR"/>
        </w:rPr>
        <w:t>11</w:t>
      </w:r>
      <w:r>
        <w:rPr>
          <w:lang w:val="fr-FR"/>
        </w:rPr>
        <w:tab/>
      </w:r>
      <w:r>
        <w:rPr>
          <w:b/>
          <w:bCs/>
          <w:lang w:val="fr-FR"/>
        </w:rPr>
        <w:t xml:space="preserve">Procédures d’essai applicables à la protection des occupants des véhicules électriques </w:t>
      </w:r>
      <w:r>
        <w:rPr>
          <w:b/>
          <w:bCs/>
          <w:lang w:val="fr-FR"/>
        </w:rPr>
        <w:br/>
        <w:t>contre tout contact avec les éléments à haute tension et contre toute fuite d’électrolyte...</w:t>
      </w:r>
      <w:r>
        <w:rPr>
          <w:b/>
          <w:bCs/>
          <w:lang w:val="fr-FR"/>
        </w:rPr>
        <w:tab/>
      </w:r>
      <w:r>
        <w:rPr>
          <w:b/>
          <w:bCs/>
          <w:lang w:val="fr-FR"/>
        </w:rPr>
        <w:tab/>
      </w:r>
      <w:r w:rsidR="008849D2" w:rsidRPr="008849D2">
        <w:rPr>
          <w:b/>
          <w:bCs/>
          <w:webHidden/>
          <w:lang w:val="fr-FR"/>
        </w:rPr>
        <w:t>…</w:t>
      </w:r>
      <w:r>
        <w:rPr>
          <w:b/>
          <w:bCs/>
          <w:lang w:val="fr-FR"/>
        </w:rPr>
        <w:t> »</w:t>
      </w:r>
    </w:p>
    <w:bookmarkEnd w:id="2"/>
    <w:p w14:paraId="2A41CD0E" w14:textId="77777777" w:rsidR="002B7A37" w:rsidRPr="009479FF" w:rsidRDefault="002B7A37" w:rsidP="008849D2">
      <w:pPr>
        <w:pStyle w:val="SingleTxtG"/>
        <w:rPr>
          <w:bCs/>
          <w:lang w:val="fr-FR"/>
        </w:rPr>
      </w:pPr>
      <w:r w:rsidRPr="008849D2">
        <w:rPr>
          <w:i/>
          <w:iCs/>
          <w:lang w:val="fr-FR"/>
        </w:rPr>
        <w:t>Texte du Règlement ONU</w:t>
      </w:r>
      <w:r>
        <w:rPr>
          <w:lang w:val="fr-FR"/>
        </w:rPr>
        <w:t>,</w:t>
      </w:r>
    </w:p>
    <w:p w14:paraId="396452C0" w14:textId="19956EDE" w:rsidR="002B7A37" w:rsidRPr="009479FF" w:rsidRDefault="002B7A37" w:rsidP="008849D2">
      <w:pPr>
        <w:pStyle w:val="SingleTxtG"/>
        <w:rPr>
          <w:lang w:val="fr-FR"/>
        </w:rPr>
      </w:pPr>
      <w:r>
        <w:rPr>
          <w:i/>
          <w:iCs/>
          <w:lang w:val="fr-FR"/>
        </w:rPr>
        <w:t>Paragraphe 2.14</w:t>
      </w:r>
      <w:r>
        <w:rPr>
          <w:lang w:val="fr-FR"/>
        </w:rPr>
        <w:t>, lire</w:t>
      </w:r>
      <w:r w:rsidR="008849D2">
        <w:rPr>
          <w:lang w:val="fr-FR"/>
        </w:rPr>
        <w:t> </w:t>
      </w:r>
      <w:r>
        <w:rPr>
          <w:lang w:val="fr-FR"/>
        </w:rPr>
        <w:t>:</w:t>
      </w:r>
    </w:p>
    <w:p w14:paraId="58C76039" w14:textId="395B08EB" w:rsidR="002B7A37" w:rsidRPr="009479FF" w:rsidRDefault="008849D2" w:rsidP="008849D2">
      <w:pPr>
        <w:pStyle w:val="SingleTxtG"/>
        <w:ind w:left="2268" w:hanging="1134"/>
        <w:rPr>
          <w:lang w:val="fr-FR"/>
        </w:rPr>
      </w:pPr>
      <w:r>
        <w:rPr>
          <w:lang w:val="fr-FR"/>
        </w:rPr>
        <w:t>« </w:t>
      </w:r>
      <w:r w:rsidR="002B7A37">
        <w:rPr>
          <w:lang w:val="fr-FR"/>
        </w:rPr>
        <w:t>2.14</w:t>
      </w:r>
      <w:r w:rsidR="002B7A37">
        <w:rPr>
          <w:lang w:val="fr-FR"/>
        </w:rPr>
        <w:tab/>
      </w:r>
      <w:r w:rsidRPr="008849D2">
        <w:t>“</w:t>
      </w:r>
      <w:r w:rsidR="002B7A37">
        <w:rPr>
          <w:i/>
          <w:iCs/>
          <w:lang w:val="fr-FR"/>
        </w:rPr>
        <w:t xml:space="preserve">Habitacle, </w:t>
      </w:r>
      <w:r w:rsidR="002B7A37">
        <w:rPr>
          <w:b/>
          <w:bCs/>
          <w:i/>
          <w:iCs/>
          <w:lang w:val="fr-FR"/>
        </w:rPr>
        <w:t>s’agissant de la protection des occupants</w:t>
      </w:r>
      <w:r w:rsidRPr="008849D2">
        <w:t>”</w:t>
      </w:r>
      <w:r w:rsidR="002B7A37">
        <w:rPr>
          <w:lang w:val="fr-FR"/>
        </w:rPr>
        <w:t>, l’espace conçu pour accueillir les occupants, qui est limité par le pavillon, le plancher, les cloisons latérales, les portes, les vitrages extérieurs, la cloison avant et enfin le plan de la cloison du compartiment arrière ou le plan de l’élément de soutien de la banquette arrière.</w:t>
      </w:r>
      <w:r>
        <w:rPr>
          <w:lang w:val="fr-FR"/>
        </w:rPr>
        <w:t> »</w:t>
      </w:r>
      <w:r w:rsidR="002B7A37">
        <w:rPr>
          <w:lang w:val="fr-FR"/>
        </w:rPr>
        <w:t>.</w:t>
      </w:r>
    </w:p>
    <w:p w14:paraId="73C347B1" w14:textId="5BD60B8D" w:rsidR="002B7A37" w:rsidRPr="009479FF" w:rsidRDefault="002B7A37" w:rsidP="008849D2">
      <w:pPr>
        <w:pStyle w:val="SingleTxtG"/>
        <w:keepNext/>
        <w:rPr>
          <w:lang w:val="fr-FR"/>
        </w:rPr>
      </w:pPr>
      <w:r>
        <w:rPr>
          <w:i/>
          <w:iCs/>
          <w:lang w:val="fr-FR"/>
        </w:rPr>
        <w:t>Ajouter le nouveau paragraphe 2.15</w:t>
      </w:r>
      <w:r>
        <w:rPr>
          <w:lang w:val="fr-FR"/>
        </w:rPr>
        <w:t>, libellé comme suit</w:t>
      </w:r>
      <w:r w:rsidR="008849D2">
        <w:rPr>
          <w:lang w:val="fr-FR"/>
        </w:rPr>
        <w:t> </w:t>
      </w:r>
      <w:r>
        <w:rPr>
          <w:lang w:val="fr-FR"/>
        </w:rPr>
        <w:t>:</w:t>
      </w:r>
    </w:p>
    <w:p w14:paraId="25A23B1A" w14:textId="72A5E577" w:rsidR="002B7A37" w:rsidRPr="009479FF" w:rsidRDefault="008849D2" w:rsidP="008849D2">
      <w:pPr>
        <w:pStyle w:val="SingleTxtG"/>
        <w:ind w:left="2268" w:hanging="1134"/>
        <w:rPr>
          <w:b/>
          <w:lang w:val="fr-FR"/>
        </w:rPr>
      </w:pPr>
      <w:r>
        <w:rPr>
          <w:lang w:val="fr-FR"/>
        </w:rPr>
        <w:t>« </w:t>
      </w:r>
      <w:r w:rsidR="002B7A37">
        <w:rPr>
          <w:b/>
          <w:bCs/>
          <w:lang w:val="fr-FR"/>
        </w:rPr>
        <w:t>2.15</w:t>
      </w:r>
      <w:r w:rsidR="002B7A37">
        <w:rPr>
          <w:lang w:val="fr-FR"/>
        </w:rPr>
        <w:tab/>
      </w:r>
      <w:r w:rsidRPr="008849D2">
        <w:t>“</w:t>
      </w:r>
      <w:r w:rsidR="002B7A37">
        <w:rPr>
          <w:b/>
          <w:bCs/>
          <w:i/>
          <w:iCs/>
          <w:lang w:val="fr-FR"/>
        </w:rPr>
        <w:t>Habitacle, s’agissant de l’évaluation de la sécurité électrique</w:t>
      </w:r>
      <w:r w:rsidRPr="008849D2">
        <w:t>”</w:t>
      </w:r>
      <w:r w:rsidR="002B7A37">
        <w:rPr>
          <w:b/>
          <w:bCs/>
          <w:lang w:val="fr-FR"/>
        </w:rPr>
        <w:t>, l’espace conçu pour accueillir les occupants, qui est limité par le pavillon, le plancher, les cloisons latérales, les portes, les vitrages extérieurs, la cloison avant et la cloison arrière, ainsi que par les barrières et les carters servant à protéger les occupants de tout contact direct avec les éléments à haute tension.</w:t>
      </w:r>
      <w:r>
        <w:rPr>
          <w:lang w:val="fr-FR"/>
        </w:rPr>
        <w:t> »</w:t>
      </w:r>
      <w:r w:rsidR="002B7A37">
        <w:rPr>
          <w:lang w:val="fr-FR"/>
        </w:rPr>
        <w:t>.</w:t>
      </w:r>
    </w:p>
    <w:p w14:paraId="5BC21A34" w14:textId="77777777" w:rsidR="002B7A37" w:rsidRPr="009479FF" w:rsidRDefault="002B7A37" w:rsidP="008849D2">
      <w:pPr>
        <w:pStyle w:val="SingleTxtG"/>
        <w:rPr>
          <w:lang w:val="fr-FR"/>
        </w:rPr>
      </w:pPr>
      <w:r>
        <w:rPr>
          <w:i/>
          <w:iCs/>
          <w:lang w:val="fr-FR"/>
        </w:rPr>
        <w:t>Les paragraphes 2.15 à 2.25</w:t>
      </w:r>
      <w:r>
        <w:rPr>
          <w:lang w:val="fr-FR"/>
        </w:rPr>
        <w:t xml:space="preserve"> deviennent les paragraphes 2.16 à 2.26.</w:t>
      </w:r>
    </w:p>
    <w:p w14:paraId="40741ADA" w14:textId="3101C30E" w:rsidR="002B7A37" w:rsidRPr="009479FF" w:rsidRDefault="002B7A37" w:rsidP="008849D2">
      <w:pPr>
        <w:pStyle w:val="SingleTxtG"/>
        <w:rPr>
          <w:lang w:val="fr-FR"/>
        </w:rPr>
      </w:pPr>
      <w:r>
        <w:rPr>
          <w:i/>
          <w:iCs/>
          <w:lang w:val="fr-FR"/>
        </w:rPr>
        <w:t>Le paragraphe 2.26</w:t>
      </w:r>
      <w:r>
        <w:rPr>
          <w:lang w:val="fr-FR"/>
        </w:rPr>
        <w:t xml:space="preserve"> devient le paragraphe 2.27 et se lit comme suit</w:t>
      </w:r>
      <w:r w:rsidR="008849D2">
        <w:rPr>
          <w:lang w:val="fr-FR"/>
        </w:rPr>
        <w:t> </w:t>
      </w:r>
      <w:r>
        <w:rPr>
          <w:lang w:val="fr-FR"/>
        </w:rPr>
        <w:t xml:space="preserve">: </w:t>
      </w:r>
    </w:p>
    <w:p w14:paraId="4136EE7E" w14:textId="2AAB1A4D" w:rsidR="002B7A37" w:rsidRPr="009479FF" w:rsidRDefault="008849D2" w:rsidP="008849D2">
      <w:pPr>
        <w:pStyle w:val="SingleTxtG"/>
        <w:ind w:left="2268" w:hanging="1134"/>
        <w:rPr>
          <w:lang w:val="fr-FR"/>
        </w:rPr>
      </w:pPr>
      <w:r>
        <w:rPr>
          <w:lang w:val="fr-FR"/>
        </w:rPr>
        <w:t>« </w:t>
      </w:r>
      <w:r w:rsidR="002B7A37">
        <w:rPr>
          <w:lang w:val="fr-FR"/>
        </w:rPr>
        <w:t>2.27</w:t>
      </w:r>
      <w:r w:rsidR="002B7A37">
        <w:rPr>
          <w:lang w:val="fr-FR"/>
        </w:rPr>
        <w:tab/>
      </w:r>
      <w:r w:rsidRPr="008849D2">
        <w:t>“</w:t>
      </w:r>
      <w:r w:rsidR="002B7A37">
        <w:rPr>
          <w:i/>
          <w:iCs/>
          <w:lang w:val="fr-FR"/>
        </w:rPr>
        <w:t>Type de véhicule</w:t>
      </w:r>
      <w:r w:rsidRPr="008849D2">
        <w:t>”</w:t>
      </w:r>
      <w:r w:rsidR="002B7A37">
        <w:rPr>
          <w:lang w:val="fr-FR"/>
        </w:rPr>
        <w:t>, des véhicules dont les caractéristiques ne diffèrent pas sur des aspects essentiels tels que</w:t>
      </w:r>
      <w:r>
        <w:rPr>
          <w:lang w:val="fr-FR"/>
        </w:rPr>
        <w:t> </w:t>
      </w:r>
      <w:r w:rsidR="002B7A37">
        <w:rPr>
          <w:lang w:val="fr-FR"/>
        </w:rPr>
        <w:t>:</w:t>
      </w:r>
    </w:p>
    <w:p w14:paraId="736834AF" w14:textId="73E2454B" w:rsidR="002B7A37" w:rsidRPr="009479FF" w:rsidRDefault="002B7A37" w:rsidP="008849D2">
      <w:pPr>
        <w:pStyle w:val="SingleTxtG"/>
        <w:ind w:left="2835" w:hanging="567"/>
        <w:rPr>
          <w:lang w:val="fr-FR"/>
        </w:rPr>
      </w:pPr>
      <w:r>
        <w:rPr>
          <w:lang w:val="fr-FR"/>
        </w:rPr>
        <w:t>a)</w:t>
      </w:r>
      <w:r>
        <w:rPr>
          <w:lang w:val="fr-FR"/>
        </w:rPr>
        <w:tab/>
        <w:t>Le type du ou des systèmes de protection</w:t>
      </w:r>
      <w:r w:rsidR="008849D2">
        <w:rPr>
          <w:lang w:val="fr-FR"/>
        </w:rPr>
        <w:t> </w:t>
      </w:r>
      <w:r>
        <w:rPr>
          <w:lang w:val="fr-FR"/>
        </w:rPr>
        <w:t>;</w:t>
      </w:r>
    </w:p>
    <w:p w14:paraId="7FBA0067" w14:textId="4A893785" w:rsidR="002B7A37" w:rsidRPr="009479FF" w:rsidRDefault="002B7A37" w:rsidP="008849D2">
      <w:pPr>
        <w:pStyle w:val="SingleTxtG"/>
        <w:ind w:left="2835" w:hanging="567"/>
        <w:rPr>
          <w:lang w:val="fr-FR"/>
        </w:rPr>
      </w:pPr>
      <w:r>
        <w:rPr>
          <w:lang w:val="fr-FR"/>
        </w:rPr>
        <w:t>b)</w:t>
      </w:r>
      <w:r>
        <w:rPr>
          <w:lang w:val="fr-FR"/>
        </w:rPr>
        <w:tab/>
        <w:t>Le type du ou des sièges avant</w:t>
      </w:r>
      <w:r w:rsidR="008849D2">
        <w:rPr>
          <w:lang w:val="fr-FR"/>
        </w:rPr>
        <w:t> </w:t>
      </w:r>
      <w:r>
        <w:rPr>
          <w:lang w:val="fr-FR"/>
        </w:rPr>
        <w:t>;</w:t>
      </w:r>
    </w:p>
    <w:p w14:paraId="1DAE5FBD" w14:textId="0D23CB1A" w:rsidR="002B7A37" w:rsidRPr="009479FF" w:rsidRDefault="002B7A37" w:rsidP="008849D2">
      <w:pPr>
        <w:pStyle w:val="SingleTxtG"/>
        <w:ind w:left="2835" w:hanging="567"/>
        <w:rPr>
          <w:lang w:val="fr-FR"/>
        </w:rPr>
      </w:pPr>
      <w:r>
        <w:rPr>
          <w:lang w:val="fr-FR"/>
        </w:rPr>
        <w:t>c)</w:t>
      </w:r>
      <w:r>
        <w:rPr>
          <w:lang w:val="fr-FR"/>
        </w:rPr>
        <w:tab/>
        <w:t>La largeur du véhicule</w:t>
      </w:r>
      <w:r w:rsidR="008849D2">
        <w:rPr>
          <w:lang w:val="fr-FR"/>
        </w:rPr>
        <w:t> </w:t>
      </w:r>
      <w:r>
        <w:rPr>
          <w:lang w:val="fr-FR"/>
        </w:rPr>
        <w:t>;</w:t>
      </w:r>
    </w:p>
    <w:p w14:paraId="459B93ED" w14:textId="3133597F" w:rsidR="002B7A37" w:rsidRPr="009479FF" w:rsidRDefault="002B7A37" w:rsidP="008849D2">
      <w:pPr>
        <w:pStyle w:val="SingleTxtG"/>
        <w:ind w:left="2835" w:hanging="567"/>
        <w:rPr>
          <w:lang w:val="fr-FR"/>
        </w:rPr>
      </w:pPr>
      <w:r>
        <w:rPr>
          <w:lang w:val="fr-FR"/>
        </w:rPr>
        <w:t>d)</w:t>
      </w:r>
      <w:r>
        <w:rPr>
          <w:lang w:val="fr-FR"/>
        </w:rPr>
        <w:tab/>
        <w:t>L’empattement et la longueur hors tout du véhicule</w:t>
      </w:r>
      <w:r w:rsidR="008849D2">
        <w:rPr>
          <w:lang w:val="fr-FR"/>
        </w:rPr>
        <w:t> </w:t>
      </w:r>
      <w:r>
        <w:rPr>
          <w:lang w:val="fr-FR"/>
        </w:rPr>
        <w:t>;</w:t>
      </w:r>
    </w:p>
    <w:p w14:paraId="7C86C2C3" w14:textId="19FD27B1" w:rsidR="002B7A37" w:rsidRPr="009479FF" w:rsidRDefault="002B7A37" w:rsidP="008849D2">
      <w:pPr>
        <w:pStyle w:val="SingleTxtG"/>
        <w:ind w:left="2835" w:hanging="567"/>
        <w:rPr>
          <w:lang w:val="fr-FR"/>
        </w:rPr>
      </w:pPr>
      <w:r>
        <w:rPr>
          <w:lang w:val="fr-FR"/>
        </w:rPr>
        <w:t>e)</w:t>
      </w:r>
      <w:r>
        <w:rPr>
          <w:lang w:val="fr-FR"/>
        </w:rPr>
        <w:tab/>
        <w:t>La structure, les dimensions, la forme et les matériaux des parois de l’habitacle, y compris les accessoires ou les garnitures faisant partie des parois de l’habitacle ou se trouvant à proximité</w:t>
      </w:r>
      <w:r w:rsidR="008849D2">
        <w:rPr>
          <w:lang w:val="fr-FR"/>
        </w:rPr>
        <w:t> </w:t>
      </w:r>
      <w:r>
        <w:rPr>
          <w:lang w:val="fr-FR"/>
        </w:rPr>
        <w:t>;</w:t>
      </w:r>
    </w:p>
    <w:p w14:paraId="58EAA09C" w14:textId="1FE880E0" w:rsidR="002B7A37" w:rsidRPr="009479FF" w:rsidRDefault="002B7A37" w:rsidP="008849D2">
      <w:pPr>
        <w:pStyle w:val="SingleTxtG"/>
        <w:ind w:left="2835" w:hanging="567"/>
        <w:rPr>
          <w:lang w:val="fr-FR"/>
        </w:rPr>
      </w:pPr>
      <w:r>
        <w:rPr>
          <w:lang w:val="fr-FR"/>
        </w:rPr>
        <w:t>f)</w:t>
      </w:r>
      <w:r>
        <w:rPr>
          <w:lang w:val="fr-FR"/>
        </w:rPr>
        <w:tab/>
        <w:t>Le type des serrures de porte et des charnières</w:t>
      </w:r>
      <w:r w:rsidR="008849D2">
        <w:rPr>
          <w:lang w:val="fr-FR"/>
        </w:rPr>
        <w:t> </w:t>
      </w:r>
      <w:r>
        <w:rPr>
          <w:lang w:val="fr-FR"/>
        </w:rPr>
        <w:t xml:space="preserve">; </w:t>
      </w:r>
    </w:p>
    <w:p w14:paraId="3C205E8F" w14:textId="35A4E778" w:rsidR="002B7A37" w:rsidRPr="009479FF" w:rsidRDefault="002B7A37" w:rsidP="008849D2">
      <w:pPr>
        <w:pStyle w:val="SingleTxtG"/>
        <w:ind w:left="2835" w:hanging="567"/>
        <w:rPr>
          <w:lang w:val="fr-FR"/>
        </w:rPr>
      </w:pPr>
      <w:r>
        <w:rPr>
          <w:lang w:val="fr-FR"/>
        </w:rPr>
        <w:t>g)</w:t>
      </w:r>
      <w:r>
        <w:rPr>
          <w:lang w:val="fr-FR"/>
        </w:rPr>
        <w:tab/>
        <w:t>Le type du ou des systèmes d’alimentation en carburant</w:t>
      </w:r>
      <w:r w:rsidR="008849D2">
        <w:rPr>
          <w:lang w:val="fr-FR"/>
        </w:rPr>
        <w:t> </w:t>
      </w:r>
      <w:r>
        <w:rPr>
          <w:lang w:val="fr-FR"/>
        </w:rPr>
        <w:t>;</w:t>
      </w:r>
    </w:p>
    <w:p w14:paraId="40D85E47" w14:textId="1250B51F" w:rsidR="002B7A37" w:rsidRPr="009479FF" w:rsidRDefault="002B7A37" w:rsidP="002B7A37">
      <w:pPr>
        <w:pStyle w:val="SingleTxtG"/>
        <w:ind w:left="2835" w:hanging="567"/>
        <w:rPr>
          <w:lang w:val="fr-FR"/>
        </w:rPr>
      </w:pPr>
      <w:r>
        <w:rPr>
          <w:lang w:val="fr-FR"/>
        </w:rPr>
        <w:t>h)</w:t>
      </w:r>
      <w:r>
        <w:rPr>
          <w:lang w:val="fr-FR"/>
        </w:rPr>
        <w:tab/>
        <w:t>La masse du véhicule à vide et la masse nominale du chargement et des bagages</w:t>
      </w:r>
      <w:r w:rsidR="008849D2">
        <w:rPr>
          <w:lang w:val="fr-FR"/>
        </w:rPr>
        <w:t> </w:t>
      </w:r>
      <w:r>
        <w:rPr>
          <w:lang w:val="fr-FR"/>
        </w:rPr>
        <w:t>;</w:t>
      </w:r>
    </w:p>
    <w:p w14:paraId="47A5AAD3" w14:textId="3D412786" w:rsidR="002B7A37" w:rsidRPr="009479FF" w:rsidRDefault="002B7A37" w:rsidP="008849D2">
      <w:pPr>
        <w:pStyle w:val="SingleTxtG"/>
        <w:ind w:left="2835" w:hanging="567"/>
        <w:rPr>
          <w:lang w:val="fr-FR"/>
        </w:rPr>
      </w:pPr>
      <w:r>
        <w:rPr>
          <w:lang w:val="fr-FR"/>
        </w:rPr>
        <w:t>i)</w:t>
      </w:r>
      <w:r>
        <w:rPr>
          <w:lang w:val="fr-FR"/>
        </w:rPr>
        <w:tab/>
        <w:t>L’emplacement du moteur (à l’avant, à l’arrière ou au centre)</w:t>
      </w:r>
      <w:r w:rsidR="008849D2">
        <w:rPr>
          <w:lang w:val="fr-FR"/>
        </w:rPr>
        <w:t> </w:t>
      </w:r>
      <w:r>
        <w:rPr>
          <w:lang w:val="fr-FR"/>
        </w:rPr>
        <w:t>;</w:t>
      </w:r>
    </w:p>
    <w:p w14:paraId="3997431C" w14:textId="659028E4" w:rsidR="002B7A37" w:rsidRPr="009479FF" w:rsidRDefault="002B7A37" w:rsidP="008849D2">
      <w:pPr>
        <w:pStyle w:val="SingleTxtG"/>
        <w:ind w:left="2835" w:hanging="567"/>
        <w:rPr>
          <w:bCs/>
          <w:lang w:val="fr-FR"/>
        </w:rPr>
      </w:pPr>
      <w:r>
        <w:rPr>
          <w:b/>
          <w:bCs/>
          <w:lang w:val="fr-FR"/>
        </w:rPr>
        <w:t>j)</w:t>
      </w:r>
      <w:r>
        <w:rPr>
          <w:lang w:val="fr-FR"/>
        </w:rPr>
        <w:tab/>
      </w:r>
      <w:r>
        <w:rPr>
          <w:b/>
          <w:bCs/>
          <w:lang w:val="fr-FR"/>
        </w:rPr>
        <w:t>Les emplacements des systèmes rechargeables de stockage de l’énergie électrique (SRSEE), dans la mesure où ils faussent les résultats de l’essai de choc prescrit dans le présent Règlement</w:t>
      </w:r>
      <w:r>
        <w:rPr>
          <w:lang w:val="fr-FR"/>
        </w:rPr>
        <w:t>.</w:t>
      </w:r>
      <w:r w:rsidR="008849D2">
        <w:rPr>
          <w:lang w:val="fr-FR"/>
        </w:rPr>
        <w:t> »</w:t>
      </w:r>
      <w:r>
        <w:rPr>
          <w:lang w:val="fr-FR"/>
        </w:rPr>
        <w:t xml:space="preserve">. </w:t>
      </w:r>
    </w:p>
    <w:p w14:paraId="7AF65692" w14:textId="77777777" w:rsidR="002B7A37" w:rsidRPr="009479FF" w:rsidRDefault="002B7A37" w:rsidP="008849D2">
      <w:pPr>
        <w:pStyle w:val="SingleTxtG"/>
        <w:rPr>
          <w:lang w:val="fr-FR"/>
        </w:rPr>
      </w:pPr>
      <w:r>
        <w:rPr>
          <w:i/>
          <w:iCs/>
          <w:lang w:val="fr-FR"/>
        </w:rPr>
        <w:t>Le paragraphe 2.27</w:t>
      </w:r>
      <w:r>
        <w:rPr>
          <w:lang w:val="fr-FR"/>
        </w:rPr>
        <w:t xml:space="preserve"> devient le paragraphe 2.28.</w:t>
      </w:r>
    </w:p>
    <w:p w14:paraId="5764113B" w14:textId="62DCDD8C" w:rsidR="002B7A37" w:rsidRPr="009479FF" w:rsidRDefault="002B7A37" w:rsidP="008849D2">
      <w:pPr>
        <w:pStyle w:val="SingleTxtG"/>
        <w:rPr>
          <w:rFonts w:eastAsia="SimSun"/>
          <w:i/>
          <w:lang w:val="fr-FR"/>
        </w:rPr>
      </w:pPr>
      <w:r>
        <w:rPr>
          <w:i/>
          <w:iCs/>
          <w:lang w:val="fr-FR"/>
        </w:rPr>
        <w:t>Ajouter les nouveaux paragraphes 2.29 à 2.56</w:t>
      </w:r>
      <w:r>
        <w:rPr>
          <w:lang w:val="fr-FR"/>
        </w:rPr>
        <w:t>, libellés comme suit</w:t>
      </w:r>
      <w:r w:rsidR="008849D2">
        <w:rPr>
          <w:lang w:val="fr-FR"/>
        </w:rPr>
        <w:t> </w:t>
      </w:r>
      <w:r>
        <w:rPr>
          <w:lang w:val="fr-FR"/>
        </w:rPr>
        <w:t>:</w:t>
      </w:r>
    </w:p>
    <w:p w14:paraId="34F5D761" w14:textId="4C0D38FB" w:rsidR="002B7A37" w:rsidRPr="008849D2" w:rsidRDefault="002B7A37" w:rsidP="008849D2">
      <w:pPr>
        <w:pStyle w:val="SingleTxtG"/>
        <w:ind w:left="2268" w:hanging="1134"/>
        <w:rPr>
          <w:b/>
          <w:bCs/>
          <w:lang w:val="fr-FR"/>
        </w:rPr>
      </w:pPr>
      <w:r>
        <w:rPr>
          <w:lang w:val="fr-FR"/>
        </w:rPr>
        <w:t>« </w:t>
      </w:r>
      <w:r w:rsidRPr="00A404DA">
        <w:rPr>
          <w:b/>
          <w:bCs/>
          <w:lang w:val="fr-FR"/>
        </w:rPr>
        <w:t>2.29</w:t>
      </w:r>
      <w:r w:rsidRPr="00A404DA">
        <w:rPr>
          <w:b/>
          <w:bCs/>
          <w:lang w:val="fr-FR"/>
        </w:rPr>
        <w:tab/>
      </w:r>
      <w:r w:rsidR="008849D2" w:rsidRPr="008849D2">
        <w:rPr>
          <w:b/>
          <w:bCs/>
        </w:rPr>
        <w:t>“</w:t>
      </w:r>
      <w:r w:rsidRPr="008849D2">
        <w:rPr>
          <w:b/>
          <w:bCs/>
          <w:i/>
          <w:iCs/>
          <w:lang w:val="fr-FR"/>
        </w:rPr>
        <w:t>Haute tension</w:t>
      </w:r>
      <w:r w:rsidR="008849D2" w:rsidRPr="008849D2">
        <w:rPr>
          <w:b/>
          <w:bCs/>
        </w:rPr>
        <w:t>”</w:t>
      </w:r>
      <w:r w:rsidRPr="008849D2">
        <w:rPr>
          <w:b/>
          <w:bCs/>
          <w:lang w:val="fr-FR"/>
        </w:rPr>
        <w:t>, la classification d’un composant ou circuit électrique, si sa tension de fonctionnement est &gt;60 V et ≤1 500 V en courant continu (CC) ou &gt;30 V et ≤1 000 V en courant alternatif (CA), en valeur efficace</w:t>
      </w:r>
      <w:r w:rsidR="008849D2" w:rsidRPr="008849D2">
        <w:rPr>
          <w:b/>
          <w:bCs/>
          <w:lang w:val="fr-FR"/>
        </w:rPr>
        <w:t> </w:t>
      </w:r>
      <w:r w:rsidRPr="008849D2">
        <w:rPr>
          <w:b/>
          <w:bCs/>
          <w:lang w:val="fr-FR"/>
        </w:rPr>
        <w:t>;</w:t>
      </w:r>
    </w:p>
    <w:p w14:paraId="56548100" w14:textId="7CBAF88B" w:rsidR="002B7A37" w:rsidRPr="008849D2" w:rsidRDefault="002B7A37" w:rsidP="008849D2">
      <w:pPr>
        <w:pStyle w:val="SingleTxtG"/>
        <w:ind w:left="2268" w:hanging="1134"/>
        <w:rPr>
          <w:b/>
          <w:bCs/>
          <w:lang w:val="fr-FR"/>
        </w:rPr>
      </w:pPr>
      <w:r w:rsidRPr="00A404DA">
        <w:rPr>
          <w:b/>
          <w:bCs/>
          <w:lang w:val="fr-FR"/>
        </w:rPr>
        <w:t>2.30</w:t>
      </w:r>
      <w:r w:rsidRPr="00A404DA">
        <w:rPr>
          <w:b/>
          <w:bCs/>
          <w:lang w:val="fr-FR"/>
        </w:rPr>
        <w:tab/>
      </w:r>
      <w:r w:rsidR="008849D2" w:rsidRPr="008849D2">
        <w:rPr>
          <w:b/>
          <w:bCs/>
        </w:rPr>
        <w:t>“</w:t>
      </w:r>
      <w:r w:rsidRPr="008849D2">
        <w:rPr>
          <w:b/>
          <w:bCs/>
          <w:i/>
          <w:iCs/>
          <w:lang w:val="fr-FR"/>
        </w:rPr>
        <w:t>Système rechargeable de stockage de l’énergie électrique (SRSEE)</w:t>
      </w:r>
      <w:r w:rsidR="008849D2" w:rsidRPr="008849D2">
        <w:rPr>
          <w:b/>
          <w:bCs/>
        </w:rPr>
        <w:t>”</w:t>
      </w:r>
      <w:r w:rsidRPr="008849D2">
        <w:rPr>
          <w:b/>
          <w:bCs/>
          <w:lang w:val="fr-FR"/>
        </w:rPr>
        <w:t>, le système de stockage de l’énergie rechargeable qui fournit l’énergie électrique nécessaire à la propulsion électrique.</w:t>
      </w:r>
    </w:p>
    <w:p w14:paraId="02E5B1E6" w14:textId="60949E45" w:rsidR="002B7A37" w:rsidRPr="009479FF" w:rsidRDefault="002B7A37" w:rsidP="008849D2">
      <w:pPr>
        <w:pStyle w:val="SingleTxtG"/>
        <w:ind w:left="2268"/>
        <w:rPr>
          <w:b/>
          <w:bCs/>
          <w:strike/>
          <w:lang w:val="fr-FR"/>
        </w:rPr>
      </w:pPr>
      <w:r w:rsidRPr="00A404DA">
        <w:rPr>
          <w:b/>
          <w:bCs/>
          <w:lang w:val="fr-FR"/>
        </w:rPr>
        <w:t>Une batterie dont la fonction principale est de fournir de l</w:t>
      </w:r>
      <w:r>
        <w:rPr>
          <w:b/>
          <w:bCs/>
          <w:lang w:val="fr-FR"/>
        </w:rPr>
        <w:t>’</w:t>
      </w:r>
      <w:r w:rsidRPr="00A404DA">
        <w:rPr>
          <w:b/>
          <w:bCs/>
          <w:lang w:val="fr-FR"/>
        </w:rPr>
        <w:t>énergie pour le démarrage du moteur, l</w:t>
      </w:r>
      <w:r>
        <w:rPr>
          <w:b/>
          <w:bCs/>
          <w:lang w:val="fr-FR"/>
        </w:rPr>
        <w:t>’</w:t>
      </w:r>
      <w:r w:rsidRPr="00A404DA">
        <w:rPr>
          <w:b/>
          <w:bCs/>
          <w:lang w:val="fr-FR"/>
        </w:rPr>
        <w:t>éclairage ou d</w:t>
      </w:r>
      <w:r>
        <w:rPr>
          <w:b/>
          <w:bCs/>
          <w:lang w:val="fr-FR"/>
        </w:rPr>
        <w:t>’</w:t>
      </w:r>
      <w:r w:rsidRPr="00A404DA">
        <w:rPr>
          <w:b/>
          <w:bCs/>
          <w:lang w:val="fr-FR"/>
        </w:rPr>
        <w:t>autres fonctions auxiliaires du véhicule n</w:t>
      </w:r>
      <w:r>
        <w:rPr>
          <w:b/>
          <w:bCs/>
          <w:lang w:val="fr-FR"/>
        </w:rPr>
        <w:t>’</w:t>
      </w:r>
      <w:r w:rsidRPr="00A404DA">
        <w:rPr>
          <w:b/>
          <w:bCs/>
          <w:lang w:val="fr-FR"/>
        </w:rPr>
        <w:t>est pas considérée comme un SRSEE.</w:t>
      </w:r>
    </w:p>
    <w:p w14:paraId="40E67050" w14:textId="5FBF574D" w:rsidR="002B7A37" w:rsidRPr="009479FF" w:rsidRDefault="002B7A37" w:rsidP="008849D2">
      <w:pPr>
        <w:pStyle w:val="SingleTxtG"/>
        <w:ind w:left="2268"/>
        <w:rPr>
          <w:b/>
          <w:bCs/>
          <w:lang w:val="fr-FR"/>
        </w:rPr>
      </w:pPr>
      <w:r w:rsidRPr="00A404DA">
        <w:rPr>
          <w:b/>
          <w:bCs/>
          <w:lang w:val="fr-FR"/>
        </w:rPr>
        <w:t>Le SRSEE peut comprendre des systèmes de support physique, de régulation thermique et de commande électronique, ainsi que des carters de protection.</w:t>
      </w:r>
    </w:p>
    <w:p w14:paraId="636F89E6" w14:textId="77777777" w:rsidR="002B7A37" w:rsidRPr="008849D2" w:rsidRDefault="002B7A37" w:rsidP="008849D2">
      <w:pPr>
        <w:pStyle w:val="SingleTxtG"/>
        <w:ind w:left="2268" w:hanging="1134"/>
        <w:rPr>
          <w:b/>
          <w:bCs/>
          <w:lang w:val="fr-FR"/>
        </w:rPr>
      </w:pPr>
      <w:r w:rsidRPr="00A404DA">
        <w:rPr>
          <w:b/>
          <w:bCs/>
          <w:lang w:val="fr-FR"/>
        </w:rPr>
        <w:t>2.31</w:t>
      </w:r>
      <w:r w:rsidRPr="00A404DA">
        <w:rPr>
          <w:b/>
          <w:bCs/>
          <w:lang w:val="fr-FR"/>
        </w:rPr>
        <w:tab/>
      </w:r>
      <w:r w:rsidRPr="008849D2">
        <w:rPr>
          <w:b/>
          <w:bCs/>
          <w:lang w:val="fr-FR"/>
        </w:rPr>
        <w:tab/>
        <w:t>“</w:t>
      </w:r>
      <w:r w:rsidRPr="008849D2">
        <w:rPr>
          <w:b/>
          <w:bCs/>
          <w:i/>
          <w:iCs/>
          <w:lang w:val="fr-FR"/>
        </w:rPr>
        <w:t>Barrière de protection électrique</w:t>
      </w:r>
      <w:r w:rsidRPr="008849D2">
        <w:rPr>
          <w:b/>
          <w:bCs/>
          <w:lang w:val="fr-FR"/>
        </w:rPr>
        <w:t>”, l’élément de protection contre tout contact direct avec des éléments sous haute tension.</w:t>
      </w:r>
    </w:p>
    <w:p w14:paraId="490A2F6B" w14:textId="77777777" w:rsidR="002B7A37" w:rsidRPr="009479FF" w:rsidRDefault="002B7A37" w:rsidP="0014515F">
      <w:pPr>
        <w:pStyle w:val="SingleTxtG"/>
        <w:ind w:left="2268" w:hanging="1134"/>
        <w:rPr>
          <w:b/>
          <w:bCs/>
          <w:lang w:val="fr-FR"/>
        </w:rPr>
      </w:pPr>
      <w:r w:rsidRPr="00A404DA">
        <w:rPr>
          <w:b/>
          <w:bCs/>
          <w:lang w:val="fr-FR"/>
        </w:rPr>
        <w:t>2.32</w:t>
      </w:r>
      <w:r w:rsidRPr="00A404DA">
        <w:rPr>
          <w:b/>
          <w:bCs/>
          <w:lang w:val="fr-FR"/>
        </w:rPr>
        <w:tab/>
        <w:t>“</w:t>
      </w:r>
      <w:r w:rsidRPr="006F53E1">
        <w:rPr>
          <w:b/>
          <w:bCs/>
          <w:i/>
          <w:iCs/>
          <w:lang w:val="fr-FR"/>
        </w:rPr>
        <w:t>Chaîne de traction électrique</w:t>
      </w:r>
      <w:r w:rsidRPr="00A404DA">
        <w:rPr>
          <w:b/>
          <w:bCs/>
          <w:lang w:val="fr-FR"/>
        </w:rPr>
        <w:t>”, l</w:t>
      </w:r>
      <w:r>
        <w:rPr>
          <w:b/>
          <w:bCs/>
          <w:lang w:val="fr-FR"/>
        </w:rPr>
        <w:t>’</w:t>
      </w:r>
      <w:r w:rsidRPr="00A404DA">
        <w:rPr>
          <w:b/>
          <w:bCs/>
          <w:lang w:val="fr-FR"/>
        </w:rPr>
        <w:t>ensemble du circuit électrique comprenant le ou les moteurs de traction, et pouvant comprendre le SRSEE, le système de conversion de l</w:t>
      </w:r>
      <w:r>
        <w:rPr>
          <w:b/>
          <w:bCs/>
          <w:lang w:val="fr-FR"/>
        </w:rPr>
        <w:t>’</w:t>
      </w:r>
      <w:r w:rsidRPr="00A404DA">
        <w:rPr>
          <w:b/>
          <w:bCs/>
          <w:lang w:val="fr-FR"/>
        </w:rPr>
        <w:t>énergie électrique, les convertisseurs électroniques, le faisceau de câblage et les connecteurs, et le système de raccordement pour la recharge du SRSEE.</w:t>
      </w:r>
    </w:p>
    <w:p w14:paraId="26CA072C" w14:textId="77777777" w:rsidR="002B7A37" w:rsidRPr="009479FF" w:rsidRDefault="002B7A37" w:rsidP="0014515F">
      <w:pPr>
        <w:pStyle w:val="SingleTxtG"/>
        <w:ind w:left="2268" w:hanging="1134"/>
        <w:rPr>
          <w:b/>
          <w:bCs/>
          <w:lang w:val="fr-FR"/>
        </w:rPr>
      </w:pPr>
      <w:r w:rsidRPr="00A404DA">
        <w:rPr>
          <w:b/>
          <w:bCs/>
          <w:lang w:val="fr-FR"/>
        </w:rPr>
        <w:t>2.33</w:t>
      </w:r>
      <w:r w:rsidRPr="00A404DA">
        <w:rPr>
          <w:b/>
          <w:bCs/>
          <w:lang w:val="fr-FR"/>
        </w:rPr>
        <w:tab/>
      </w:r>
      <w:r w:rsidRPr="00A404DA">
        <w:rPr>
          <w:b/>
          <w:bCs/>
          <w:lang w:val="fr-FR"/>
        </w:rPr>
        <w:tab/>
        <w:t>“</w:t>
      </w:r>
      <w:r w:rsidRPr="006F53E1">
        <w:rPr>
          <w:b/>
          <w:bCs/>
          <w:i/>
          <w:iCs/>
          <w:lang w:val="fr-FR"/>
        </w:rPr>
        <w:t>Élément sous tension</w:t>
      </w:r>
      <w:r w:rsidRPr="00A404DA">
        <w:rPr>
          <w:b/>
          <w:bCs/>
          <w:lang w:val="fr-FR"/>
        </w:rPr>
        <w:t>”, un élément conducteur conçu pour être mis sous tension en conditions normales d</w:t>
      </w:r>
      <w:r>
        <w:rPr>
          <w:b/>
          <w:bCs/>
          <w:lang w:val="fr-FR"/>
        </w:rPr>
        <w:t>’</w:t>
      </w:r>
      <w:r w:rsidRPr="00A404DA">
        <w:rPr>
          <w:b/>
          <w:bCs/>
          <w:lang w:val="fr-FR"/>
        </w:rPr>
        <w:t>utilisation.</w:t>
      </w:r>
    </w:p>
    <w:p w14:paraId="2F81DAA8" w14:textId="77777777" w:rsidR="002B7A37" w:rsidRPr="009479FF" w:rsidRDefault="002B7A37" w:rsidP="0014515F">
      <w:pPr>
        <w:pStyle w:val="SingleTxtG"/>
        <w:ind w:left="2268" w:hanging="1134"/>
        <w:rPr>
          <w:b/>
          <w:bCs/>
          <w:lang w:val="fr-FR"/>
        </w:rPr>
      </w:pPr>
      <w:r w:rsidRPr="00A404DA">
        <w:rPr>
          <w:b/>
          <w:bCs/>
          <w:lang w:val="fr-FR"/>
        </w:rPr>
        <w:t>2.34</w:t>
      </w:r>
      <w:r w:rsidRPr="00A404DA">
        <w:rPr>
          <w:b/>
          <w:bCs/>
          <w:lang w:val="fr-FR"/>
        </w:rPr>
        <w:tab/>
        <w:t>“</w:t>
      </w:r>
      <w:r w:rsidRPr="006F53E1">
        <w:rPr>
          <w:b/>
          <w:bCs/>
          <w:i/>
          <w:iCs/>
          <w:lang w:val="fr-FR"/>
        </w:rPr>
        <w:t>Élément conducteur exposé</w:t>
      </w:r>
      <w:r w:rsidRPr="00A404DA">
        <w:rPr>
          <w:b/>
          <w:bCs/>
          <w:lang w:val="fr-FR"/>
        </w:rPr>
        <w:t xml:space="preserve">”, un élément conducteur </w:t>
      </w:r>
      <w:r w:rsidRPr="00C23BDF">
        <w:rPr>
          <w:b/>
          <w:bCs/>
          <w:lang w:val="fr-FR"/>
        </w:rPr>
        <w:t>que l</w:t>
      </w:r>
      <w:r>
        <w:rPr>
          <w:b/>
          <w:bCs/>
          <w:lang w:val="fr-FR"/>
        </w:rPr>
        <w:t>’</w:t>
      </w:r>
      <w:r w:rsidRPr="00C23BDF">
        <w:rPr>
          <w:b/>
          <w:bCs/>
          <w:lang w:val="fr-FR"/>
        </w:rPr>
        <w:t xml:space="preserve">on peut toucher </w:t>
      </w:r>
      <w:r w:rsidRPr="00A404DA">
        <w:rPr>
          <w:b/>
          <w:bCs/>
          <w:lang w:val="fr-FR"/>
        </w:rPr>
        <w:t>selon les dispositions relatives au degré de protection IPXXB et qui n</w:t>
      </w:r>
      <w:r>
        <w:rPr>
          <w:b/>
          <w:bCs/>
          <w:lang w:val="fr-FR"/>
        </w:rPr>
        <w:t>’</w:t>
      </w:r>
      <w:r w:rsidRPr="00A404DA">
        <w:rPr>
          <w:b/>
          <w:bCs/>
          <w:lang w:val="fr-FR"/>
        </w:rPr>
        <w:t>est normalement pas mis sous tension mais peut l</w:t>
      </w:r>
      <w:r>
        <w:rPr>
          <w:b/>
          <w:bCs/>
          <w:lang w:val="fr-FR"/>
        </w:rPr>
        <w:t>’</w:t>
      </w:r>
      <w:r w:rsidRPr="00A404DA">
        <w:rPr>
          <w:b/>
          <w:bCs/>
          <w:lang w:val="fr-FR"/>
        </w:rPr>
        <w:t>être en cas de défaillance de l</w:t>
      </w:r>
      <w:r>
        <w:rPr>
          <w:b/>
          <w:bCs/>
          <w:lang w:val="fr-FR"/>
        </w:rPr>
        <w:t>’</w:t>
      </w:r>
      <w:r w:rsidRPr="00A404DA">
        <w:rPr>
          <w:b/>
          <w:bCs/>
          <w:lang w:val="fr-FR"/>
        </w:rPr>
        <w:t>isolation. Il s</w:t>
      </w:r>
      <w:r>
        <w:rPr>
          <w:b/>
          <w:bCs/>
          <w:lang w:val="fr-FR"/>
        </w:rPr>
        <w:t>’</w:t>
      </w:r>
      <w:r w:rsidRPr="00A404DA">
        <w:rPr>
          <w:b/>
          <w:bCs/>
          <w:lang w:val="fr-FR"/>
        </w:rPr>
        <w:t>agit notamment des éléments protégés par un cache qui peut être enlevé sans avoir recours à des outils</w:t>
      </w:r>
      <w:r>
        <w:rPr>
          <w:b/>
          <w:bCs/>
          <w:lang w:val="fr-FR"/>
        </w:rPr>
        <w:t>.</w:t>
      </w:r>
    </w:p>
    <w:p w14:paraId="23AE374D" w14:textId="77777777" w:rsidR="002B7A37" w:rsidRPr="009479FF" w:rsidRDefault="002B7A37" w:rsidP="0014515F">
      <w:pPr>
        <w:pStyle w:val="SingleTxtG"/>
        <w:ind w:left="2268" w:hanging="1134"/>
        <w:rPr>
          <w:b/>
          <w:bCs/>
          <w:lang w:val="fr-FR"/>
        </w:rPr>
      </w:pPr>
      <w:r w:rsidRPr="00A404DA">
        <w:rPr>
          <w:b/>
          <w:bCs/>
          <w:lang w:val="fr-FR"/>
        </w:rPr>
        <w:t>2.35</w:t>
      </w:r>
      <w:r w:rsidRPr="00A404DA">
        <w:rPr>
          <w:b/>
          <w:bCs/>
          <w:lang w:val="fr-FR"/>
        </w:rPr>
        <w:tab/>
      </w:r>
      <w:r w:rsidRPr="00A404DA">
        <w:rPr>
          <w:b/>
          <w:bCs/>
          <w:lang w:val="fr-FR"/>
        </w:rPr>
        <w:tab/>
        <w:t>“</w:t>
      </w:r>
      <w:r w:rsidRPr="00942531">
        <w:rPr>
          <w:b/>
          <w:bCs/>
          <w:i/>
          <w:iCs/>
          <w:lang w:val="fr-FR"/>
        </w:rPr>
        <w:t>Contact direct</w:t>
      </w:r>
      <w:r w:rsidRPr="00A404DA">
        <w:rPr>
          <w:b/>
          <w:bCs/>
          <w:lang w:val="fr-FR"/>
        </w:rPr>
        <w:t>”</w:t>
      </w:r>
      <w:r>
        <w:rPr>
          <w:b/>
          <w:bCs/>
          <w:lang w:val="fr-FR"/>
        </w:rPr>
        <w:t>,</w:t>
      </w:r>
      <w:r w:rsidRPr="00A404DA">
        <w:rPr>
          <w:b/>
          <w:bCs/>
          <w:lang w:val="fr-FR"/>
        </w:rPr>
        <w:t xml:space="preserve"> le contact de personnes avec des composants sous haute tension.</w:t>
      </w:r>
    </w:p>
    <w:p w14:paraId="6D8C3766" w14:textId="1DD04D49" w:rsidR="002B7A37" w:rsidRPr="009479FF" w:rsidRDefault="002B7A37" w:rsidP="0014515F">
      <w:pPr>
        <w:pStyle w:val="SingleTxtG"/>
        <w:ind w:left="2268" w:hanging="1134"/>
        <w:rPr>
          <w:b/>
          <w:bCs/>
          <w:spacing w:val="-2"/>
          <w:lang w:val="fr-FR"/>
        </w:rPr>
      </w:pPr>
      <w:r w:rsidRPr="00A404DA">
        <w:rPr>
          <w:b/>
          <w:bCs/>
          <w:lang w:val="fr-FR"/>
        </w:rPr>
        <w:t>2.36</w:t>
      </w:r>
      <w:r w:rsidRPr="00A404DA">
        <w:rPr>
          <w:b/>
          <w:bCs/>
          <w:lang w:val="fr-FR"/>
        </w:rPr>
        <w:tab/>
      </w:r>
      <w:r w:rsidR="0014515F" w:rsidRPr="00A404DA">
        <w:rPr>
          <w:b/>
          <w:bCs/>
          <w:lang w:val="fr-FR"/>
        </w:rPr>
        <w:tab/>
        <w:t>“</w:t>
      </w:r>
      <w:r w:rsidRPr="00942531">
        <w:rPr>
          <w:b/>
          <w:bCs/>
          <w:i/>
          <w:iCs/>
          <w:lang w:val="fr-FR"/>
        </w:rPr>
        <w:t>Contact indirect</w:t>
      </w:r>
      <w:r w:rsidR="0014515F" w:rsidRPr="00A404DA">
        <w:rPr>
          <w:b/>
          <w:bCs/>
          <w:lang w:val="fr-FR"/>
        </w:rPr>
        <w:t>”</w:t>
      </w:r>
      <w:r w:rsidRPr="00A404DA">
        <w:rPr>
          <w:b/>
          <w:bCs/>
          <w:lang w:val="fr-FR"/>
        </w:rPr>
        <w:t>, le contact de personnes avec des éléments conducteurs exposé</w:t>
      </w:r>
      <w:r>
        <w:rPr>
          <w:b/>
          <w:bCs/>
          <w:lang w:val="fr-FR"/>
        </w:rPr>
        <w:t>s.</w:t>
      </w:r>
    </w:p>
    <w:p w14:paraId="37362743" w14:textId="1B76E828" w:rsidR="002B7A37" w:rsidRPr="009479FF" w:rsidRDefault="002B7A37" w:rsidP="0014515F">
      <w:pPr>
        <w:pStyle w:val="SingleTxtG"/>
        <w:ind w:left="2268" w:hanging="1134"/>
        <w:rPr>
          <w:b/>
          <w:bCs/>
          <w:lang w:val="fr-FR"/>
        </w:rPr>
      </w:pPr>
      <w:r w:rsidRPr="00A404DA">
        <w:rPr>
          <w:b/>
          <w:bCs/>
          <w:lang w:val="fr-FR"/>
        </w:rPr>
        <w:t>2.37</w:t>
      </w:r>
      <w:r w:rsidRPr="00A404DA">
        <w:rPr>
          <w:b/>
          <w:bCs/>
          <w:lang w:val="fr-FR"/>
        </w:rPr>
        <w:tab/>
      </w:r>
      <w:r w:rsidRPr="00A404DA">
        <w:rPr>
          <w:b/>
          <w:bCs/>
          <w:lang w:val="fr-FR"/>
        </w:rPr>
        <w:tab/>
      </w:r>
      <w:r w:rsidR="0014515F" w:rsidRPr="00A404DA">
        <w:rPr>
          <w:b/>
          <w:bCs/>
          <w:lang w:val="fr-FR"/>
        </w:rPr>
        <w:t>“</w:t>
      </w:r>
      <w:r w:rsidRPr="00942531">
        <w:rPr>
          <w:b/>
          <w:bCs/>
          <w:i/>
          <w:iCs/>
          <w:lang w:val="fr-FR"/>
        </w:rPr>
        <w:t>Degré de protection IPXXB</w:t>
      </w:r>
      <w:r w:rsidR="0014515F" w:rsidRPr="00A404DA">
        <w:rPr>
          <w:b/>
          <w:bCs/>
          <w:lang w:val="fr-FR"/>
        </w:rPr>
        <w:t>”</w:t>
      </w:r>
      <w:r w:rsidRPr="00A404DA">
        <w:rPr>
          <w:b/>
          <w:bCs/>
          <w:lang w:val="fr-FR"/>
        </w:rPr>
        <w:t>, la protection contre tout contact avec les éléments à haute tension, assurée par une barrière ou un carter de protection et mesurée au moyen du doigt d</w:t>
      </w:r>
      <w:r>
        <w:rPr>
          <w:b/>
          <w:bCs/>
          <w:lang w:val="fr-FR"/>
        </w:rPr>
        <w:t>’</w:t>
      </w:r>
      <w:r w:rsidRPr="00A404DA">
        <w:rPr>
          <w:b/>
          <w:bCs/>
          <w:lang w:val="fr-FR"/>
        </w:rPr>
        <w:t>épreuve articulé (degré IPXXB) décrit au paragraphe 4 de l</w:t>
      </w:r>
      <w:r>
        <w:rPr>
          <w:b/>
          <w:bCs/>
          <w:lang w:val="fr-FR"/>
        </w:rPr>
        <w:t>’</w:t>
      </w:r>
      <w:r w:rsidRPr="00A404DA">
        <w:rPr>
          <w:b/>
          <w:bCs/>
          <w:lang w:val="fr-FR"/>
        </w:rPr>
        <w:t>annexe 11.</w:t>
      </w:r>
    </w:p>
    <w:p w14:paraId="338CFBB3" w14:textId="36F8B47B" w:rsidR="002B7A37" w:rsidRPr="009479FF" w:rsidRDefault="002B7A37" w:rsidP="0014515F">
      <w:pPr>
        <w:pStyle w:val="SingleTxtG"/>
        <w:ind w:left="2268" w:hanging="1134"/>
        <w:rPr>
          <w:b/>
          <w:bCs/>
          <w:lang w:val="fr-FR"/>
        </w:rPr>
      </w:pPr>
      <w:r w:rsidRPr="00A404DA">
        <w:rPr>
          <w:b/>
          <w:bCs/>
          <w:lang w:val="fr-FR"/>
        </w:rPr>
        <w:t>2.38</w:t>
      </w:r>
      <w:r w:rsidRPr="00A404DA">
        <w:rPr>
          <w:b/>
          <w:bCs/>
          <w:lang w:val="fr-FR"/>
        </w:rPr>
        <w:tab/>
      </w:r>
      <w:r w:rsidR="0014515F" w:rsidRPr="00A404DA">
        <w:rPr>
          <w:b/>
          <w:bCs/>
          <w:lang w:val="fr-FR"/>
        </w:rPr>
        <w:t>“</w:t>
      </w:r>
      <w:r w:rsidRPr="00942531">
        <w:rPr>
          <w:b/>
          <w:bCs/>
          <w:i/>
          <w:iCs/>
          <w:lang w:val="fr-FR"/>
        </w:rPr>
        <w:t>Tension de fonctionnement</w:t>
      </w:r>
      <w:r w:rsidR="0014515F" w:rsidRPr="00A404DA">
        <w:rPr>
          <w:b/>
          <w:bCs/>
          <w:lang w:val="fr-FR"/>
        </w:rPr>
        <w:t>”</w:t>
      </w:r>
      <w:r w:rsidRPr="00A404DA">
        <w:rPr>
          <w:b/>
          <w:bCs/>
          <w:lang w:val="fr-FR"/>
        </w:rPr>
        <w:t>, la valeur la plus élevée de la tension efficace d</w:t>
      </w:r>
      <w:r>
        <w:rPr>
          <w:b/>
          <w:bCs/>
          <w:lang w:val="fr-FR"/>
        </w:rPr>
        <w:t>’</w:t>
      </w:r>
      <w:r w:rsidRPr="00A404DA">
        <w:rPr>
          <w:b/>
          <w:bCs/>
          <w:lang w:val="fr-FR"/>
        </w:rPr>
        <w:t>un circuit électrique</w:t>
      </w:r>
      <w:r>
        <w:rPr>
          <w:b/>
          <w:bCs/>
          <w:lang w:val="fr-FR"/>
        </w:rPr>
        <w:t>,</w:t>
      </w:r>
      <w:r w:rsidRPr="00A404DA">
        <w:rPr>
          <w:b/>
          <w:bCs/>
          <w:lang w:val="fr-FR"/>
        </w:rPr>
        <w:t xml:space="preserve"> indiquée par le constructeur, qui peut exister entre des éléments conducteurs quand le circuit est ouvert ou dans des conditions normales de fonctionnement. Si le circuit électrique est divisé en plusieurs circuits par isol</w:t>
      </w:r>
      <w:r>
        <w:rPr>
          <w:b/>
          <w:bCs/>
          <w:lang w:val="fr-FR"/>
        </w:rPr>
        <w:t>ation</w:t>
      </w:r>
      <w:r w:rsidRPr="00A404DA">
        <w:rPr>
          <w:b/>
          <w:bCs/>
          <w:lang w:val="fr-FR"/>
        </w:rPr>
        <w:t xml:space="preserve"> galvanique, la tension de fonctionnement est définie pour chacun d</w:t>
      </w:r>
      <w:r>
        <w:rPr>
          <w:b/>
          <w:bCs/>
          <w:lang w:val="fr-FR"/>
        </w:rPr>
        <w:t>’</w:t>
      </w:r>
      <w:r w:rsidRPr="00A404DA">
        <w:rPr>
          <w:b/>
          <w:bCs/>
          <w:lang w:val="fr-FR"/>
        </w:rPr>
        <w:t>eux</w:t>
      </w:r>
      <w:r>
        <w:rPr>
          <w:b/>
          <w:bCs/>
          <w:lang w:val="fr-FR"/>
        </w:rPr>
        <w:t>.</w:t>
      </w:r>
    </w:p>
    <w:p w14:paraId="42A0CB02" w14:textId="2EB9BFB5" w:rsidR="002B7A37" w:rsidRPr="009479FF" w:rsidRDefault="002B7A37" w:rsidP="0014515F">
      <w:pPr>
        <w:pStyle w:val="SingleTxtG"/>
        <w:ind w:left="2268" w:hanging="1134"/>
        <w:rPr>
          <w:b/>
          <w:bCs/>
          <w:lang w:val="fr-FR"/>
        </w:rPr>
      </w:pPr>
      <w:r w:rsidRPr="00A404DA">
        <w:rPr>
          <w:b/>
          <w:bCs/>
          <w:lang w:val="fr-FR"/>
        </w:rPr>
        <w:t>2.39</w:t>
      </w:r>
      <w:r w:rsidRPr="00A404DA">
        <w:rPr>
          <w:b/>
          <w:bCs/>
          <w:lang w:val="fr-FR"/>
        </w:rPr>
        <w:tab/>
      </w:r>
      <w:r w:rsidRPr="00A404DA">
        <w:rPr>
          <w:b/>
          <w:bCs/>
          <w:lang w:val="fr-FR"/>
        </w:rPr>
        <w:tab/>
      </w:r>
      <w:r w:rsidR="0014515F" w:rsidRPr="00A404DA">
        <w:rPr>
          <w:b/>
          <w:bCs/>
          <w:lang w:val="fr-FR"/>
        </w:rPr>
        <w:t>“</w:t>
      </w:r>
      <w:r w:rsidRPr="00942531">
        <w:rPr>
          <w:b/>
          <w:bCs/>
          <w:i/>
          <w:iCs/>
          <w:lang w:val="fr-FR"/>
        </w:rPr>
        <w:t>Système de raccordement pour la recharge du système rechargeable de stockage de l</w:t>
      </w:r>
      <w:r>
        <w:rPr>
          <w:b/>
          <w:bCs/>
          <w:i/>
          <w:iCs/>
          <w:lang w:val="fr-FR"/>
        </w:rPr>
        <w:t>’</w:t>
      </w:r>
      <w:r w:rsidRPr="00942531">
        <w:rPr>
          <w:b/>
          <w:bCs/>
          <w:i/>
          <w:iCs/>
          <w:lang w:val="fr-FR"/>
        </w:rPr>
        <w:t>énergie électrique (SRSEE)</w:t>
      </w:r>
      <w:r w:rsidR="0014515F" w:rsidRPr="00A404DA">
        <w:rPr>
          <w:b/>
          <w:bCs/>
          <w:lang w:val="fr-FR"/>
        </w:rPr>
        <w:t>”</w:t>
      </w:r>
      <w:r w:rsidRPr="00A404DA">
        <w:rPr>
          <w:b/>
          <w:bCs/>
          <w:lang w:val="fr-FR"/>
        </w:rPr>
        <w:t>, le circuit électrique utilisé pour recharger le SRSEE à partir d</w:t>
      </w:r>
      <w:r>
        <w:rPr>
          <w:b/>
          <w:bCs/>
          <w:lang w:val="fr-FR"/>
        </w:rPr>
        <w:t>’</w:t>
      </w:r>
      <w:r w:rsidRPr="00A404DA">
        <w:rPr>
          <w:b/>
          <w:bCs/>
          <w:lang w:val="fr-FR"/>
        </w:rPr>
        <w:t>une source électrique extérieure, y compris la prise de raccordement côté véhicule</w:t>
      </w:r>
      <w:r>
        <w:rPr>
          <w:b/>
          <w:bCs/>
          <w:lang w:val="fr-FR"/>
        </w:rPr>
        <w:t>.</w:t>
      </w:r>
    </w:p>
    <w:p w14:paraId="2D98E26C" w14:textId="29CC74E2" w:rsidR="002B7A37" w:rsidRPr="009479FF" w:rsidRDefault="002B7A37" w:rsidP="0014515F">
      <w:pPr>
        <w:pStyle w:val="SingleTxtG"/>
        <w:ind w:left="2268" w:hanging="1134"/>
        <w:rPr>
          <w:b/>
          <w:bCs/>
          <w:lang w:val="fr-FR"/>
        </w:rPr>
      </w:pPr>
      <w:r w:rsidRPr="00A404DA">
        <w:rPr>
          <w:b/>
          <w:bCs/>
          <w:lang w:val="fr-FR"/>
        </w:rPr>
        <w:t>2.40</w:t>
      </w:r>
      <w:r w:rsidRPr="00A404DA">
        <w:rPr>
          <w:b/>
          <w:bCs/>
          <w:lang w:val="fr-FR"/>
        </w:rPr>
        <w:tab/>
      </w:r>
      <w:r w:rsidRPr="00A404DA">
        <w:rPr>
          <w:b/>
          <w:bCs/>
          <w:lang w:val="fr-FR"/>
        </w:rPr>
        <w:tab/>
      </w:r>
      <w:r w:rsidR="0014515F" w:rsidRPr="00A404DA">
        <w:rPr>
          <w:b/>
          <w:bCs/>
          <w:lang w:val="fr-FR"/>
        </w:rPr>
        <w:t>“</w:t>
      </w:r>
      <w:r w:rsidRPr="00942531">
        <w:rPr>
          <w:b/>
          <w:bCs/>
          <w:i/>
          <w:iCs/>
          <w:lang w:val="fr-FR"/>
        </w:rPr>
        <w:t>Masse électrique</w:t>
      </w:r>
      <w:r w:rsidR="0014515F" w:rsidRPr="00A404DA">
        <w:rPr>
          <w:b/>
          <w:bCs/>
          <w:lang w:val="fr-FR"/>
        </w:rPr>
        <w:t>”</w:t>
      </w:r>
      <w:r w:rsidRPr="00A404DA">
        <w:rPr>
          <w:b/>
          <w:bCs/>
          <w:lang w:val="fr-FR"/>
        </w:rPr>
        <w:t>, un ensemble d</w:t>
      </w:r>
      <w:r>
        <w:rPr>
          <w:b/>
          <w:bCs/>
          <w:lang w:val="fr-FR"/>
        </w:rPr>
        <w:t>’</w:t>
      </w:r>
      <w:r w:rsidRPr="00A404DA">
        <w:rPr>
          <w:b/>
          <w:bCs/>
          <w:lang w:val="fr-FR"/>
        </w:rPr>
        <w:t>éléments conducteurs reliés électriquement, dont le potentiel électrique est pris comme référence</w:t>
      </w:r>
      <w:r>
        <w:rPr>
          <w:b/>
          <w:bCs/>
          <w:lang w:val="fr-FR"/>
        </w:rPr>
        <w:t>.</w:t>
      </w:r>
    </w:p>
    <w:p w14:paraId="5D3302C7" w14:textId="77777777" w:rsidR="002B7A37" w:rsidRPr="009479FF" w:rsidRDefault="002B7A37" w:rsidP="0014515F">
      <w:pPr>
        <w:pStyle w:val="SingleTxtG"/>
        <w:ind w:left="2268" w:hanging="1134"/>
        <w:rPr>
          <w:b/>
          <w:bCs/>
          <w:lang w:val="fr-FR"/>
        </w:rPr>
      </w:pPr>
      <w:r w:rsidRPr="00A404DA">
        <w:rPr>
          <w:b/>
          <w:bCs/>
          <w:lang w:val="fr-FR"/>
        </w:rPr>
        <w:t>2.41</w:t>
      </w:r>
      <w:r w:rsidRPr="00A404DA">
        <w:rPr>
          <w:b/>
          <w:bCs/>
          <w:lang w:val="fr-FR"/>
        </w:rPr>
        <w:tab/>
      </w:r>
      <w:r w:rsidRPr="00A404DA">
        <w:rPr>
          <w:b/>
          <w:bCs/>
          <w:lang w:val="fr-FR"/>
        </w:rPr>
        <w:tab/>
        <w:t>“</w:t>
      </w:r>
      <w:r w:rsidRPr="00690143">
        <w:rPr>
          <w:b/>
          <w:bCs/>
          <w:i/>
          <w:iCs/>
          <w:lang w:val="fr-FR"/>
        </w:rPr>
        <w:t>Circuit électrique</w:t>
      </w:r>
      <w:r w:rsidRPr="00A404DA">
        <w:rPr>
          <w:b/>
          <w:bCs/>
          <w:lang w:val="fr-FR"/>
        </w:rPr>
        <w:t>”, un ensemble d</w:t>
      </w:r>
      <w:r>
        <w:rPr>
          <w:b/>
          <w:bCs/>
          <w:lang w:val="fr-FR"/>
        </w:rPr>
        <w:t>’</w:t>
      </w:r>
      <w:r w:rsidRPr="00A404DA">
        <w:rPr>
          <w:b/>
          <w:bCs/>
          <w:lang w:val="fr-FR"/>
        </w:rPr>
        <w:t>éléments interconnectés conçus pour être sous tension dans des conditions normales de fonctionnement.</w:t>
      </w:r>
    </w:p>
    <w:p w14:paraId="08FE7951" w14:textId="705A58EE" w:rsidR="002B7A37" w:rsidRPr="009479FF" w:rsidRDefault="002B7A37" w:rsidP="0014515F">
      <w:pPr>
        <w:pStyle w:val="SingleTxtG"/>
        <w:ind w:left="2268" w:hanging="1134"/>
        <w:rPr>
          <w:b/>
          <w:bCs/>
          <w:lang w:val="fr-FR"/>
        </w:rPr>
      </w:pPr>
      <w:r w:rsidRPr="00A404DA">
        <w:rPr>
          <w:b/>
          <w:bCs/>
          <w:lang w:val="fr-FR"/>
        </w:rPr>
        <w:t>2.42</w:t>
      </w:r>
      <w:r w:rsidRPr="00A404DA">
        <w:rPr>
          <w:b/>
          <w:bCs/>
          <w:lang w:val="fr-FR"/>
        </w:rPr>
        <w:tab/>
      </w:r>
      <w:r w:rsidRPr="00A404DA">
        <w:rPr>
          <w:b/>
          <w:bCs/>
          <w:lang w:val="fr-FR"/>
        </w:rPr>
        <w:tab/>
      </w:r>
      <w:r w:rsidR="0014515F" w:rsidRPr="00A404DA">
        <w:rPr>
          <w:b/>
          <w:bCs/>
          <w:lang w:val="fr-FR"/>
        </w:rPr>
        <w:t>“</w:t>
      </w:r>
      <w:r w:rsidRPr="00690143">
        <w:rPr>
          <w:b/>
          <w:bCs/>
          <w:i/>
          <w:iCs/>
          <w:lang w:val="fr-FR"/>
        </w:rPr>
        <w:t>Système de conversion de l</w:t>
      </w:r>
      <w:r>
        <w:rPr>
          <w:b/>
          <w:bCs/>
          <w:i/>
          <w:iCs/>
          <w:lang w:val="fr-FR"/>
        </w:rPr>
        <w:t>’</w:t>
      </w:r>
      <w:r w:rsidRPr="00690143">
        <w:rPr>
          <w:b/>
          <w:bCs/>
          <w:i/>
          <w:iCs/>
          <w:lang w:val="fr-FR"/>
        </w:rPr>
        <w:t>énergie électrique</w:t>
      </w:r>
      <w:r w:rsidR="0014515F" w:rsidRPr="00A404DA">
        <w:rPr>
          <w:b/>
          <w:bCs/>
          <w:lang w:val="fr-FR"/>
        </w:rPr>
        <w:t>”</w:t>
      </w:r>
      <w:r w:rsidRPr="00A404DA">
        <w:rPr>
          <w:b/>
          <w:bCs/>
          <w:lang w:val="fr-FR"/>
        </w:rPr>
        <w:t>, un système (une pile à combustible, par exemple) qui produit et fournit l</w:t>
      </w:r>
      <w:r>
        <w:rPr>
          <w:b/>
          <w:bCs/>
          <w:lang w:val="fr-FR"/>
        </w:rPr>
        <w:t>’</w:t>
      </w:r>
      <w:r w:rsidRPr="00A404DA">
        <w:rPr>
          <w:b/>
          <w:bCs/>
          <w:lang w:val="fr-FR"/>
        </w:rPr>
        <w:t xml:space="preserve">énergie électrique nécessaire à la </w:t>
      </w:r>
      <w:r w:rsidRPr="00560610">
        <w:rPr>
          <w:b/>
          <w:bCs/>
          <w:lang w:val="fr-FR"/>
        </w:rPr>
        <w:t>propulsion électrique</w:t>
      </w:r>
      <w:r>
        <w:rPr>
          <w:b/>
          <w:bCs/>
          <w:lang w:val="fr-FR"/>
        </w:rPr>
        <w:t>.</w:t>
      </w:r>
    </w:p>
    <w:p w14:paraId="2580D6EB" w14:textId="24D0A680" w:rsidR="002B7A37" w:rsidRPr="009479FF" w:rsidRDefault="002B7A37" w:rsidP="0014515F">
      <w:pPr>
        <w:pStyle w:val="SingleTxtG"/>
        <w:ind w:left="2268" w:hanging="1134"/>
        <w:rPr>
          <w:b/>
          <w:bCs/>
          <w:lang w:val="fr-FR"/>
        </w:rPr>
      </w:pPr>
      <w:r w:rsidRPr="00A404DA">
        <w:rPr>
          <w:b/>
          <w:bCs/>
          <w:lang w:val="fr-FR"/>
        </w:rPr>
        <w:t>2.43</w:t>
      </w:r>
      <w:r w:rsidRPr="00A404DA">
        <w:rPr>
          <w:b/>
          <w:bCs/>
          <w:lang w:val="fr-FR"/>
        </w:rPr>
        <w:tab/>
      </w:r>
      <w:r w:rsidRPr="00A404DA">
        <w:rPr>
          <w:b/>
          <w:bCs/>
          <w:lang w:val="fr-FR"/>
        </w:rPr>
        <w:tab/>
      </w:r>
      <w:r w:rsidR="0014515F" w:rsidRPr="00A404DA">
        <w:rPr>
          <w:b/>
          <w:bCs/>
          <w:lang w:val="fr-FR"/>
        </w:rPr>
        <w:t>“</w:t>
      </w:r>
      <w:r w:rsidRPr="00690143">
        <w:rPr>
          <w:b/>
          <w:bCs/>
          <w:i/>
          <w:iCs/>
          <w:lang w:val="fr-FR"/>
        </w:rPr>
        <w:t>Convertisseur électronique</w:t>
      </w:r>
      <w:r w:rsidR="0014515F" w:rsidRPr="00A404DA">
        <w:rPr>
          <w:b/>
          <w:bCs/>
          <w:lang w:val="fr-FR"/>
        </w:rPr>
        <w:t>”</w:t>
      </w:r>
      <w:r w:rsidRPr="00A404DA">
        <w:rPr>
          <w:b/>
          <w:bCs/>
          <w:lang w:val="fr-FR"/>
        </w:rPr>
        <w:t>, un appareil capable de réguler et/ou de convertir l</w:t>
      </w:r>
      <w:r>
        <w:rPr>
          <w:b/>
          <w:bCs/>
          <w:lang w:val="fr-FR"/>
        </w:rPr>
        <w:t>’</w:t>
      </w:r>
      <w:r w:rsidRPr="00A404DA">
        <w:rPr>
          <w:b/>
          <w:bCs/>
          <w:lang w:val="fr-FR"/>
        </w:rPr>
        <w:t xml:space="preserve">énergie électrique nécessaire à la </w:t>
      </w:r>
      <w:r w:rsidRPr="00560610">
        <w:rPr>
          <w:b/>
          <w:bCs/>
          <w:lang w:val="fr-FR"/>
        </w:rPr>
        <w:t>propulsion électrique</w:t>
      </w:r>
      <w:r>
        <w:rPr>
          <w:b/>
          <w:bCs/>
          <w:lang w:val="fr-FR"/>
        </w:rPr>
        <w:t>.</w:t>
      </w:r>
    </w:p>
    <w:p w14:paraId="5AC1BB94" w14:textId="77777777" w:rsidR="002B7A37" w:rsidRPr="009479FF" w:rsidRDefault="002B7A37" w:rsidP="0014515F">
      <w:pPr>
        <w:pStyle w:val="SingleTxtG"/>
        <w:ind w:left="2268" w:hanging="1134"/>
        <w:rPr>
          <w:b/>
          <w:bCs/>
          <w:lang w:val="fr-FR"/>
        </w:rPr>
      </w:pPr>
      <w:r w:rsidRPr="00A404DA">
        <w:rPr>
          <w:b/>
          <w:bCs/>
          <w:lang w:val="fr-FR"/>
        </w:rPr>
        <w:t>2.44</w:t>
      </w:r>
      <w:r w:rsidRPr="00A404DA">
        <w:rPr>
          <w:b/>
          <w:bCs/>
          <w:lang w:val="fr-FR"/>
        </w:rPr>
        <w:tab/>
        <w:t>“</w:t>
      </w:r>
      <w:r w:rsidRPr="00690143">
        <w:rPr>
          <w:b/>
          <w:bCs/>
          <w:i/>
          <w:iCs/>
          <w:lang w:val="fr-FR"/>
        </w:rPr>
        <w:t>Carter de protection</w:t>
      </w:r>
      <w:r w:rsidRPr="00A404DA">
        <w:rPr>
          <w:b/>
          <w:bCs/>
          <w:lang w:val="fr-FR"/>
        </w:rPr>
        <w:t>”</w:t>
      </w:r>
      <w:r>
        <w:rPr>
          <w:b/>
          <w:bCs/>
          <w:lang w:val="fr-FR"/>
        </w:rPr>
        <w:t>,</w:t>
      </w:r>
      <w:r w:rsidRPr="00A404DA">
        <w:rPr>
          <w:b/>
          <w:bCs/>
          <w:lang w:val="fr-FR"/>
        </w:rPr>
        <w:t xml:space="preserve"> un </w:t>
      </w:r>
      <w:r>
        <w:rPr>
          <w:b/>
          <w:bCs/>
          <w:lang w:val="fr-FR"/>
        </w:rPr>
        <w:t>élément</w:t>
      </w:r>
      <w:r w:rsidRPr="00A404DA">
        <w:rPr>
          <w:b/>
          <w:bCs/>
          <w:lang w:val="fr-FR"/>
        </w:rPr>
        <w:t xml:space="preserve"> qui contient les organes internes et protège contre tout contact direct.</w:t>
      </w:r>
    </w:p>
    <w:p w14:paraId="5545FE2C" w14:textId="77777777" w:rsidR="002B7A37" w:rsidRPr="009479FF" w:rsidRDefault="002B7A37" w:rsidP="0014515F">
      <w:pPr>
        <w:pStyle w:val="SingleTxtG"/>
        <w:ind w:left="2268" w:hanging="1134"/>
        <w:rPr>
          <w:b/>
          <w:bCs/>
          <w:lang w:val="fr-FR"/>
        </w:rPr>
      </w:pPr>
      <w:r w:rsidRPr="00A404DA">
        <w:rPr>
          <w:b/>
          <w:bCs/>
          <w:lang w:val="fr-FR"/>
        </w:rPr>
        <w:t>2.45</w:t>
      </w:r>
      <w:r w:rsidRPr="00A404DA">
        <w:rPr>
          <w:b/>
          <w:bCs/>
          <w:lang w:val="fr-FR"/>
        </w:rPr>
        <w:tab/>
      </w:r>
      <w:r w:rsidRPr="00A404DA">
        <w:rPr>
          <w:b/>
          <w:bCs/>
          <w:lang w:val="fr-FR"/>
        </w:rPr>
        <w:tab/>
        <w:t>“</w:t>
      </w:r>
      <w:r w:rsidRPr="00690143">
        <w:rPr>
          <w:b/>
          <w:bCs/>
          <w:i/>
          <w:iCs/>
          <w:lang w:val="fr-FR"/>
        </w:rPr>
        <w:t>Rail haute tension</w:t>
      </w:r>
      <w:r w:rsidRPr="00A404DA">
        <w:rPr>
          <w:b/>
          <w:bCs/>
          <w:lang w:val="fr-FR"/>
        </w:rPr>
        <w:t>”, le circuit électrique, y compris le système de raccordement pour la recharge du SRSEE, qui fonctionne sous haute tension. Dans le cas des circuits électriques qui sont interconnectés galvaniquement et remplissent les conditions de tension voulues, seuls les éléments ou parties du circuit électrique qui fonctionnent à haute tension sont considérés comme un rail haute tension.</w:t>
      </w:r>
    </w:p>
    <w:p w14:paraId="7934BCEA" w14:textId="77777777" w:rsidR="002B7A37" w:rsidRPr="009479FF" w:rsidRDefault="002B7A37" w:rsidP="0014515F">
      <w:pPr>
        <w:pStyle w:val="SingleTxtG"/>
        <w:ind w:left="2268" w:hanging="1134"/>
        <w:rPr>
          <w:b/>
          <w:bCs/>
          <w:lang w:val="fr-FR"/>
        </w:rPr>
      </w:pPr>
      <w:r w:rsidRPr="00A404DA">
        <w:rPr>
          <w:b/>
          <w:bCs/>
          <w:lang w:val="fr-FR"/>
        </w:rPr>
        <w:t>2.46</w:t>
      </w:r>
      <w:r w:rsidRPr="00A404DA">
        <w:rPr>
          <w:b/>
          <w:bCs/>
          <w:lang w:val="fr-FR"/>
        </w:rPr>
        <w:tab/>
      </w:r>
      <w:r w:rsidRPr="00A404DA">
        <w:rPr>
          <w:b/>
          <w:bCs/>
          <w:lang w:val="fr-FR"/>
        </w:rPr>
        <w:tab/>
        <w:t>“</w:t>
      </w:r>
      <w:r w:rsidRPr="00612475">
        <w:rPr>
          <w:b/>
          <w:bCs/>
          <w:i/>
          <w:iCs/>
          <w:lang w:val="fr-FR"/>
        </w:rPr>
        <w:t>Isolant solide</w:t>
      </w:r>
      <w:r w:rsidRPr="00A404DA">
        <w:rPr>
          <w:b/>
          <w:bCs/>
          <w:lang w:val="fr-FR"/>
        </w:rPr>
        <w:t xml:space="preserve">”, le revêtement isolant du faisceau de câblage destiné à recouvrir les éléments sous haute tension et à les protéger de tout contact direct. </w:t>
      </w:r>
    </w:p>
    <w:p w14:paraId="77406287" w14:textId="77777777" w:rsidR="002B7A37" w:rsidRPr="009479FF" w:rsidRDefault="002B7A37" w:rsidP="0014515F">
      <w:pPr>
        <w:pStyle w:val="SingleTxtG"/>
        <w:ind w:left="2268" w:hanging="1134"/>
        <w:rPr>
          <w:b/>
          <w:bCs/>
          <w:lang w:val="fr-FR"/>
        </w:rPr>
      </w:pPr>
      <w:r w:rsidRPr="00A404DA">
        <w:rPr>
          <w:b/>
          <w:bCs/>
          <w:lang w:val="fr-FR"/>
        </w:rPr>
        <w:t>2.47</w:t>
      </w:r>
      <w:r w:rsidRPr="00A404DA">
        <w:rPr>
          <w:b/>
          <w:bCs/>
          <w:lang w:val="fr-FR"/>
        </w:rPr>
        <w:tab/>
      </w:r>
      <w:r w:rsidRPr="00A404DA">
        <w:rPr>
          <w:b/>
          <w:bCs/>
          <w:lang w:val="fr-FR"/>
        </w:rPr>
        <w:tab/>
        <w:t>“</w:t>
      </w:r>
      <w:r w:rsidRPr="00612475">
        <w:rPr>
          <w:b/>
          <w:bCs/>
          <w:i/>
          <w:iCs/>
          <w:lang w:val="fr-FR"/>
        </w:rPr>
        <w:t>Fonction de déconnexion automatique</w:t>
      </w:r>
      <w:r w:rsidRPr="00A404DA">
        <w:rPr>
          <w:b/>
          <w:bCs/>
          <w:lang w:val="fr-FR"/>
        </w:rPr>
        <w:t>”, une fonction qui, lorsqu</w:t>
      </w:r>
      <w:r>
        <w:rPr>
          <w:b/>
          <w:bCs/>
          <w:lang w:val="fr-FR"/>
        </w:rPr>
        <w:t>’</w:t>
      </w:r>
      <w:r w:rsidRPr="00A404DA">
        <w:rPr>
          <w:b/>
          <w:bCs/>
          <w:lang w:val="fr-FR"/>
        </w:rPr>
        <w:t>elle est activée, sépare galvaniquement les sources d</w:t>
      </w:r>
      <w:r>
        <w:rPr>
          <w:b/>
          <w:bCs/>
          <w:lang w:val="fr-FR"/>
        </w:rPr>
        <w:t>’</w:t>
      </w:r>
      <w:r w:rsidRPr="00A404DA">
        <w:rPr>
          <w:b/>
          <w:bCs/>
          <w:lang w:val="fr-FR"/>
        </w:rPr>
        <w:t>énergie électrique du reste du circuit haute tension de la chaîne de traction électrique.</w:t>
      </w:r>
    </w:p>
    <w:p w14:paraId="7C10C941" w14:textId="3D5AB722" w:rsidR="002B7A37" w:rsidRPr="009479FF" w:rsidRDefault="002B7A37" w:rsidP="0014515F">
      <w:pPr>
        <w:pStyle w:val="SingleTxtG"/>
        <w:ind w:left="2268" w:hanging="1134"/>
        <w:rPr>
          <w:b/>
          <w:bCs/>
          <w:lang w:val="fr-FR"/>
        </w:rPr>
      </w:pPr>
      <w:r w:rsidRPr="00190D38">
        <w:rPr>
          <w:b/>
          <w:bCs/>
          <w:lang w:val="fr-FR"/>
        </w:rPr>
        <w:t>2.4</w:t>
      </w:r>
      <w:r w:rsidR="00190D38" w:rsidRPr="00190D38">
        <w:rPr>
          <w:b/>
          <w:bCs/>
          <w:lang w:val="fr-FR"/>
        </w:rPr>
        <w:t>8</w:t>
      </w:r>
      <w:r w:rsidRPr="00A404DA">
        <w:rPr>
          <w:b/>
          <w:bCs/>
          <w:lang w:val="fr-FR"/>
        </w:rPr>
        <w:tab/>
      </w:r>
      <w:r w:rsidRPr="00A404DA">
        <w:rPr>
          <w:b/>
          <w:bCs/>
          <w:lang w:val="fr-FR"/>
        </w:rPr>
        <w:tab/>
        <w:t>“</w:t>
      </w:r>
      <w:r w:rsidRPr="00612475">
        <w:rPr>
          <w:b/>
          <w:bCs/>
          <w:i/>
          <w:iCs/>
          <w:lang w:val="fr-FR"/>
        </w:rPr>
        <w:t>Batterie de traction de type ouvert</w:t>
      </w:r>
      <w:r w:rsidRPr="00A404DA">
        <w:rPr>
          <w:b/>
          <w:bCs/>
          <w:lang w:val="fr-FR"/>
        </w:rPr>
        <w:t>”, un type de batterie nécessitant d</w:t>
      </w:r>
      <w:r>
        <w:rPr>
          <w:b/>
          <w:bCs/>
          <w:lang w:val="fr-FR"/>
        </w:rPr>
        <w:t>’</w:t>
      </w:r>
      <w:r w:rsidRPr="00A404DA">
        <w:rPr>
          <w:b/>
          <w:bCs/>
          <w:lang w:val="fr-FR"/>
        </w:rPr>
        <w:t>être rempli d</w:t>
      </w:r>
      <w:r>
        <w:rPr>
          <w:b/>
          <w:bCs/>
          <w:lang w:val="fr-FR"/>
        </w:rPr>
        <w:t>’</w:t>
      </w:r>
      <w:r w:rsidRPr="00A404DA">
        <w:rPr>
          <w:b/>
          <w:bCs/>
          <w:lang w:val="fr-FR"/>
        </w:rPr>
        <w:t>un liquide et produisant de l</w:t>
      </w:r>
      <w:r>
        <w:rPr>
          <w:b/>
          <w:bCs/>
          <w:lang w:val="fr-FR"/>
        </w:rPr>
        <w:t>’</w:t>
      </w:r>
      <w:r w:rsidRPr="00A404DA">
        <w:rPr>
          <w:b/>
          <w:bCs/>
          <w:lang w:val="fr-FR"/>
        </w:rPr>
        <w:t>hydrogène qui est libéré dans l</w:t>
      </w:r>
      <w:r>
        <w:rPr>
          <w:b/>
          <w:bCs/>
          <w:lang w:val="fr-FR"/>
        </w:rPr>
        <w:t>’</w:t>
      </w:r>
      <w:r w:rsidRPr="00A404DA">
        <w:rPr>
          <w:b/>
          <w:bCs/>
          <w:lang w:val="fr-FR"/>
        </w:rPr>
        <w:t>atmosphère.</w:t>
      </w:r>
    </w:p>
    <w:p w14:paraId="2B05B854" w14:textId="77777777" w:rsidR="002B7A37" w:rsidRPr="009479FF" w:rsidRDefault="002B7A37" w:rsidP="0014515F">
      <w:pPr>
        <w:pStyle w:val="SingleTxtG"/>
        <w:ind w:left="2268" w:hanging="1134"/>
        <w:rPr>
          <w:b/>
          <w:bCs/>
          <w:lang w:val="fr-FR"/>
        </w:rPr>
      </w:pPr>
      <w:r w:rsidRPr="00A404DA">
        <w:rPr>
          <w:b/>
          <w:bCs/>
          <w:lang w:val="fr-FR"/>
        </w:rPr>
        <w:t>2.49</w:t>
      </w:r>
      <w:r w:rsidRPr="00A404DA">
        <w:rPr>
          <w:b/>
          <w:bCs/>
          <w:lang w:val="fr-FR"/>
        </w:rPr>
        <w:tab/>
        <w:t>“</w:t>
      </w:r>
      <w:r w:rsidRPr="00612475">
        <w:rPr>
          <w:b/>
          <w:bCs/>
          <w:i/>
          <w:iCs/>
          <w:lang w:val="fr-FR"/>
        </w:rPr>
        <w:t>Électrolyte aqueux</w:t>
      </w:r>
      <w:r w:rsidRPr="00A404DA">
        <w:rPr>
          <w:b/>
          <w:bCs/>
          <w:lang w:val="fr-FR"/>
        </w:rPr>
        <w:t>”, un électrolyte utilisant de l</w:t>
      </w:r>
      <w:r>
        <w:rPr>
          <w:b/>
          <w:bCs/>
          <w:lang w:val="fr-FR"/>
        </w:rPr>
        <w:t>’</w:t>
      </w:r>
      <w:r w:rsidRPr="00A404DA">
        <w:rPr>
          <w:b/>
          <w:bCs/>
          <w:lang w:val="fr-FR"/>
        </w:rPr>
        <w:t>eau comme solvant pour les composés (acides ou bases, par exemple), qui produit des ions conducteurs à la suite de sa dissociation.</w:t>
      </w:r>
    </w:p>
    <w:p w14:paraId="157D2FC8" w14:textId="299BC645" w:rsidR="002B7A37" w:rsidRPr="009479FF" w:rsidRDefault="002B7A37" w:rsidP="0014515F">
      <w:pPr>
        <w:pStyle w:val="SingleTxtG"/>
        <w:ind w:left="2268" w:hanging="1134"/>
        <w:rPr>
          <w:b/>
          <w:bCs/>
          <w:lang w:val="fr-FR"/>
        </w:rPr>
      </w:pPr>
      <w:r w:rsidRPr="00A404DA">
        <w:rPr>
          <w:b/>
          <w:bCs/>
          <w:lang w:val="fr-FR"/>
        </w:rPr>
        <w:t>2.50</w:t>
      </w:r>
      <w:r w:rsidRPr="00A404DA">
        <w:rPr>
          <w:b/>
          <w:bCs/>
          <w:lang w:val="fr-FR"/>
        </w:rPr>
        <w:tab/>
        <w:t>“</w:t>
      </w:r>
      <w:r w:rsidRPr="00612475">
        <w:rPr>
          <w:b/>
          <w:bCs/>
          <w:i/>
          <w:iCs/>
          <w:lang w:val="fr-FR"/>
        </w:rPr>
        <w:t>Fuite d</w:t>
      </w:r>
      <w:r>
        <w:rPr>
          <w:b/>
          <w:bCs/>
          <w:i/>
          <w:iCs/>
          <w:lang w:val="fr-FR"/>
        </w:rPr>
        <w:t>’</w:t>
      </w:r>
      <w:r w:rsidRPr="00612475">
        <w:rPr>
          <w:b/>
          <w:bCs/>
          <w:i/>
          <w:iCs/>
          <w:lang w:val="fr-FR"/>
        </w:rPr>
        <w:t>électrolyte</w:t>
      </w:r>
      <w:r w:rsidRPr="00A404DA">
        <w:rPr>
          <w:b/>
          <w:bCs/>
          <w:lang w:val="fr-FR"/>
        </w:rPr>
        <w:t>”, la perte par le SRSEE d</w:t>
      </w:r>
      <w:r>
        <w:rPr>
          <w:b/>
          <w:bCs/>
          <w:lang w:val="fr-FR"/>
        </w:rPr>
        <w:t>’</w:t>
      </w:r>
      <w:r w:rsidRPr="00A404DA">
        <w:rPr>
          <w:b/>
          <w:bCs/>
          <w:lang w:val="fr-FR"/>
        </w:rPr>
        <w:t>électrolyte sous forme liquide.</w:t>
      </w:r>
    </w:p>
    <w:p w14:paraId="7E9EC725" w14:textId="77777777" w:rsidR="002B7A37" w:rsidRPr="009479FF" w:rsidRDefault="002B7A37" w:rsidP="0014515F">
      <w:pPr>
        <w:pStyle w:val="SingleTxtG"/>
        <w:ind w:left="2268" w:hanging="1134"/>
        <w:rPr>
          <w:b/>
          <w:bCs/>
          <w:lang w:val="fr-FR"/>
        </w:rPr>
      </w:pPr>
      <w:r w:rsidRPr="00A404DA">
        <w:rPr>
          <w:b/>
          <w:bCs/>
          <w:lang w:val="fr-FR"/>
        </w:rPr>
        <w:t>2.51</w:t>
      </w:r>
      <w:r w:rsidRPr="00A404DA">
        <w:rPr>
          <w:b/>
          <w:bCs/>
          <w:lang w:val="fr-FR"/>
        </w:rPr>
        <w:tab/>
        <w:t>“</w:t>
      </w:r>
      <w:r w:rsidRPr="00B815E9">
        <w:rPr>
          <w:b/>
          <w:bCs/>
          <w:i/>
          <w:iCs/>
          <w:lang w:val="fr-FR"/>
        </w:rPr>
        <w:t>Électrolyte non aqueux</w:t>
      </w:r>
      <w:r w:rsidRPr="00A404DA">
        <w:rPr>
          <w:b/>
          <w:bCs/>
          <w:lang w:val="fr-FR"/>
        </w:rPr>
        <w:t>”, un électrolyte dont le solvant n</w:t>
      </w:r>
      <w:r>
        <w:rPr>
          <w:b/>
          <w:bCs/>
          <w:lang w:val="fr-FR"/>
        </w:rPr>
        <w:t>’</w:t>
      </w:r>
      <w:r w:rsidRPr="00A404DA">
        <w:rPr>
          <w:b/>
          <w:bCs/>
          <w:lang w:val="fr-FR"/>
        </w:rPr>
        <w:t>est pas l</w:t>
      </w:r>
      <w:r>
        <w:rPr>
          <w:b/>
          <w:bCs/>
          <w:lang w:val="fr-FR"/>
        </w:rPr>
        <w:t>’</w:t>
      </w:r>
      <w:r w:rsidRPr="00A404DA">
        <w:rPr>
          <w:b/>
          <w:bCs/>
          <w:lang w:val="fr-FR"/>
        </w:rPr>
        <w:t>eau.</w:t>
      </w:r>
    </w:p>
    <w:p w14:paraId="2C4ADF30" w14:textId="4897AEB5" w:rsidR="002B7A37" w:rsidRPr="009479FF" w:rsidRDefault="002B7A37" w:rsidP="0014515F">
      <w:pPr>
        <w:pStyle w:val="SingleTxtG"/>
        <w:ind w:left="2268" w:hanging="1134"/>
        <w:rPr>
          <w:b/>
          <w:bCs/>
          <w:lang w:val="fr-FR"/>
        </w:rPr>
      </w:pPr>
      <w:r w:rsidRPr="00A404DA">
        <w:rPr>
          <w:b/>
          <w:bCs/>
          <w:lang w:val="fr-FR"/>
        </w:rPr>
        <w:t>2.52</w:t>
      </w:r>
      <w:r w:rsidRPr="00A404DA">
        <w:rPr>
          <w:b/>
          <w:bCs/>
          <w:lang w:val="fr-FR"/>
        </w:rPr>
        <w:tab/>
        <w:t>“</w:t>
      </w:r>
      <w:r w:rsidRPr="00B815E9">
        <w:rPr>
          <w:b/>
          <w:bCs/>
          <w:i/>
          <w:iCs/>
          <w:lang w:val="fr-FR"/>
        </w:rPr>
        <w:t>Conditions normales d</w:t>
      </w:r>
      <w:r>
        <w:rPr>
          <w:b/>
          <w:bCs/>
          <w:i/>
          <w:iCs/>
          <w:lang w:val="fr-FR"/>
        </w:rPr>
        <w:t>’</w:t>
      </w:r>
      <w:r w:rsidRPr="00B815E9">
        <w:rPr>
          <w:b/>
          <w:bCs/>
          <w:i/>
          <w:iCs/>
          <w:lang w:val="fr-FR"/>
        </w:rPr>
        <w:t>utilisation</w:t>
      </w:r>
      <w:r w:rsidRPr="00A404DA">
        <w:rPr>
          <w:b/>
          <w:bCs/>
          <w:lang w:val="fr-FR"/>
        </w:rPr>
        <w:t>”, les modes et conditions d</w:t>
      </w:r>
      <w:r>
        <w:rPr>
          <w:b/>
          <w:bCs/>
          <w:lang w:val="fr-FR"/>
        </w:rPr>
        <w:t>’</w:t>
      </w:r>
      <w:r w:rsidRPr="00A404DA">
        <w:rPr>
          <w:b/>
          <w:bCs/>
          <w:lang w:val="fr-FR"/>
        </w:rPr>
        <w:t>utilisation que l</w:t>
      </w:r>
      <w:r>
        <w:rPr>
          <w:b/>
          <w:bCs/>
          <w:lang w:val="fr-FR"/>
        </w:rPr>
        <w:t>’</w:t>
      </w:r>
      <w:r w:rsidRPr="00A404DA">
        <w:rPr>
          <w:b/>
          <w:bCs/>
          <w:lang w:val="fr-FR"/>
        </w:rPr>
        <w:t>on s</w:t>
      </w:r>
      <w:r>
        <w:rPr>
          <w:b/>
          <w:bCs/>
          <w:lang w:val="fr-FR"/>
        </w:rPr>
        <w:t>’</w:t>
      </w:r>
      <w:r w:rsidRPr="00A404DA">
        <w:rPr>
          <w:b/>
          <w:bCs/>
          <w:lang w:val="fr-FR"/>
        </w:rPr>
        <w:t>attend à constater dans le cadre de l</w:t>
      </w:r>
      <w:r>
        <w:rPr>
          <w:b/>
          <w:bCs/>
          <w:lang w:val="fr-FR"/>
        </w:rPr>
        <w:t>’</w:t>
      </w:r>
      <w:r w:rsidRPr="00A404DA">
        <w:rPr>
          <w:b/>
          <w:bCs/>
          <w:lang w:val="fr-FR"/>
        </w:rPr>
        <w:t>u</w:t>
      </w:r>
      <w:r>
        <w:rPr>
          <w:b/>
          <w:bCs/>
          <w:lang w:val="fr-FR"/>
        </w:rPr>
        <w:t>sage</w:t>
      </w:r>
      <w:r w:rsidRPr="00A404DA">
        <w:rPr>
          <w:b/>
          <w:bCs/>
          <w:lang w:val="fr-FR"/>
        </w:rPr>
        <w:t xml:space="preserve"> ordinaire du véhicule, à savoir la conduite du véhicule aux vitesses autorisées et signalées sur les panneaux de signalisation, le stationnement ou l</w:t>
      </w:r>
      <w:r>
        <w:rPr>
          <w:b/>
          <w:bCs/>
          <w:lang w:val="fr-FR"/>
        </w:rPr>
        <w:t>’</w:t>
      </w:r>
      <w:r w:rsidRPr="00A404DA">
        <w:rPr>
          <w:b/>
          <w:bCs/>
          <w:lang w:val="fr-FR"/>
        </w:rPr>
        <w:t>arrêt dans un embouteillage, ainsi que la recharge au moyen de chargeurs compatibles avec les prises de recharge prévues sur le véhicule. Sont exclues les conditions suivantes</w:t>
      </w:r>
      <w:r w:rsidR="00190D38">
        <w:rPr>
          <w:b/>
          <w:bCs/>
          <w:lang w:val="fr-FR"/>
        </w:rPr>
        <w:t> </w:t>
      </w:r>
      <w:r w:rsidRPr="00A404DA">
        <w:rPr>
          <w:b/>
          <w:bCs/>
          <w:lang w:val="fr-FR"/>
        </w:rPr>
        <w:t>: véhicule endommagé du fait d</w:t>
      </w:r>
      <w:r>
        <w:rPr>
          <w:b/>
          <w:bCs/>
          <w:lang w:val="fr-FR"/>
        </w:rPr>
        <w:t>’</w:t>
      </w:r>
      <w:r w:rsidRPr="00A404DA">
        <w:rPr>
          <w:b/>
          <w:bCs/>
          <w:lang w:val="fr-FR"/>
        </w:rPr>
        <w:t>un accident, d</w:t>
      </w:r>
      <w:r>
        <w:rPr>
          <w:b/>
          <w:bCs/>
          <w:lang w:val="fr-FR"/>
        </w:rPr>
        <w:t>’</w:t>
      </w:r>
      <w:r w:rsidRPr="00A404DA">
        <w:rPr>
          <w:b/>
          <w:bCs/>
          <w:lang w:val="fr-FR"/>
        </w:rPr>
        <w:t>un objet encombrant la chaussée ou d</w:t>
      </w:r>
      <w:r>
        <w:rPr>
          <w:b/>
          <w:bCs/>
          <w:lang w:val="fr-FR"/>
        </w:rPr>
        <w:t>’</w:t>
      </w:r>
      <w:r w:rsidRPr="00A404DA">
        <w:rPr>
          <w:b/>
          <w:bCs/>
          <w:lang w:val="fr-FR"/>
        </w:rPr>
        <w:t>un acte de vandalisme, véhicule incendié ou immergé dans de l</w:t>
      </w:r>
      <w:r>
        <w:rPr>
          <w:b/>
          <w:bCs/>
          <w:lang w:val="fr-FR"/>
        </w:rPr>
        <w:t>’</w:t>
      </w:r>
      <w:r w:rsidRPr="00A404DA">
        <w:rPr>
          <w:b/>
          <w:bCs/>
          <w:lang w:val="fr-FR"/>
        </w:rPr>
        <w:t>eau, ou véhicule nécessitant une réparation ou un entretien ou en cours de réparation ou d</w:t>
      </w:r>
      <w:r>
        <w:rPr>
          <w:b/>
          <w:bCs/>
          <w:lang w:val="fr-FR"/>
        </w:rPr>
        <w:t>’</w:t>
      </w:r>
      <w:r w:rsidRPr="00A404DA">
        <w:rPr>
          <w:b/>
          <w:bCs/>
          <w:lang w:val="fr-FR"/>
        </w:rPr>
        <w:t>entretien.</w:t>
      </w:r>
    </w:p>
    <w:p w14:paraId="4F60FAF2" w14:textId="1C9BEC3A" w:rsidR="002B7A37" w:rsidRPr="009479FF" w:rsidRDefault="002B7A37" w:rsidP="0014515F">
      <w:pPr>
        <w:pStyle w:val="SingleTxtG"/>
        <w:ind w:left="2268" w:hanging="1134"/>
        <w:rPr>
          <w:b/>
          <w:bCs/>
          <w:lang w:val="fr-FR"/>
        </w:rPr>
      </w:pPr>
      <w:r w:rsidRPr="00A404DA">
        <w:rPr>
          <w:b/>
          <w:bCs/>
          <w:lang w:val="fr-FR"/>
        </w:rPr>
        <w:t>2.53</w:t>
      </w:r>
      <w:r w:rsidRPr="00A404DA">
        <w:rPr>
          <w:b/>
          <w:bCs/>
          <w:lang w:val="fr-FR"/>
        </w:rPr>
        <w:tab/>
        <w:t>“</w:t>
      </w:r>
      <w:r w:rsidRPr="00B815E9">
        <w:rPr>
          <w:b/>
          <w:bCs/>
          <w:i/>
          <w:iCs/>
          <w:lang w:val="fr-FR"/>
        </w:rPr>
        <w:t>Condition spécifique de tension</w:t>
      </w:r>
      <w:r w:rsidRPr="00A404DA">
        <w:rPr>
          <w:b/>
          <w:bCs/>
          <w:lang w:val="fr-FR"/>
        </w:rPr>
        <w:t>”, la condition dans laquelle la tension maximale d</w:t>
      </w:r>
      <w:r>
        <w:rPr>
          <w:b/>
          <w:bCs/>
          <w:lang w:val="fr-FR"/>
        </w:rPr>
        <w:t>’</w:t>
      </w:r>
      <w:r w:rsidRPr="00A404DA">
        <w:rPr>
          <w:b/>
          <w:bCs/>
          <w:lang w:val="fr-FR"/>
        </w:rPr>
        <w:t>un circuit électrique relié galvaniquement entre un élément sous tension CC et tout autre élément sous tension (CC ou CA) est inférieure ou égale à 30</w:t>
      </w:r>
      <w:r w:rsidR="00190D38">
        <w:rPr>
          <w:b/>
          <w:bCs/>
          <w:lang w:val="fr-FR"/>
        </w:rPr>
        <w:t> </w:t>
      </w:r>
      <w:r w:rsidRPr="00A404DA">
        <w:rPr>
          <w:b/>
          <w:bCs/>
          <w:lang w:val="fr-FR"/>
        </w:rPr>
        <w:t>Vca (valeur efficace) et inférieure ou égale à 60</w:t>
      </w:r>
      <w:r w:rsidR="00190D38">
        <w:rPr>
          <w:b/>
          <w:bCs/>
          <w:lang w:val="fr-FR"/>
        </w:rPr>
        <w:t> </w:t>
      </w:r>
      <w:r w:rsidRPr="00A404DA">
        <w:rPr>
          <w:b/>
          <w:bCs/>
          <w:lang w:val="fr-FR"/>
        </w:rPr>
        <w:t>Vcc</w:t>
      </w:r>
      <w:r>
        <w:rPr>
          <w:b/>
          <w:bCs/>
          <w:lang w:val="fr-FR"/>
        </w:rPr>
        <w:t>.</w:t>
      </w:r>
    </w:p>
    <w:p w14:paraId="5687ECD4" w14:textId="0F5660CE" w:rsidR="002B7A37" w:rsidRDefault="002B7A37" w:rsidP="00190D38">
      <w:pPr>
        <w:pStyle w:val="SingleTxtG"/>
        <w:ind w:left="2268"/>
        <w:rPr>
          <w:b/>
          <w:bCs/>
          <w:lang w:val="fr-FR"/>
        </w:rPr>
      </w:pPr>
      <w:r w:rsidRPr="00A404DA">
        <w:rPr>
          <w:b/>
          <w:bCs/>
          <w:lang w:val="fr-FR"/>
        </w:rPr>
        <w:tab/>
      </w:r>
      <w:r w:rsidRPr="00154229">
        <w:rPr>
          <w:b/>
          <w:bCs/>
          <w:i/>
          <w:iCs/>
          <w:lang w:val="fr-FR"/>
        </w:rPr>
        <w:t>Note</w:t>
      </w:r>
      <w:r w:rsidR="00190D38">
        <w:rPr>
          <w:b/>
          <w:bCs/>
          <w:lang w:val="fr-FR"/>
        </w:rPr>
        <w:t> </w:t>
      </w:r>
      <w:r w:rsidRPr="00A404DA">
        <w:rPr>
          <w:b/>
          <w:bCs/>
          <w:lang w:val="fr-FR"/>
        </w:rPr>
        <w:t>:</w:t>
      </w:r>
    </w:p>
    <w:p w14:paraId="379575D4" w14:textId="2A7999ED" w:rsidR="002B7A37" w:rsidRPr="009479FF" w:rsidRDefault="002B7A37" w:rsidP="00190D38">
      <w:pPr>
        <w:pStyle w:val="SingleTxtG"/>
        <w:ind w:left="2268"/>
        <w:rPr>
          <w:b/>
          <w:bCs/>
          <w:lang w:val="fr-FR"/>
        </w:rPr>
      </w:pPr>
      <w:r w:rsidRPr="00A404DA">
        <w:rPr>
          <w:b/>
          <w:bCs/>
          <w:lang w:val="fr-FR"/>
        </w:rPr>
        <w:t>Lorsqu</w:t>
      </w:r>
      <w:r>
        <w:rPr>
          <w:b/>
          <w:bCs/>
          <w:lang w:val="fr-FR"/>
        </w:rPr>
        <w:t>’</w:t>
      </w:r>
      <w:r w:rsidRPr="00A404DA">
        <w:rPr>
          <w:b/>
          <w:bCs/>
          <w:lang w:val="fr-FR"/>
        </w:rPr>
        <w:t>un élément sous tension CC d</w:t>
      </w:r>
      <w:r>
        <w:rPr>
          <w:b/>
          <w:bCs/>
          <w:lang w:val="fr-FR"/>
        </w:rPr>
        <w:t>’</w:t>
      </w:r>
      <w:r w:rsidRPr="00A404DA">
        <w:rPr>
          <w:b/>
          <w:bCs/>
          <w:lang w:val="fr-FR"/>
        </w:rPr>
        <w:t>un tel circuit électrique est relié à la masse et que la condition spécifique de tension s</w:t>
      </w:r>
      <w:r>
        <w:rPr>
          <w:b/>
          <w:bCs/>
          <w:lang w:val="fr-FR"/>
        </w:rPr>
        <w:t>’</w:t>
      </w:r>
      <w:r w:rsidRPr="00A404DA">
        <w:rPr>
          <w:b/>
          <w:bCs/>
          <w:lang w:val="fr-FR"/>
        </w:rPr>
        <w:t>applique, la tension maximale entre tout élément sous tension et la masse électrique est inférieure ou égale à 30 Vca (valeur efficace) et inférieure ou égale à 60</w:t>
      </w:r>
      <w:r w:rsidR="00190D38">
        <w:rPr>
          <w:b/>
          <w:bCs/>
          <w:lang w:val="fr-FR"/>
        </w:rPr>
        <w:t> </w:t>
      </w:r>
      <w:r w:rsidRPr="00A404DA">
        <w:rPr>
          <w:b/>
          <w:bCs/>
          <w:lang w:val="fr-FR"/>
        </w:rPr>
        <w:t>Vcc</w:t>
      </w:r>
      <w:r>
        <w:rPr>
          <w:b/>
          <w:bCs/>
          <w:lang w:val="fr-FR"/>
        </w:rPr>
        <w:t>.</w:t>
      </w:r>
    </w:p>
    <w:p w14:paraId="7BD626AB" w14:textId="2956076E" w:rsidR="002B7A37" w:rsidRPr="009479FF" w:rsidRDefault="002B7A37" w:rsidP="00190D38">
      <w:pPr>
        <w:pStyle w:val="SingleTxtG"/>
        <w:ind w:left="2268"/>
        <w:rPr>
          <w:b/>
          <w:bCs/>
          <w:lang w:val="fr-FR"/>
        </w:rPr>
      </w:pPr>
      <w:r w:rsidRPr="00A404DA">
        <w:rPr>
          <w:b/>
          <w:bCs/>
          <w:lang w:val="fr-FR"/>
        </w:rPr>
        <w:t>Pour les tensions continues pulsées (tensions alternatives sans changement de polarité), le seuil de courant continu doit être appliqué.</w:t>
      </w:r>
    </w:p>
    <w:p w14:paraId="61967A76" w14:textId="085A790F" w:rsidR="002B7A37" w:rsidRPr="009479FF" w:rsidRDefault="002B7A37" w:rsidP="0014515F">
      <w:pPr>
        <w:pStyle w:val="SingleTxtG"/>
        <w:ind w:left="2268" w:hanging="1134"/>
        <w:rPr>
          <w:b/>
          <w:bCs/>
          <w:lang w:val="fr-FR"/>
        </w:rPr>
      </w:pPr>
      <w:r w:rsidRPr="00A404DA">
        <w:rPr>
          <w:b/>
          <w:bCs/>
          <w:lang w:val="fr-FR"/>
        </w:rPr>
        <w:t>2.54</w:t>
      </w:r>
      <w:r w:rsidRPr="00A404DA">
        <w:rPr>
          <w:b/>
          <w:bCs/>
          <w:lang w:val="fr-FR"/>
        </w:rPr>
        <w:tab/>
      </w:r>
      <w:r w:rsidR="00190D38" w:rsidRPr="00A404DA">
        <w:rPr>
          <w:b/>
          <w:bCs/>
          <w:lang w:val="fr-FR"/>
        </w:rPr>
        <w:t>“</w:t>
      </w:r>
      <w:r w:rsidRPr="00154229">
        <w:rPr>
          <w:b/>
          <w:bCs/>
          <w:i/>
          <w:iCs/>
          <w:lang w:val="fr-FR"/>
        </w:rPr>
        <w:t>Niveau de charge</w:t>
      </w:r>
      <w:r w:rsidR="00190D38" w:rsidRPr="00A404DA">
        <w:rPr>
          <w:b/>
          <w:bCs/>
          <w:lang w:val="fr-FR"/>
        </w:rPr>
        <w:t>”</w:t>
      </w:r>
      <w:r w:rsidRPr="00A404DA">
        <w:rPr>
          <w:b/>
          <w:bCs/>
          <w:lang w:val="fr-FR"/>
        </w:rPr>
        <w:t>, la charge électrique disponible dans le SRSEE, exprimée en pourcentage de sa capacité nominale.</w:t>
      </w:r>
    </w:p>
    <w:p w14:paraId="64E4E2F2" w14:textId="77777777" w:rsidR="002B7A37" w:rsidRPr="009479FF" w:rsidRDefault="002B7A37" w:rsidP="0014515F">
      <w:pPr>
        <w:pStyle w:val="SingleTxtG"/>
        <w:ind w:left="2268" w:hanging="1134"/>
        <w:rPr>
          <w:b/>
          <w:bCs/>
          <w:lang w:val="fr-FR"/>
        </w:rPr>
      </w:pPr>
      <w:r w:rsidRPr="00A404DA">
        <w:rPr>
          <w:b/>
          <w:bCs/>
          <w:lang w:val="fr-FR"/>
        </w:rPr>
        <w:t>2.55</w:t>
      </w:r>
      <w:r w:rsidRPr="00A404DA">
        <w:rPr>
          <w:b/>
          <w:bCs/>
          <w:lang w:val="fr-FR"/>
        </w:rPr>
        <w:tab/>
        <w:t>“</w:t>
      </w:r>
      <w:r w:rsidRPr="00154229">
        <w:rPr>
          <w:b/>
          <w:bCs/>
          <w:i/>
          <w:iCs/>
          <w:lang w:val="fr-FR"/>
        </w:rPr>
        <w:t>Feu</w:t>
      </w:r>
      <w:r w:rsidRPr="00A404DA">
        <w:rPr>
          <w:b/>
          <w:bCs/>
          <w:lang w:val="fr-FR"/>
        </w:rPr>
        <w:t>”, l</w:t>
      </w:r>
      <w:r>
        <w:rPr>
          <w:b/>
          <w:bCs/>
          <w:lang w:val="fr-FR"/>
        </w:rPr>
        <w:t>’</w:t>
      </w:r>
      <w:r w:rsidRPr="00A404DA">
        <w:rPr>
          <w:b/>
          <w:bCs/>
          <w:lang w:val="fr-FR"/>
        </w:rPr>
        <w:t>émission de flammes par le véhicule. Les étincelles et les arcs électriques ne sont pas considérés comme des flammes.</w:t>
      </w:r>
    </w:p>
    <w:p w14:paraId="3BE35533" w14:textId="77777777" w:rsidR="002B7A37" w:rsidRPr="009479FF" w:rsidRDefault="002B7A37" w:rsidP="0014515F">
      <w:pPr>
        <w:pStyle w:val="SingleTxtG"/>
        <w:ind w:left="2268" w:hanging="1134"/>
        <w:rPr>
          <w:lang w:val="fr-FR"/>
        </w:rPr>
      </w:pPr>
      <w:r w:rsidRPr="00A404DA">
        <w:rPr>
          <w:b/>
          <w:bCs/>
          <w:lang w:val="fr-FR"/>
        </w:rPr>
        <w:t>2.56</w:t>
      </w:r>
      <w:r w:rsidRPr="00A404DA">
        <w:rPr>
          <w:b/>
          <w:bCs/>
          <w:lang w:val="fr-FR"/>
        </w:rPr>
        <w:tab/>
        <w:t>“</w:t>
      </w:r>
      <w:r w:rsidRPr="00154229">
        <w:rPr>
          <w:b/>
          <w:bCs/>
          <w:i/>
          <w:iCs/>
          <w:lang w:val="fr-FR"/>
        </w:rPr>
        <w:t>Explosion</w:t>
      </w:r>
      <w:r w:rsidRPr="00A404DA">
        <w:rPr>
          <w:b/>
          <w:bCs/>
          <w:lang w:val="fr-FR"/>
        </w:rPr>
        <w:t>”, une libération soudaine d</w:t>
      </w:r>
      <w:r>
        <w:rPr>
          <w:b/>
          <w:bCs/>
          <w:lang w:val="fr-FR"/>
        </w:rPr>
        <w:t>’</w:t>
      </w:r>
      <w:r w:rsidRPr="00A404DA">
        <w:rPr>
          <w:b/>
          <w:bCs/>
          <w:lang w:val="fr-FR"/>
        </w:rPr>
        <w:t>énergie suffisante pour engendrer une onde de choc ou des projections susceptibles de causer des dégâts structurels ou physiques dans la zone située autour du véhicule.</w:t>
      </w:r>
      <w:r>
        <w:rPr>
          <w:lang w:val="fr-FR"/>
        </w:rPr>
        <w:t> ».</w:t>
      </w:r>
    </w:p>
    <w:p w14:paraId="1B4865F6" w14:textId="4B6F03AC" w:rsidR="002B7A37" w:rsidRPr="009479FF" w:rsidRDefault="002B7A37" w:rsidP="0014515F">
      <w:pPr>
        <w:pStyle w:val="SingleTxtG"/>
        <w:rPr>
          <w:lang w:val="fr-FR"/>
        </w:rPr>
      </w:pPr>
      <w:r w:rsidRPr="00B04CC3">
        <w:rPr>
          <w:i/>
          <w:iCs/>
          <w:lang w:val="fr-FR"/>
        </w:rPr>
        <w:t>Ajouter le nouveau paragraphe 3.2.6</w:t>
      </w:r>
      <w:r>
        <w:rPr>
          <w:lang w:val="fr-FR"/>
        </w:rPr>
        <w:t>, libellé comme suit</w:t>
      </w:r>
      <w:r w:rsidR="00190D38">
        <w:rPr>
          <w:lang w:val="fr-FR"/>
        </w:rPr>
        <w:t> </w:t>
      </w:r>
      <w:r>
        <w:rPr>
          <w:lang w:val="fr-FR"/>
        </w:rPr>
        <w:t>:</w:t>
      </w:r>
    </w:p>
    <w:p w14:paraId="437C5F71" w14:textId="77777777" w:rsidR="002B7A37" w:rsidRPr="009479FF" w:rsidRDefault="002B7A37" w:rsidP="0014515F">
      <w:pPr>
        <w:pStyle w:val="SingleTxtG"/>
        <w:ind w:left="2268" w:hanging="1134"/>
        <w:rPr>
          <w:lang w:val="fr-FR"/>
        </w:rPr>
      </w:pPr>
      <w:r w:rsidRPr="00B04CC3">
        <w:rPr>
          <w:lang w:val="fr-FR"/>
        </w:rPr>
        <w:t>« </w:t>
      </w:r>
      <w:r w:rsidRPr="00B04CC3">
        <w:rPr>
          <w:b/>
          <w:bCs/>
          <w:lang w:val="fr-FR"/>
        </w:rPr>
        <w:t>3.2.6</w:t>
      </w:r>
      <w:r w:rsidRPr="00B04CC3">
        <w:rPr>
          <w:b/>
          <w:bCs/>
          <w:lang w:val="fr-FR"/>
        </w:rPr>
        <w:tab/>
      </w:r>
      <w:r>
        <w:rPr>
          <w:b/>
          <w:bCs/>
          <w:lang w:val="fr-FR"/>
        </w:rPr>
        <w:t>D</w:t>
      </w:r>
      <w:r w:rsidRPr="00B04CC3">
        <w:rPr>
          <w:b/>
          <w:bCs/>
          <w:lang w:val="fr-FR"/>
        </w:rPr>
        <w:t>escription générale du type et de l</w:t>
      </w:r>
      <w:r>
        <w:rPr>
          <w:b/>
          <w:bCs/>
          <w:lang w:val="fr-FR"/>
        </w:rPr>
        <w:t>’</w:t>
      </w:r>
      <w:r w:rsidRPr="00B04CC3">
        <w:rPr>
          <w:b/>
          <w:bCs/>
          <w:lang w:val="fr-FR"/>
        </w:rPr>
        <w:t>emplacement de la source d</w:t>
      </w:r>
      <w:r>
        <w:rPr>
          <w:b/>
          <w:bCs/>
          <w:lang w:val="fr-FR"/>
        </w:rPr>
        <w:t>’</w:t>
      </w:r>
      <w:r w:rsidRPr="00B04CC3">
        <w:rPr>
          <w:b/>
          <w:bCs/>
          <w:lang w:val="fr-FR"/>
        </w:rPr>
        <w:t>alimentation en électricité</w:t>
      </w:r>
      <w:r>
        <w:rPr>
          <w:b/>
          <w:bCs/>
          <w:lang w:val="fr-FR"/>
        </w:rPr>
        <w:t>,</w:t>
      </w:r>
      <w:r w:rsidRPr="00B04CC3">
        <w:rPr>
          <w:b/>
          <w:bCs/>
          <w:lang w:val="fr-FR"/>
        </w:rPr>
        <w:t xml:space="preserve"> et de la chaîne de traction électrique (hybride ou électrique pure).</w:t>
      </w:r>
      <w:r>
        <w:rPr>
          <w:b/>
          <w:bCs/>
          <w:lang w:val="fr-FR"/>
        </w:rPr>
        <w:t> </w:t>
      </w:r>
      <w:r w:rsidRPr="00B04CC3">
        <w:rPr>
          <w:lang w:val="fr-FR"/>
        </w:rPr>
        <w:t>».</w:t>
      </w:r>
    </w:p>
    <w:p w14:paraId="15663A0F" w14:textId="1F3668DB" w:rsidR="002B7A37" w:rsidRPr="009479FF" w:rsidRDefault="002B7A37" w:rsidP="0014515F">
      <w:pPr>
        <w:pStyle w:val="SingleTxtG"/>
        <w:rPr>
          <w:rFonts w:eastAsia="SimSun"/>
          <w:i/>
          <w:lang w:val="fr-FR"/>
        </w:rPr>
      </w:pPr>
      <w:r w:rsidRPr="00B04CC3">
        <w:rPr>
          <w:i/>
          <w:iCs/>
          <w:lang w:val="fr-FR"/>
        </w:rPr>
        <w:t>Paragraphes 4.3 et 4.4</w:t>
      </w:r>
      <w:r>
        <w:rPr>
          <w:lang w:val="fr-FR"/>
        </w:rPr>
        <w:t>, lire</w:t>
      </w:r>
      <w:r w:rsidR="00190D38">
        <w:rPr>
          <w:lang w:val="fr-FR"/>
        </w:rPr>
        <w:t> </w:t>
      </w:r>
      <w:r>
        <w:rPr>
          <w:lang w:val="fr-FR"/>
        </w:rPr>
        <w:t>:</w:t>
      </w:r>
    </w:p>
    <w:p w14:paraId="0DCE1A48" w14:textId="3D108B09" w:rsidR="002B7A37" w:rsidRPr="009479FF" w:rsidRDefault="002B7A37" w:rsidP="0014515F">
      <w:pPr>
        <w:pStyle w:val="SingleTxtG"/>
        <w:ind w:left="2268" w:hanging="1134"/>
        <w:rPr>
          <w:b/>
          <w:lang w:val="fr-FR"/>
        </w:rPr>
      </w:pPr>
      <w:r>
        <w:rPr>
          <w:lang w:val="fr-FR"/>
        </w:rPr>
        <w:t>« 4.3</w:t>
      </w:r>
      <w:r>
        <w:rPr>
          <w:lang w:val="fr-FR"/>
        </w:rPr>
        <w:tab/>
      </w:r>
      <w:r>
        <w:rPr>
          <w:b/>
          <w:bCs/>
          <w:lang w:val="fr-FR"/>
        </w:rPr>
        <w:t>Chaque type homologué reçoit un numéro d’homologation, conformément à l’annexe 4 de l’Accord de 1958 (E/ECE/TRANS/505/</w:t>
      </w:r>
      <w:r w:rsidR="00190D38">
        <w:rPr>
          <w:b/>
          <w:bCs/>
          <w:lang w:val="fr-FR"/>
        </w:rPr>
        <w:br/>
      </w:r>
      <w:r>
        <w:rPr>
          <w:b/>
          <w:bCs/>
          <w:lang w:val="fr-FR"/>
        </w:rPr>
        <w:t>Rev.3 et Amend.1).</w:t>
      </w:r>
    </w:p>
    <w:p w14:paraId="36D304EA" w14:textId="1FDA117D" w:rsidR="002B7A37" w:rsidRPr="009479FF" w:rsidRDefault="002B7A37" w:rsidP="0014515F">
      <w:pPr>
        <w:pStyle w:val="SingleTxtG"/>
        <w:ind w:left="2268" w:hanging="1134"/>
        <w:rPr>
          <w:b/>
          <w:lang w:val="fr-FR"/>
        </w:rPr>
      </w:pPr>
      <w:r>
        <w:rPr>
          <w:lang w:val="fr-FR"/>
        </w:rPr>
        <w:t>4.4</w:t>
      </w:r>
      <w:r>
        <w:rPr>
          <w:lang w:val="fr-FR"/>
        </w:rPr>
        <w:tab/>
      </w:r>
      <w:r w:rsidRPr="00B04CC3">
        <w:rPr>
          <w:b/>
          <w:bCs/>
          <w:lang w:val="fr-FR"/>
        </w:rPr>
        <w:t>L</w:t>
      </w:r>
      <w:r>
        <w:rPr>
          <w:b/>
          <w:bCs/>
          <w:lang w:val="fr-FR"/>
        </w:rPr>
        <w:t>’</w:t>
      </w:r>
      <w:r w:rsidRPr="00B04CC3">
        <w:rPr>
          <w:b/>
          <w:bCs/>
          <w:lang w:val="fr-FR"/>
        </w:rPr>
        <w:t xml:space="preserve">homologation </w:t>
      </w:r>
      <w:r>
        <w:rPr>
          <w:b/>
          <w:bCs/>
          <w:lang w:val="fr-FR"/>
        </w:rPr>
        <w:t xml:space="preserve">ou </w:t>
      </w:r>
      <w:r w:rsidRPr="00B04CC3">
        <w:rPr>
          <w:b/>
          <w:bCs/>
          <w:lang w:val="fr-FR"/>
        </w:rPr>
        <w:t>le refus d</w:t>
      </w:r>
      <w:r>
        <w:rPr>
          <w:b/>
          <w:bCs/>
          <w:lang w:val="fr-FR"/>
        </w:rPr>
        <w:t>’</w:t>
      </w:r>
      <w:r w:rsidRPr="00B04CC3">
        <w:rPr>
          <w:b/>
          <w:bCs/>
          <w:lang w:val="fr-FR"/>
        </w:rPr>
        <w:t>homologation d</w:t>
      </w:r>
      <w:r>
        <w:rPr>
          <w:b/>
          <w:bCs/>
          <w:lang w:val="fr-FR"/>
        </w:rPr>
        <w:t>’</w:t>
      </w:r>
      <w:r w:rsidRPr="00B04CC3">
        <w:rPr>
          <w:b/>
          <w:bCs/>
          <w:lang w:val="fr-FR"/>
        </w:rPr>
        <w:t xml:space="preserve">un type de </w:t>
      </w:r>
      <w:r>
        <w:rPr>
          <w:b/>
          <w:bCs/>
          <w:lang w:val="fr-FR"/>
        </w:rPr>
        <w:t>véhicule</w:t>
      </w:r>
      <w:r w:rsidRPr="00B04CC3">
        <w:rPr>
          <w:b/>
          <w:bCs/>
          <w:lang w:val="fr-FR"/>
        </w:rPr>
        <w:t xml:space="preserve"> en application du présent Règlement est notifié aux Parties à l</w:t>
      </w:r>
      <w:r>
        <w:rPr>
          <w:b/>
          <w:bCs/>
          <w:lang w:val="fr-FR"/>
        </w:rPr>
        <w:t>’</w:t>
      </w:r>
      <w:r w:rsidRPr="00B04CC3">
        <w:rPr>
          <w:b/>
          <w:bCs/>
          <w:lang w:val="fr-FR"/>
        </w:rPr>
        <w:t>Accord appliquant le</w:t>
      </w:r>
      <w:r>
        <w:rPr>
          <w:b/>
          <w:bCs/>
          <w:lang w:val="fr-FR"/>
        </w:rPr>
        <w:t>dit</w:t>
      </w:r>
      <w:r w:rsidRPr="00B04CC3">
        <w:rPr>
          <w:b/>
          <w:bCs/>
          <w:lang w:val="fr-FR"/>
        </w:rPr>
        <w:t xml:space="preserve"> Règlement au moyen d</w:t>
      </w:r>
      <w:r>
        <w:rPr>
          <w:b/>
          <w:bCs/>
          <w:lang w:val="fr-FR"/>
        </w:rPr>
        <w:t>’</w:t>
      </w:r>
      <w:r w:rsidRPr="00B04CC3">
        <w:rPr>
          <w:b/>
          <w:bCs/>
          <w:lang w:val="fr-FR"/>
        </w:rPr>
        <w:t>une fiche conforme au modèle visé à l</w:t>
      </w:r>
      <w:r>
        <w:rPr>
          <w:b/>
          <w:bCs/>
          <w:lang w:val="fr-FR"/>
        </w:rPr>
        <w:t>’</w:t>
      </w:r>
      <w:r w:rsidRPr="00B04CC3">
        <w:rPr>
          <w:b/>
          <w:bCs/>
          <w:lang w:val="fr-FR"/>
        </w:rPr>
        <w:t>annexe</w:t>
      </w:r>
      <w:r w:rsidR="00190D38">
        <w:rPr>
          <w:b/>
          <w:bCs/>
          <w:lang w:val="fr-FR"/>
        </w:rPr>
        <w:t> </w:t>
      </w:r>
      <w:r w:rsidRPr="00B04CC3">
        <w:rPr>
          <w:b/>
          <w:bCs/>
          <w:lang w:val="fr-FR"/>
        </w:rPr>
        <w:t>1 du Règlement.</w:t>
      </w:r>
      <w:r>
        <w:rPr>
          <w:lang w:val="fr-FR"/>
        </w:rPr>
        <w:t> ».</w:t>
      </w:r>
    </w:p>
    <w:p w14:paraId="587046CB" w14:textId="77777777" w:rsidR="002B7A37" w:rsidRPr="009479FF" w:rsidRDefault="002B7A37" w:rsidP="0014515F">
      <w:pPr>
        <w:pStyle w:val="SingleTxtG"/>
        <w:rPr>
          <w:lang w:val="fr-FR"/>
        </w:rPr>
      </w:pPr>
      <w:r w:rsidRPr="0063235D">
        <w:rPr>
          <w:i/>
          <w:iCs/>
          <w:lang w:val="fr-FR"/>
        </w:rPr>
        <w:t>Paragraphe 4</w:t>
      </w:r>
      <w:r>
        <w:rPr>
          <w:i/>
          <w:iCs/>
          <w:lang w:val="fr-FR"/>
        </w:rPr>
        <w:t>.</w:t>
      </w:r>
      <w:r w:rsidRPr="0063235D">
        <w:rPr>
          <w:i/>
          <w:iCs/>
          <w:lang w:val="fr-FR"/>
        </w:rPr>
        <w:t>9</w:t>
      </w:r>
      <w:r>
        <w:rPr>
          <w:lang w:val="fr-FR"/>
        </w:rPr>
        <w:t xml:space="preserve">, lire : </w:t>
      </w:r>
    </w:p>
    <w:p w14:paraId="6658C604" w14:textId="77777777" w:rsidR="002B7A37" w:rsidRPr="009479FF" w:rsidRDefault="002B7A37" w:rsidP="0014515F">
      <w:pPr>
        <w:pStyle w:val="SingleTxtG"/>
        <w:ind w:left="2268" w:hanging="1134"/>
        <w:rPr>
          <w:lang w:val="fr-FR"/>
        </w:rPr>
      </w:pPr>
      <w:r>
        <w:rPr>
          <w:lang w:val="fr-FR"/>
        </w:rPr>
        <w:t>4.9</w:t>
      </w:r>
      <w:r>
        <w:rPr>
          <w:lang w:val="fr-FR"/>
        </w:rPr>
        <w:tab/>
        <w:t>Modification sans objet en français.</w:t>
      </w:r>
    </w:p>
    <w:p w14:paraId="76B17359" w14:textId="513073F0" w:rsidR="002B7A37" w:rsidRPr="009479FF" w:rsidRDefault="002B7A37" w:rsidP="00190D38">
      <w:pPr>
        <w:pStyle w:val="SingleTxtG"/>
        <w:rPr>
          <w:lang w:val="fr-FR"/>
        </w:rPr>
      </w:pPr>
      <w:r w:rsidRPr="0063235D">
        <w:rPr>
          <w:i/>
          <w:iCs/>
          <w:lang w:val="fr-FR"/>
        </w:rPr>
        <w:t xml:space="preserve">Paragraphe </w:t>
      </w:r>
      <w:r>
        <w:rPr>
          <w:i/>
          <w:iCs/>
          <w:lang w:val="fr-FR"/>
        </w:rPr>
        <w:t>5.</w:t>
      </w:r>
      <w:r w:rsidRPr="0063235D">
        <w:rPr>
          <w:i/>
          <w:iCs/>
          <w:lang w:val="fr-FR"/>
        </w:rPr>
        <w:t>2</w:t>
      </w:r>
      <w:r>
        <w:rPr>
          <w:lang w:val="fr-FR"/>
        </w:rPr>
        <w:t>, lire</w:t>
      </w:r>
      <w:r w:rsidR="00190D38">
        <w:rPr>
          <w:lang w:val="fr-FR"/>
        </w:rPr>
        <w:t> </w:t>
      </w:r>
      <w:r>
        <w:rPr>
          <w:lang w:val="fr-FR"/>
        </w:rPr>
        <w:t>:</w:t>
      </w:r>
    </w:p>
    <w:p w14:paraId="10A30CC1" w14:textId="4C6ABCB7" w:rsidR="002B7A37" w:rsidRPr="009479FF" w:rsidRDefault="002B7A37" w:rsidP="00190D38">
      <w:pPr>
        <w:pStyle w:val="SingleTxtG"/>
        <w:ind w:left="2268" w:hanging="1134"/>
        <w:rPr>
          <w:lang w:val="fr-FR"/>
        </w:rPr>
      </w:pPr>
      <w:r>
        <w:rPr>
          <w:lang w:val="fr-FR"/>
        </w:rPr>
        <w:t>« 5.2</w:t>
      </w:r>
      <w:r>
        <w:rPr>
          <w:lang w:val="fr-FR"/>
        </w:rPr>
        <w:tab/>
        <w:t>Les résultats d’un essai d’homologation effectué conformément au paragraphe</w:t>
      </w:r>
      <w:r w:rsidR="00190D38">
        <w:rPr>
          <w:lang w:val="fr-FR"/>
        </w:rPr>
        <w:t> </w:t>
      </w:r>
      <w:r>
        <w:rPr>
          <w:lang w:val="fr-FR"/>
        </w:rPr>
        <w:t>5.1 sont considérés comme satisfaisants s’il est satisfait aux prescriptions des paragraphes</w:t>
      </w:r>
      <w:r w:rsidR="00190D38">
        <w:rPr>
          <w:lang w:val="fr-FR"/>
        </w:rPr>
        <w:t> </w:t>
      </w:r>
      <w:r>
        <w:rPr>
          <w:lang w:val="fr-FR"/>
        </w:rPr>
        <w:t xml:space="preserve">5.3, 5.4 et 5.5. </w:t>
      </w:r>
    </w:p>
    <w:p w14:paraId="5A2CFF7C" w14:textId="0E0D145A" w:rsidR="002B7A37" w:rsidRPr="009479FF" w:rsidRDefault="002B7A37" w:rsidP="00190D38">
      <w:pPr>
        <w:pStyle w:val="SingleTxtG"/>
        <w:ind w:left="2268"/>
        <w:rPr>
          <w:b/>
          <w:lang w:val="fr-FR"/>
        </w:rPr>
      </w:pPr>
      <w:r>
        <w:rPr>
          <w:b/>
          <w:bCs/>
          <w:lang w:val="fr-FR"/>
        </w:rPr>
        <w:t>Les véhicules équipés d’une chaîne de traction électrique doivent en outre satisfaire aux prescriptions du paragraphe 5.6. La démonstration peut en être faite lors d’un essai de choc distinct, à la demande du constructeur et avec l’accord du service technique, pour autant que les composants électriques n’aient aucune incidence sur l’efficacité du type de véhicule considéré en matière de protection des occupants, telle qu’elle est définie aux paragraphes 5.</w:t>
      </w:r>
      <w:r w:rsidR="00190D38">
        <w:rPr>
          <w:b/>
          <w:bCs/>
          <w:lang w:val="fr-FR"/>
        </w:rPr>
        <w:t>3</w:t>
      </w:r>
      <w:r>
        <w:rPr>
          <w:b/>
          <w:bCs/>
          <w:lang w:val="fr-FR"/>
        </w:rPr>
        <w:t xml:space="preserve"> à 5.5 du présent Règlement.</w:t>
      </w:r>
      <w:r>
        <w:rPr>
          <w:lang w:val="fr-FR"/>
        </w:rPr>
        <w:t xml:space="preserve"> </w:t>
      </w:r>
      <w:r w:rsidRPr="002C443F">
        <w:rPr>
          <w:b/>
          <w:bCs/>
          <w:lang w:val="fr-FR"/>
        </w:rPr>
        <w:t xml:space="preserve">Dans ce </w:t>
      </w:r>
      <w:r>
        <w:rPr>
          <w:b/>
          <w:bCs/>
          <w:lang w:val="fr-FR"/>
        </w:rPr>
        <w:t>cas, le respect des prescriptions énoncées au paragraphe 5.6 doit être vérifié conformément aux méthodes décrites à l’annexe 3 du présent Règlement, à l’exception du paragraphe 8 de ladite annexe.</w:t>
      </w:r>
      <w:r w:rsidR="000B7147" w:rsidRPr="000B7147">
        <w:rPr>
          <w:lang w:val="fr-FR"/>
        </w:rPr>
        <w:t> »</w:t>
      </w:r>
      <w:r w:rsidR="000B7147">
        <w:rPr>
          <w:b/>
          <w:bCs/>
          <w:lang w:val="fr-FR"/>
        </w:rPr>
        <w:t>.</w:t>
      </w:r>
    </w:p>
    <w:p w14:paraId="0704E0A8" w14:textId="3352CE22" w:rsidR="00190D38" w:rsidRDefault="002B7A37" w:rsidP="00190D38">
      <w:pPr>
        <w:pStyle w:val="SingleTxtG"/>
        <w:rPr>
          <w:lang w:val="fr-FR"/>
        </w:rPr>
      </w:pPr>
      <w:r w:rsidRPr="002C443F">
        <w:rPr>
          <w:i/>
          <w:iCs/>
          <w:lang w:val="fr-FR"/>
        </w:rPr>
        <w:t>Ajouter les nouveaux paragraphes 5.6 à 5.6.4</w:t>
      </w:r>
      <w:r>
        <w:rPr>
          <w:lang w:val="fr-FR"/>
        </w:rPr>
        <w:t>, libellés comme suit</w:t>
      </w:r>
      <w:r w:rsidR="00190D38">
        <w:rPr>
          <w:lang w:val="fr-FR"/>
        </w:rPr>
        <w:t> </w:t>
      </w:r>
      <w:r>
        <w:rPr>
          <w:lang w:val="fr-FR"/>
        </w:rPr>
        <w:t>:</w:t>
      </w:r>
    </w:p>
    <w:p w14:paraId="67DB13BF" w14:textId="37A7F39E" w:rsidR="002B7A37" w:rsidRPr="00190D38" w:rsidRDefault="002B7A37" w:rsidP="00190D38">
      <w:pPr>
        <w:pStyle w:val="SingleTxtG"/>
        <w:ind w:left="2268" w:hanging="1134"/>
        <w:rPr>
          <w:lang w:val="fr-FR"/>
        </w:rPr>
      </w:pPr>
      <w:r>
        <w:rPr>
          <w:lang w:val="fr-FR"/>
        </w:rPr>
        <w:t>« </w:t>
      </w:r>
      <w:r w:rsidRPr="008C280D">
        <w:rPr>
          <w:b/>
          <w:bCs/>
          <w:lang w:val="fr-FR"/>
        </w:rPr>
        <w:t>5.6</w:t>
      </w:r>
      <w:r>
        <w:rPr>
          <w:lang w:val="fr-FR"/>
        </w:rPr>
        <w:tab/>
      </w:r>
      <w:r>
        <w:rPr>
          <w:b/>
          <w:bCs/>
          <w:lang w:val="fr-FR"/>
        </w:rPr>
        <w:t>À l’issue de l’essai effectué selon la procédure décrite à l’annexe 3 du présent Règlement, la chaîne de traction électrique à haute tension ainsi que les systèmes à haute tension qui sont reliés de façon galvanique au rail haute tension de la chaîne de traction doivent satisfaire aux critères suivants</w:t>
      </w:r>
      <w:r w:rsidR="00190D38">
        <w:rPr>
          <w:b/>
          <w:bCs/>
          <w:lang w:val="fr-FR"/>
        </w:rPr>
        <w:t> </w:t>
      </w:r>
      <w:r>
        <w:rPr>
          <w:b/>
          <w:bCs/>
          <w:lang w:val="fr-FR"/>
        </w:rPr>
        <w:t>:</w:t>
      </w:r>
    </w:p>
    <w:p w14:paraId="5A916818" w14:textId="77777777" w:rsidR="002B7A37" w:rsidRPr="009479FF" w:rsidRDefault="002B7A37" w:rsidP="00190D38">
      <w:pPr>
        <w:pStyle w:val="SingleTxtG"/>
        <w:ind w:left="2268" w:hanging="1134"/>
        <w:rPr>
          <w:b/>
          <w:lang w:val="fr-FR"/>
        </w:rPr>
      </w:pPr>
      <w:r w:rsidRPr="008C280D">
        <w:rPr>
          <w:b/>
          <w:bCs/>
          <w:lang w:val="fr-FR"/>
        </w:rPr>
        <w:t>5.6.1</w:t>
      </w:r>
      <w:r>
        <w:rPr>
          <w:lang w:val="fr-FR"/>
        </w:rPr>
        <w:tab/>
      </w:r>
      <w:r>
        <w:rPr>
          <w:b/>
          <w:bCs/>
          <w:lang w:val="fr-FR"/>
        </w:rPr>
        <w:t>Protection contre les chocs électriques</w:t>
      </w:r>
    </w:p>
    <w:p w14:paraId="1753352A" w14:textId="77777777" w:rsidR="002B7A37" w:rsidRPr="009479FF" w:rsidRDefault="002B7A37" w:rsidP="00190D38">
      <w:pPr>
        <w:pStyle w:val="SingleTxtG"/>
        <w:ind w:left="2268"/>
        <w:rPr>
          <w:b/>
          <w:lang w:val="fr-FR"/>
        </w:rPr>
      </w:pPr>
      <w:r>
        <w:rPr>
          <w:b/>
          <w:bCs/>
          <w:lang w:val="fr-FR"/>
        </w:rPr>
        <w:t>Après le choc, les rails haute tension doivent satisfaire à l’un au moins des quatre critères énoncés aux paragraphes 5.6.1.1 à 5.6.1.4.2 ci-après.</w:t>
      </w:r>
      <w:r>
        <w:rPr>
          <w:lang w:val="fr-FR"/>
        </w:rPr>
        <w:t xml:space="preserve"> </w:t>
      </w:r>
    </w:p>
    <w:p w14:paraId="6E2B5AEE" w14:textId="77777777" w:rsidR="002B7A37" w:rsidRPr="009479FF" w:rsidRDefault="002B7A37" w:rsidP="00190D38">
      <w:pPr>
        <w:pStyle w:val="SingleTxtG"/>
        <w:ind w:left="2268"/>
        <w:rPr>
          <w:b/>
          <w:lang w:val="fr-FR"/>
        </w:rPr>
      </w:pPr>
      <w:r>
        <w:rPr>
          <w:b/>
          <w:bCs/>
          <w:lang w:val="fr-FR"/>
        </w:rPr>
        <w:t>Si le véhicule est équipé d’une fonction de déconnexion automatique, ou d’un ou de plusieurs dispositifs qui isolent électriquement le circuit de la chaîne de traction électrique pendant la conduite, l’un au moins des critères ci-après doit s’appliquer au circuit déconnecté ou à chacun des circuits isolés après la déconnexion.</w:t>
      </w:r>
    </w:p>
    <w:p w14:paraId="104C5207" w14:textId="77777777" w:rsidR="002B7A37" w:rsidRPr="009479FF" w:rsidRDefault="002B7A37" w:rsidP="001C386B">
      <w:pPr>
        <w:pStyle w:val="SingleTxtG"/>
        <w:ind w:left="2268"/>
        <w:rPr>
          <w:b/>
          <w:lang w:val="fr-FR"/>
        </w:rPr>
      </w:pPr>
      <w:r>
        <w:rPr>
          <w:b/>
          <w:bCs/>
          <w:lang w:val="fr-FR"/>
        </w:rPr>
        <w:t>Toutefois, les critères définis au 5.6.1.4</w:t>
      </w:r>
      <w:r>
        <w:rPr>
          <w:lang w:val="fr-FR"/>
        </w:rPr>
        <w:t xml:space="preserve"> </w:t>
      </w:r>
      <w:r w:rsidRPr="00901266">
        <w:rPr>
          <w:b/>
          <w:bCs/>
          <w:lang w:val="fr-FR"/>
        </w:rPr>
        <w:t>ci-après</w:t>
      </w:r>
      <w:r>
        <w:rPr>
          <w:lang w:val="fr-FR"/>
        </w:rPr>
        <w:t xml:space="preserve"> </w:t>
      </w:r>
      <w:r>
        <w:rPr>
          <w:b/>
          <w:bCs/>
          <w:lang w:val="fr-FR"/>
        </w:rPr>
        <w:t>ne s’appliquent pas si plusieurs éléments d’une partie du rail à haute tension ne bénéficient pas du degré de protection IPXXB.</w:t>
      </w:r>
    </w:p>
    <w:p w14:paraId="5AF389DE" w14:textId="77777777" w:rsidR="002B7A37" w:rsidRPr="009479FF" w:rsidRDefault="002B7A37" w:rsidP="001C386B">
      <w:pPr>
        <w:pStyle w:val="SingleTxtG"/>
        <w:ind w:left="2268"/>
        <w:rPr>
          <w:b/>
          <w:strike/>
          <w:lang w:val="fr-FR"/>
        </w:rPr>
      </w:pPr>
      <w:r w:rsidRPr="00751A81">
        <w:rPr>
          <w:b/>
          <w:bCs/>
          <w:lang w:val="fr-FR"/>
        </w:rPr>
        <w:t>Si l</w:t>
      </w:r>
      <w:r>
        <w:rPr>
          <w:b/>
          <w:bCs/>
          <w:lang w:val="fr-FR"/>
        </w:rPr>
        <w:t>’</w:t>
      </w:r>
      <w:r w:rsidRPr="00751A81">
        <w:rPr>
          <w:b/>
          <w:bCs/>
          <w:lang w:val="fr-FR"/>
        </w:rPr>
        <w:t>essai de choc est effectué alors qu</w:t>
      </w:r>
      <w:r>
        <w:rPr>
          <w:b/>
          <w:bCs/>
          <w:lang w:val="fr-FR"/>
        </w:rPr>
        <w:t>’</w:t>
      </w:r>
      <w:r w:rsidRPr="00751A81">
        <w:rPr>
          <w:b/>
          <w:bCs/>
          <w:lang w:val="fr-FR"/>
        </w:rPr>
        <w:t>une ou plusieurs parties du système haute tension ne sont pas sous tension, exception faite du système de raccordement pour la recharge du SRSEE, lequel n</w:t>
      </w:r>
      <w:r>
        <w:rPr>
          <w:b/>
          <w:bCs/>
          <w:lang w:val="fr-FR"/>
        </w:rPr>
        <w:t>’</w:t>
      </w:r>
      <w:r w:rsidRPr="00751A81">
        <w:rPr>
          <w:b/>
          <w:bCs/>
          <w:lang w:val="fr-FR"/>
        </w:rPr>
        <w:t xml:space="preserve">est pas sous tension lors de la conduite, </w:t>
      </w:r>
      <w:r w:rsidRPr="00560610">
        <w:rPr>
          <w:b/>
          <w:bCs/>
          <w:lang w:val="fr-FR"/>
        </w:rPr>
        <w:t>la protection contre les chocs électriques</w:t>
      </w:r>
      <w:r w:rsidRPr="00751A81">
        <w:rPr>
          <w:b/>
          <w:bCs/>
          <w:lang w:val="fr-FR"/>
        </w:rPr>
        <w:t xml:space="preserve"> doit être démontrée conformément aux dispositions du</w:t>
      </w:r>
      <w:r>
        <w:rPr>
          <w:b/>
          <w:bCs/>
          <w:lang w:val="fr-FR"/>
        </w:rPr>
        <w:t xml:space="preserve"> paragraphe 5.6.1.3 ou 5.6.1.4 ci-après pour les parties visées.</w:t>
      </w:r>
    </w:p>
    <w:p w14:paraId="4BFCF3BF" w14:textId="77777777" w:rsidR="002B7A37" w:rsidRPr="009479FF" w:rsidRDefault="002B7A37" w:rsidP="001C386B">
      <w:pPr>
        <w:pStyle w:val="SingleTxtG"/>
        <w:ind w:left="2268" w:hanging="1134"/>
        <w:rPr>
          <w:b/>
          <w:lang w:val="fr-FR"/>
        </w:rPr>
      </w:pPr>
      <w:r w:rsidRPr="00A40C59">
        <w:rPr>
          <w:b/>
          <w:bCs/>
          <w:lang w:val="fr-FR"/>
        </w:rPr>
        <w:t>5.6.1.1</w:t>
      </w:r>
      <w:r>
        <w:rPr>
          <w:lang w:val="fr-FR"/>
        </w:rPr>
        <w:tab/>
      </w:r>
      <w:r>
        <w:rPr>
          <w:b/>
          <w:bCs/>
          <w:lang w:val="fr-FR"/>
        </w:rPr>
        <w:t>Absence de haute tension</w:t>
      </w:r>
    </w:p>
    <w:p w14:paraId="421FC805" w14:textId="3ADC50F1" w:rsidR="002B7A37" w:rsidRPr="009479FF" w:rsidRDefault="002B7A37" w:rsidP="001C386B">
      <w:pPr>
        <w:pStyle w:val="SingleTxtG"/>
        <w:ind w:left="2268"/>
        <w:rPr>
          <w:b/>
          <w:bCs/>
          <w:lang w:val="fr-FR"/>
        </w:rPr>
      </w:pPr>
      <w:r w:rsidRPr="00DC20AB">
        <w:rPr>
          <w:b/>
          <w:bCs/>
          <w:lang w:val="fr-FR"/>
        </w:rPr>
        <w:t>Les tensions U</w:t>
      </w:r>
      <w:r w:rsidRPr="00DC20AB">
        <w:rPr>
          <w:b/>
          <w:bCs/>
          <w:vertAlign w:val="subscript"/>
          <w:lang w:val="fr-FR"/>
        </w:rPr>
        <w:t>b</w:t>
      </w:r>
      <w:r w:rsidRPr="00DC20AB">
        <w:rPr>
          <w:b/>
          <w:bCs/>
          <w:lang w:val="fr-FR"/>
        </w:rPr>
        <w:t>, U</w:t>
      </w:r>
      <w:r w:rsidRPr="00DC20AB">
        <w:rPr>
          <w:b/>
          <w:bCs/>
          <w:vertAlign w:val="subscript"/>
          <w:lang w:val="fr-FR"/>
        </w:rPr>
        <w:t>1</w:t>
      </w:r>
      <w:r w:rsidRPr="00DC20AB">
        <w:rPr>
          <w:b/>
          <w:bCs/>
          <w:lang w:val="fr-FR"/>
        </w:rPr>
        <w:t xml:space="preserve"> et U</w:t>
      </w:r>
      <w:r w:rsidRPr="00DC20AB">
        <w:rPr>
          <w:b/>
          <w:bCs/>
          <w:vertAlign w:val="subscript"/>
          <w:lang w:val="fr-FR"/>
        </w:rPr>
        <w:t>2</w:t>
      </w:r>
      <w:r w:rsidRPr="00DC20AB">
        <w:rPr>
          <w:b/>
          <w:bCs/>
          <w:lang w:val="fr-FR"/>
        </w:rPr>
        <w:t xml:space="preserve"> des rails haute tension doivent être inférieures ou égales à 30 V en courant alternatif ou à 60 V en courant continu dans les 60</w:t>
      </w:r>
      <w:r w:rsidR="001C386B">
        <w:rPr>
          <w:b/>
          <w:bCs/>
          <w:lang w:val="fr-FR"/>
        </w:rPr>
        <w:t> </w:t>
      </w:r>
      <w:r w:rsidRPr="00DC20AB">
        <w:rPr>
          <w:b/>
          <w:bCs/>
          <w:lang w:val="fr-FR"/>
        </w:rPr>
        <w:t>s suivant le choc lorsque la mesure est prise comme indiqué au paragraphe</w:t>
      </w:r>
      <w:r w:rsidR="001C386B">
        <w:rPr>
          <w:b/>
          <w:bCs/>
          <w:lang w:val="fr-FR"/>
        </w:rPr>
        <w:t> </w:t>
      </w:r>
      <w:r w:rsidRPr="00DC20AB">
        <w:rPr>
          <w:b/>
          <w:bCs/>
          <w:lang w:val="fr-FR"/>
        </w:rPr>
        <w:t>2 de l</w:t>
      </w:r>
      <w:r>
        <w:rPr>
          <w:b/>
          <w:bCs/>
          <w:lang w:val="fr-FR"/>
        </w:rPr>
        <w:t>’</w:t>
      </w:r>
      <w:r w:rsidRPr="00DC20AB">
        <w:rPr>
          <w:b/>
          <w:bCs/>
          <w:lang w:val="fr-FR"/>
        </w:rPr>
        <w:t>annexe 11.</w:t>
      </w:r>
    </w:p>
    <w:p w14:paraId="5849354B" w14:textId="77777777" w:rsidR="002B7A37" w:rsidRPr="009479FF" w:rsidRDefault="002B7A37" w:rsidP="001C386B">
      <w:pPr>
        <w:pStyle w:val="SingleTxtG"/>
        <w:ind w:left="2268" w:hanging="1134"/>
        <w:rPr>
          <w:b/>
          <w:lang w:val="fr-FR"/>
        </w:rPr>
      </w:pPr>
      <w:r w:rsidRPr="00DC20AB">
        <w:rPr>
          <w:b/>
          <w:bCs/>
          <w:lang w:val="fr-FR"/>
        </w:rPr>
        <w:t>5.6.1.2</w:t>
      </w:r>
      <w:r>
        <w:rPr>
          <w:lang w:val="fr-FR"/>
        </w:rPr>
        <w:tab/>
      </w:r>
      <w:r>
        <w:rPr>
          <w:b/>
          <w:bCs/>
          <w:lang w:val="fr-FR"/>
        </w:rPr>
        <w:t>Faible niveau d’énergie électrique</w:t>
      </w:r>
    </w:p>
    <w:p w14:paraId="0B8E510C" w14:textId="4C8F3089" w:rsidR="002B7A37" w:rsidRPr="009479FF" w:rsidRDefault="002B7A37" w:rsidP="001C386B">
      <w:pPr>
        <w:pStyle w:val="SingleTxtG"/>
        <w:ind w:left="2268"/>
        <w:rPr>
          <w:b/>
          <w:lang w:val="fr-FR"/>
        </w:rPr>
      </w:pPr>
      <w:r>
        <w:rPr>
          <w:b/>
          <w:bCs/>
          <w:lang w:val="fr-FR"/>
        </w:rPr>
        <w:t>L’énergie totale des rails haute tension doit être inférieure à 0,2 joule lorsqu’elle est mesurée conformément à la procédure d’essai décrite au paragraphe</w:t>
      </w:r>
      <w:r w:rsidR="001C386B">
        <w:rPr>
          <w:b/>
          <w:bCs/>
          <w:lang w:val="fr-FR"/>
        </w:rPr>
        <w:t> </w:t>
      </w:r>
      <w:r>
        <w:rPr>
          <w:b/>
          <w:bCs/>
          <w:lang w:val="fr-FR"/>
        </w:rPr>
        <w:t>3 de l’annexe 11, avec la formule a).</w:t>
      </w:r>
      <w:r>
        <w:rPr>
          <w:lang w:val="fr-FR"/>
        </w:rPr>
        <w:t xml:space="preserve"> </w:t>
      </w:r>
      <w:r w:rsidRPr="00DC20AB">
        <w:rPr>
          <w:b/>
          <w:bCs/>
          <w:lang w:val="fr-FR"/>
        </w:rPr>
        <w:t>Cette énergie</w:t>
      </w:r>
      <w:r>
        <w:rPr>
          <w:lang w:val="fr-FR"/>
        </w:rPr>
        <w:t xml:space="preserve"> </w:t>
      </w:r>
      <w:r w:rsidRPr="00DC20AB">
        <w:rPr>
          <w:b/>
          <w:bCs/>
          <w:lang w:val="fr-FR"/>
        </w:rPr>
        <w:t>peut aussi être calculée au moyen de la tension mesurée U</w:t>
      </w:r>
      <w:r w:rsidRPr="00DC20AB">
        <w:rPr>
          <w:b/>
          <w:bCs/>
          <w:vertAlign w:val="subscript"/>
          <w:lang w:val="fr-FR"/>
        </w:rPr>
        <w:t>b</w:t>
      </w:r>
      <w:r w:rsidRPr="00DC20AB">
        <w:rPr>
          <w:b/>
          <w:bCs/>
          <w:lang w:val="fr-FR"/>
        </w:rPr>
        <w:t xml:space="preserve"> du rail haute tension et de la capacitance des condensateurs X (C</w:t>
      </w:r>
      <w:r w:rsidRPr="00B81158">
        <w:rPr>
          <w:b/>
          <w:bCs/>
          <w:vertAlign w:val="subscript"/>
          <w:lang w:val="fr-FR"/>
        </w:rPr>
        <w:t>x</w:t>
      </w:r>
      <w:r w:rsidRPr="00DC20AB">
        <w:rPr>
          <w:b/>
          <w:bCs/>
          <w:lang w:val="fr-FR"/>
        </w:rPr>
        <w:t>)</w:t>
      </w:r>
      <w:r>
        <w:rPr>
          <w:b/>
          <w:bCs/>
          <w:lang w:val="fr-FR"/>
        </w:rPr>
        <w:t>,</w:t>
      </w:r>
      <w:r w:rsidRPr="00DC20AB">
        <w:rPr>
          <w:b/>
          <w:bCs/>
          <w:lang w:val="fr-FR"/>
        </w:rPr>
        <w:t xml:space="preserve"> indiquée par le constructeur dans la formule b) du paragraphe 3 de l</w:t>
      </w:r>
      <w:r>
        <w:rPr>
          <w:b/>
          <w:bCs/>
          <w:lang w:val="fr-FR"/>
        </w:rPr>
        <w:t>’</w:t>
      </w:r>
      <w:r w:rsidRPr="00DC20AB">
        <w:rPr>
          <w:b/>
          <w:bCs/>
          <w:lang w:val="fr-FR"/>
        </w:rPr>
        <w:t>annexe 11.</w:t>
      </w:r>
    </w:p>
    <w:p w14:paraId="6DC7E1D1" w14:textId="77777777" w:rsidR="002B7A37" w:rsidRPr="009479FF" w:rsidRDefault="002B7A37" w:rsidP="001C386B">
      <w:pPr>
        <w:pStyle w:val="SingleTxtG"/>
        <w:ind w:left="2268"/>
        <w:rPr>
          <w:b/>
          <w:bCs/>
          <w:lang w:val="fr-FR"/>
        </w:rPr>
      </w:pPr>
      <w:r w:rsidRPr="00B81158">
        <w:rPr>
          <w:b/>
          <w:bCs/>
          <w:lang w:val="fr-FR"/>
        </w:rPr>
        <w:t>L</w:t>
      </w:r>
      <w:r>
        <w:rPr>
          <w:b/>
          <w:bCs/>
          <w:lang w:val="fr-FR"/>
        </w:rPr>
        <w:t>’</w:t>
      </w:r>
      <w:r w:rsidRPr="00B81158">
        <w:rPr>
          <w:b/>
          <w:bCs/>
          <w:lang w:val="fr-FR"/>
        </w:rPr>
        <w:t>énergie contenue dans les condensateurs Y (TE</w:t>
      </w:r>
      <w:r w:rsidRPr="00B81158">
        <w:rPr>
          <w:b/>
          <w:bCs/>
          <w:vertAlign w:val="subscript"/>
          <w:lang w:val="fr-FR"/>
        </w:rPr>
        <w:t>y1</w:t>
      </w:r>
      <w:r w:rsidRPr="00B81158">
        <w:rPr>
          <w:b/>
          <w:bCs/>
          <w:lang w:val="fr-FR"/>
        </w:rPr>
        <w:t>, TE</w:t>
      </w:r>
      <w:r w:rsidRPr="00B81158">
        <w:rPr>
          <w:b/>
          <w:bCs/>
          <w:vertAlign w:val="subscript"/>
          <w:lang w:val="fr-FR"/>
        </w:rPr>
        <w:t>y2</w:t>
      </w:r>
      <w:r w:rsidRPr="00B81158">
        <w:rPr>
          <w:b/>
          <w:bCs/>
          <w:lang w:val="fr-FR"/>
        </w:rPr>
        <w:t>) doit aussi être inférieure à 0,2 joule. Pour la calculer, il faut utiliser les tensions U</w:t>
      </w:r>
      <w:r w:rsidRPr="00901266">
        <w:rPr>
          <w:b/>
          <w:bCs/>
          <w:vertAlign w:val="subscript"/>
          <w:lang w:val="fr-FR"/>
        </w:rPr>
        <w:t>1</w:t>
      </w:r>
      <w:r w:rsidRPr="00B81158">
        <w:rPr>
          <w:b/>
          <w:bCs/>
          <w:lang w:val="fr-FR"/>
        </w:rPr>
        <w:t xml:space="preserve"> et U</w:t>
      </w:r>
      <w:r w:rsidRPr="00901266">
        <w:rPr>
          <w:b/>
          <w:bCs/>
          <w:vertAlign w:val="subscript"/>
          <w:lang w:val="fr-FR"/>
        </w:rPr>
        <w:t>2</w:t>
      </w:r>
      <w:r w:rsidRPr="00B81158">
        <w:rPr>
          <w:b/>
          <w:bCs/>
          <w:lang w:val="fr-FR"/>
        </w:rPr>
        <w:t xml:space="preserve"> des rails haute tension et de la masse électrique, ainsi que la capacitance des condensateurs Y prescrite par le constructeur conformément à la formule c) du paragraphe 3 de l</w:t>
      </w:r>
      <w:r>
        <w:rPr>
          <w:b/>
          <w:bCs/>
          <w:lang w:val="fr-FR"/>
        </w:rPr>
        <w:t>’</w:t>
      </w:r>
      <w:r w:rsidRPr="00B81158">
        <w:rPr>
          <w:b/>
          <w:bCs/>
          <w:lang w:val="fr-FR"/>
        </w:rPr>
        <w:t>annexe 11.</w:t>
      </w:r>
    </w:p>
    <w:p w14:paraId="282F126D" w14:textId="77777777" w:rsidR="002B7A37" w:rsidRPr="009479FF" w:rsidRDefault="002B7A37" w:rsidP="001C386B">
      <w:pPr>
        <w:pStyle w:val="SingleTxtG"/>
        <w:ind w:left="2268" w:hanging="1134"/>
        <w:rPr>
          <w:b/>
          <w:lang w:val="fr-FR"/>
        </w:rPr>
      </w:pPr>
      <w:r w:rsidRPr="00F02D1D">
        <w:rPr>
          <w:b/>
          <w:bCs/>
          <w:lang w:val="fr-FR"/>
        </w:rPr>
        <w:t>5.6.1.3</w:t>
      </w:r>
      <w:r>
        <w:rPr>
          <w:lang w:val="fr-FR"/>
        </w:rPr>
        <w:tab/>
      </w:r>
      <w:r>
        <w:rPr>
          <w:b/>
          <w:bCs/>
          <w:lang w:val="fr-FR"/>
        </w:rPr>
        <w:t>Protection physique</w:t>
      </w:r>
    </w:p>
    <w:p w14:paraId="30E2B10C" w14:textId="77777777" w:rsidR="002B7A37" w:rsidRPr="009479FF" w:rsidRDefault="002B7A37" w:rsidP="001C386B">
      <w:pPr>
        <w:pStyle w:val="SingleTxtG"/>
        <w:ind w:left="2268"/>
        <w:rPr>
          <w:b/>
          <w:lang w:val="fr-FR"/>
        </w:rPr>
      </w:pPr>
      <w:r>
        <w:rPr>
          <w:b/>
          <w:bCs/>
          <w:lang w:val="fr-FR"/>
        </w:rPr>
        <w:t>Le degré de protection IPXXB doit être assuré afin d’éviter tout contact direct avec les éléments sous haute tension.</w:t>
      </w:r>
    </w:p>
    <w:p w14:paraId="03AEDDD9" w14:textId="77777777" w:rsidR="002B7A37" w:rsidRPr="009479FF" w:rsidRDefault="002B7A37" w:rsidP="001C386B">
      <w:pPr>
        <w:pStyle w:val="SingleTxtG"/>
        <w:ind w:left="2268"/>
        <w:rPr>
          <w:b/>
          <w:lang w:val="fr-FR"/>
        </w:rPr>
      </w:pPr>
      <w:r>
        <w:rPr>
          <w:b/>
          <w:bCs/>
          <w:lang w:val="fr-FR"/>
        </w:rPr>
        <w:t>L’essai doit être effectué conformément au paragraphe 4 de l’annexe 11.</w:t>
      </w:r>
      <w:r>
        <w:rPr>
          <w:lang w:val="fr-FR"/>
        </w:rPr>
        <w:t xml:space="preserve"> </w:t>
      </w:r>
    </w:p>
    <w:p w14:paraId="6681820E" w14:textId="77777777" w:rsidR="002B7A37" w:rsidRPr="009479FF" w:rsidRDefault="002B7A37" w:rsidP="001C386B">
      <w:pPr>
        <w:pStyle w:val="SingleTxtG"/>
        <w:ind w:left="2268"/>
        <w:rPr>
          <w:b/>
          <w:lang w:val="fr-FR"/>
        </w:rPr>
      </w:pPr>
      <w:r>
        <w:rPr>
          <w:b/>
          <w:bCs/>
          <w:lang w:val="fr-FR"/>
        </w:rPr>
        <w:t xml:space="preserve">De plus, </w:t>
      </w:r>
      <w:r w:rsidRPr="00EA5E5C">
        <w:rPr>
          <w:b/>
          <w:bCs/>
          <w:lang w:val="fr-FR"/>
        </w:rPr>
        <w:t>pour qu</w:t>
      </w:r>
      <w:r>
        <w:rPr>
          <w:b/>
          <w:bCs/>
          <w:lang w:val="fr-FR"/>
        </w:rPr>
        <w:t>’</w:t>
      </w:r>
      <w:r w:rsidRPr="00EA5E5C">
        <w:rPr>
          <w:b/>
          <w:bCs/>
          <w:lang w:val="fr-FR"/>
        </w:rPr>
        <w:t>il y ait une protection contre tout choc électrique par contact indirect, la résistance entre tous les éléments conducteurs des barrières ou carters de protection électrique exposés et la masse électrique doit être inférieure à 0,1 Ω et la résistance entre deux éléments conducteurs de barrières ou carters de protection électrique exposés, simultanément accessibles et distants de moins de 2,5 m l</w:t>
      </w:r>
      <w:r>
        <w:rPr>
          <w:b/>
          <w:bCs/>
          <w:lang w:val="fr-FR"/>
        </w:rPr>
        <w:t>’</w:t>
      </w:r>
      <w:r w:rsidRPr="00EA5E5C">
        <w:rPr>
          <w:b/>
          <w:bCs/>
          <w:lang w:val="fr-FR"/>
        </w:rPr>
        <w:t>un de l</w:t>
      </w:r>
      <w:r>
        <w:rPr>
          <w:b/>
          <w:bCs/>
          <w:lang w:val="fr-FR"/>
        </w:rPr>
        <w:t>’</w:t>
      </w:r>
      <w:r w:rsidRPr="00EA5E5C">
        <w:rPr>
          <w:b/>
          <w:bCs/>
          <w:lang w:val="fr-FR"/>
        </w:rPr>
        <w:t>autre, doit être inférieure à 0,2 Ω</w:t>
      </w:r>
      <w:r>
        <w:rPr>
          <w:b/>
          <w:bCs/>
          <w:lang w:val="fr-FR"/>
        </w:rPr>
        <w:t>, c</w:t>
      </w:r>
      <w:r w:rsidRPr="00EA5E5C">
        <w:rPr>
          <w:b/>
          <w:bCs/>
          <w:lang w:val="fr-FR"/>
        </w:rPr>
        <w:t xml:space="preserve">es deux résistances </w:t>
      </w:r>
      <w:r>
        <w:rPr>
          <w:b/>
          <w:bCs/>
          <w:lang w:val="fr-FR"/>
        </w:rPr>
        <w:t>étant</w:t>
      </w:r>
      <w:r w:rsidRPr="00EA5E5C">
        <w:rPr>
          <w:b/>
          <w:bCs/>
          <w:lang w:val="fr-FR"/>
        </w:rPr>
        <w:t xml:space="preserve"> mesurées sous une intensité d</w:t>
      </w:r>
      <w:r>
        <w:rPr>
          <w:b/>
          <w:bCs/>
          <w:lang w:val="fr-FR"/>
        </w:rPr>
        <w:t>’</w:t>
      </w:r>
      <w:r w:rsidRPr="00EA5E5C">
        <w:rPr>
          <w:b/>
          <w:bCs/>
          <w:lang w:val="fr-FR"/>
        </w:rPr>
        <w:t>au moins 0,2 A</w:t>
      </w:r>
      <w:r>
        <w:rPr>
          <w:b/>
          <w:bCs/>
          <w:lang w:val="fr-FR"/>
        </w:rPr>
        <w:t>. Cette résistance peut être calculée en utilisant les résistances, mesurées séparément, des parties pertinentes du circuit électrique.</w:t>
      </w:r>
    </w:p>
    <w:p w14:paraId="11674415" w14:textId="0D3BA114" w:rsidR="002B7A37" w:rsidRPr="009479FF" w:rsidRDefault="002B7A37" w:rsidP="001C386B">
      <w:pPr>
        <w:pStyle w:val="SingleTxtG"/>
        <w:ind w:left="2268"/>
        <w:rPr>
          <w:b/>
          <w:lang w:val="fr-FR"/>
        </w:rPr>
      </w:pPr>
      <w:r>
        <w:rPr>
          <w:b/>
          <w:bCs/>
          <w:lang w:val="fr-FR"/>
        </w:rPr>
        <w:t>Ces prescriptions sont satisfaites si la liaison galvanique a été effectuée par soudage.</w:t>
      </w:r>
      <w:r>
        <w:rPr>
          <w:lang w:val="fr-FR"/>
        </w:rPr>
        <w:t xml:space="preserve"> </w:t>
      </w:r>
      <w:r>
        <w:rPr>
          <w:b/>
          <w:bCs/>
          <w:lang w:val="fr-FR"/>
        </w:rPr>
        <w:t>En cas de doute, ou si la liaison est assurée autrement que par soudage, les mesures doivent être faites au moyen de l’une des procédures d’essai décrites au paragraphe 4.1 de l’annexe 11.</w:t>
      </w:r>
    </w:p>
    <w:p w14:paraId="41AB89CF" w14:textId="77777777" w:rsidR="002B7A37" w:rsidRPr="009479FF" w:rsidRDefault="002B7A37" w:rsidP="001C386B">
      <w:pPr>
        <w:pStyle w:val="SingleTxtG"/>
        <w:ind w:left="2268" w:hanging="1134"/>
        <w:rPr>
          <w:b/>
          <w:lang w:val="fr-FR"/>
        </w:rPr>
      </w:pPr>
      <w:r w:rsidRPr="00701602">
        <w:rPr>
          <w:b/>
          <w:bCs/>
          <w:lang w:val="fr-FR"/>
        </w:rPr>
        <w:t>5.6.1.4</w:t>
      </w:r>
      <w:r>
        <w:rPr>
          <w:lang w:val="fr-FR"/>
        </w:rPr>
        <w:tab/>
      </w:r>
      <w:r>
        <w:rPr>
          <w:b/>
          <w:bCs/>
          <w:lang w:val="fr-FR"/>
        </w:rPr>
        <w:t>Résistance d’isolement</w:t>
      </w:r>
    </w:p>
    <w:p w14:paraId="6CD29C2B" w14:textId="77777777" w:rsidR="002B7A37" w:rsidRPr="009479FF" w:rsidRDefault="002B7A37" w:rsidP="001C386B">
      <w:pPr>
        <w:pStyle w:val="SingleTxtG"/>
        <w:ind w:left="2268"/>
        <w:rPr>
          <w:b/>
          <w:lang w:val="fr-FR"/>
        </w:rPr>
      </w:pPr>
      <w:r>
        <w:rPr>
          <w:lang w:val="fr-FR"/>
        </w:rPr>
        <w:tab/>
      </w:r>
      <w:r>
        <w:rPr>
          <w:b/>
          <w:bCs/>
          <w:lang w:val="fr-FR"/>
        </w:rPr>
        <w:t>Les critères définis aux paragraphes 5.6.1.4.1 et 5.6.1.4.2 ci-après doivent être remplis.</w:t>
      </w:r>
    </w:p>
    <w:p w14:paraId="66BE12E2" w14:textId="77777777" w:rsidR="002B7A37" w:rsidRPr="009479FF" w:rsidRDefault="002B7A37" w:rsidP="001C386B">
      <w:pPr>
        <w:pStyle w:val="SingleTxtG"/>
        <w:ind w:left="2268"/>
        <w:rPr>
          <w:b/>
          <w:lang w:val="fr-FR"/>
        </w:rPr>
      </w:pPr>
      <w:r>
        <w:rPr>
          <w:lang w:val="fr-FR"/>
        </w:rPr>
        <w:tab/>
      </w:r>
      <w:r>
        <w:rPr>
          <w:b/>
          <w:bCs/>
          <w:lang w:val="fr-FR"/>
        </w:rPr>
        <w:t>L’essai doit être effectué conformément au paragraphe 5 de l’annexe 11.</w:t>
      </w:r>
    </w:p>
    <w:p w14:paraId="24E74C48" w14:textId="439F343D" w:rsidR="002B7A37" w:rsidRPr="009479FF" w:rsidRDefault="002B7A37" w:rsidP="001C386B">
      <w:pPr>
        <w:pStyle w:val="SingleTxtG"/>
        <w:ind w:left="2268" w:hanging="1134"/>
        <w:rPr>
          <w:b/>
          <w:lang w:val="fr-FR"/>
        </w:rPr>
      </w:pPr>
      <w:r w:rsidRPr="00D35449">
        <w:rPr>
          <w:b/>
          <w:bCs/>
          <w:lang w:val="fr-FR"/>
        </w:rPr>
        <w:t>5.6.1.4.1</w:t>
      </w:r>
      <w:r>
        <w:rPr>
          <w:lang w:val="fr-FR"/>
        </w:rPr>
        <w:tab/>
      </w:r>
      <w:r>
        <w:rPr>
          <w:b/>
          <w:bCs/>
          <w:lang w:val="fr-FR"/>
        </w:rPr>
        <w:t>Chaîne de traction électrique avec rails à courant continu et à courant alternatif séparés</w:t>
      </w:r>
    </w:p>
    <w:p w14:paraId="58663A60" w14:textId="2153207F" w:rsidR="002B7A37" w:rsidRPr="009479FF" w:rsidRDefault="002B7A37" w:rsidP="001C386B">
      <w:pPr>
        <w:pStyle w:val="SingleTxtG"/>
        <w:ind w:left="2268"/>
        <w:rPr>
          <w:b/>
          <w:lang w:val="fr-FR"/>
        </w:rPr>
      </w:pPr>
      <w:r>
        <w:rPr>
          <w:lang w:val="fr-FR"/>
        </w:rPr>
        <w:tab/>
      </w:r>
      <w:r>
        <w:rPr>
          <w:b/>
          <w:bCs/>
          <w:lang w:val="fr-FR"/>
        </w:rPr>
        <w:t>Si les rails haute tension à courant alternatif et les rails haute tension à courant continu sont galvaniquement isolés, la résistance d’isolement entre le rail haute tension et la masse électrique (Ri, selon la définition du paragraphe</w:t>
      </w:r>
      <w:r w:rsidR="001C386B">
        <w:rPr>
          <w:b/>
          <w:bCs/>
          <w:lang w:val="fr-FR"/>
        </w:rPr>
        <w:t> </w:t>
      </w:r>
      <w:r>
        <w:rPr>
          <w:b/>
          <w:bCs/>
          <w:lang w:val="fr-FR"/>
        </w:rPr>
        <w:t>5 de l’annexe 11) doit être au moins égale à 100 Ω/V de tension de fonctionnement des rails à courant continu et au moins 500 Ω/V de tension de fonctionnement des rails à courant alternatif.</w:t>
      </w:r>
    </w:p>
    <w:p w14:paraId="64DA5502" w14:textId="0D12667B" w:rsidR="002B7A37" w:rsidRPr="009479FF" w:rsidRDefault="002B7A37" w:rsidP="001C386B">
      <w:pPr>
        <w:pStyle w:val="SingleTxtG"/>
        <w:ind w:left="2268" w:hanging="1134"/>
        <w:rPr>
          <w:b/>
          <w:lang w:val="fr-FR"/>
        </w:rPr>
      </w:pPr>
      <w:r w:rsidRPr="00D35449">
        <w:rPr>
          <w:b/>
          <w:bCs/>
          <w:lang w:val="fr-FR"/>
        </w:rPr>
        <w:t>5.6.1.4.2</w:t>
      </w:r>
      <w:r>
        <w:rPr>
          <w:lang w:val="fr-FR"/>
        </w:rPr>
        <w:tab/>
      </w:r>
      <w:r>
        <w:rPr>
          <w:b/>
          <w:bCs/>
          <w:lang w:val="fr-FR"/>
        </w:rPr>
        <w:t>Chaîne de traction électrique comportant des rails combinés sous courant continu et sous courant alternatif</w:t>
      </w:r>
    </w:p>
    <w:p w14:paraId="26FC094A" w14:textId="07E65E4B" w:rsidR="002B7A37" w:rsidRPr="009479FF" w:rsidRDefault="002B7A37" w:rsidP="001C386B">
      <w:pPr>
        <w:pStyle w:val="SingleTxtG"/>
        <w:ind w:left="2268"/>
        <w:rPr>
          <w:b/>
          <w:lang w:val="fr-FR"/>
        </w:rPr>
      </w:pPr>
      <w:r>
        <w:rPr>
          <w:lang w:val="fr-FR"/>
        </w:rPr>
        <w:tab/>
      </w:r>
      <w:r>
        <w:rPr>
          <w:b/>
          <w:bCs/>
          <w:lang w:val="fr-FR"/>
        </w:rPr>
        <w:t>Si les rails haute tension sous courant alternatif et les rails haute tension sous courant continu sont reliés électriquement, ils doivent satisfaire à l’une au moins des prescriptions suivantes</w:t>
      </w:r>
      <w:r w:rsidR="001C386B">
        <w:rPr>
          <w:b/>
          <w:bCs/>
          <w:lang w:val="fr-FR"/>
        </w:rPr>
        <w:t> </w:t>
      </w:r>
      <w:r>
        <w:rPr>
          <w:b/>
          <w:bCs/>
          <w:lang w:val="fr-FR"/>
        </w:rPr>
        <w:t>:</w:t>
      </w:r>
    </w:p>
    <w:p w14:paraId="2DFD3460" w14:textId="6A674160" w:rsidR="002B7A37" w:rsidRPr="009479FF" w:rsidRDefault="002B7A37" w:rsidP="008849D2">
      <w:pPr>
        <w:pStyle w:val="SingleTxtG"/>
        <w:ind w:left="2835" w:hanging="567"/>
        <w:rPr>
          <w:b/>
          <w:bCs/>
          <w:lang w:val="fr-FR"/>
        </w:rPr>
      </w:pPr>
      <w:r w:rsidRPr="00E003C9">
        <w:rPr>
          <w:b/>
          <w:bCs/>
          <w:lang w:val="fr-FR"/>
        </w:rPr>
        <w:t>a)</w:t>
      </w:r>
      <w:r>
        <w:rPr>
          <w:lang w:val="fr-FR"/>
        </w:rPr>
        <w:tab/>
      </w:r>
      <w:r>
        <w:rPr>
          <w:b/>
          <w:bCs/>
          <w:lang w:val="fr-FR"/>
        </w:rPr>
        <w:t>La résistance d’isolement entre le rail haute tension et la masse électrique doit être au minimum de 500 Ω/V de tension de fonctionnement</w:t>
      </w:r>
      <w:r w:rsidR="001C386B">
        <w:rPr>
          <w:b/>
          <w:bCs/>
          <w:lang w:val="fr-FR"/>
        </w:rPr>
        <w:t> </w:t>
      </w:r>
      <w:r>
        <w:rPr>
          <w:b/>
          <w:bCs/>
          <w:lang w:val="fr-FR"/>
        </w:rPr>
        <w:t>;</w:t>
      </w:r>
    </w:p>
    <w:p w14:paraId="65CF0E34" w14:textId="4D1602D9" w:rsidR="002B7A37" w:rsidRPr="009479FF" w:rsidRDefault="002B7A37" w:rsidP="008849D2">
      <w:pPr>
        <w:pStyle w:val="SingleTxtG"/>
        <w:ind w:left="2835" w:hanging="567"/>
        <w:rPr>
          <w:b/>
          <w:bCs/>
          <w:lang w:val="fr-FR"/>
        </w:rPr>
      </w:pPr>
      <w:r w:rsidRPr="00E003C9">
        <w:rPr>
          <w:b/>
          <w:bCs/>
          <w:lang w:val="fr-FR"/>
        </w:rPr>
        <w:t>b)</w:t>
      </w:r>
      <w:r>
        <w:rPr>
          <w:lang w:val="fr-FR"/>
        </w:rPr>
        <w:tab/>
      </w:r>
      <w:r>
        <w:rPr>
          <w:b/>
          <w:bCs/>
          <w:lang w:val="fr-FR"/>
        </w:rPr>
        <w:t>La résistance d’isolement entre le rail haute tension et la masse électrique doit être d’au moins 100 Ω/V de tension de fonctionnement et le rail à courant alternatif doit satisfaire aux prescriptions relatives à la protection physique énoncées au paragraphe</w:t>
      </w:r>
      <w:r w:rsidR="001C386B">
        <w:rPr>
          <w:b/>
          <w:bCs/>
          <w:lang w:val="fr-FR"/>
        </w:rPr>
        <w:t> </w:t>
      </w:r>
      <w:r>
        <w:rPr>
          <w:b/>
          <w:bCs/>
          <w:lang w:val="fr-FR"/>
        </w:rPr>
        <w:t>5.6.1.3</w:t>
      </w:r>
      <w:r w:rsidR="001C386B">
        <w:rPr>
          <w:b/>
          <w:bCs/>
          <w:lang w:val="fr-FR"/>
        </w:rPr>
        <w:t> </w:t>
      </w:r>
      <w:r>
        <w:rPr>
          <w:b/>
          <w:bCs/>
          <w:lang w:val="fr-FR"/>
        </w:rPr>
        <w:t>;</w:t>
      </w:r>
    </w:p>
    <w:p w14:paraId="5360DE18" w14:textId="7A6E4F1E" w:rsidR="002B7A37" w:rsidRPr="009479FF" w:rsidRDefault="002B7A37" w:rsidP="008849D2">
      <w:pPr>
        <w:pStyle w:val="SingleTxtG"/>
        <w:ind w:left="2835" w:hanging="567"/>
        <w:rPr>
          <w:b/>
          <w:lang w:val="fr-FR"/>
        </w:rPr>
      </w:pPr>
      <w:r w:rsidRPr="00E003C9">
        <w:rPr>
          <w:b/>
          <w:bCs/>
          <w:lang w:val="fr-FR"/>
        </w:rPr>
        <w:t>c)</w:t>
      </w:r>
      <w:r>
        <w:rPr>
          <w:lang w:val="fr-FR"/>
        </w:rPr>
        <w:tab/>
      </w:r>
      <w:r>
        <w:rPr>
          <w:b/>
          <w:bCs/>
          <w:lang w:val="fr-FR"/>
        </w:rPr>
        <w:t>La résistance d’isolement entre le rail haute tension et la masse électrique doit être au minimum de 100 Ω/V de tension de fonctionnement et le rail à courant alternatif doit satisfaire au critère d’absence de haute tension, comme indiqué au paragraphe</w:t>
      </w:r>
      <w:r w:rsidR="001C386B">
        <w:rPr>
          <w:b/>
          <w:bCs/>
          <w:lang w:val="fr-FR"/>
        </w:rPr>
        <w:t> </w:t>
      </w:r>
      <w:r>
        <w:rPr>
          <w:b/>
          <w:bCs/>
          <w:lang w:val="fr-FR"/>
        </w:rPr>
        <w:t>5.6.1.1.</w:t>
      </w:r>
    </w:p>
    <w:p w14:paraId="46352C90" w14:textId="77777777" w:rsidR="002B7A37" w:rsidRPr="009479FF" w:rsidRDefault="002B7A37" w:rsidP="001C386B">
      <w:pPr>
        <w:pStyle w:val="SingleTxtG"/>
        <w:keepNext/>
        <w:ind w:left="2268" w:hanging="1134"/>
        <w:rPr>
          <w:b/>
          <w:lang w:val="fr-FR"/>
        </w:rPr>
      </w:pPr>
      <w:r w:rsidRPr="00E003C9">
        <w:rPr>
          <w:b/>
          <w:bCs/>
          <w:lang w:val="fr-FR"/>
        </w:rPr>
        <w:t>5.6.2</w:t>
      </w:r>
      <w:r>
        <w:rPr>
          <w:lang w:val="fr-FR"/>
        </w:rPr>
        <w:tab/>
      </w:r>
      <w:r>
        <w:rPr>
          <w:b/>
          <w:bCs/>
          <w:lang w:val="fr-FR"/>
        </w:rPr>
        <w:t>Fuite d’électrolyte</w:t>
      </w:r>
    </w:p>
    <w:p w14:paraId="00FB7518" w14:textId="77777777" w:rsidR="002B7A37" w:rsidRPr="009479FF" w:rsidRDefault="002B7A37" w:rsidP="001C386B">
      <w:pPr>
        <w:pStyle w:val="SingleTxtG"/>
        <w:ind w:left="2268" w:hanging="1134"/>
        <w:rPr>
          <w:b/>
          <w:lang w:val="fr-FR"/>
        </w:rPr>
      </w:pPr>
      <w:r w:rsidRPr="00E003C9">
        <w:rPr>
          <w:b/>
          <w:bCs/>
          <w:lang w:val="fr-FR"/>
        </w:rPr>
        <w:t>5.6.2.1</w:t>
      </w:r>
      <w:r>
        <w:rPr>
          <w:lang w:val="fr-FR"/>
        </w:rPr>
        <w:tab/>
      </w:r>
      <w:r>
        <w:rPr>
          <w:b/>
          <w:bCs/>
          <w:lang w:val="fr-FR"/>
        </w:rPr>
        <w:t>Cas d’un SRSEE à électrolyte aqueux</w:t>
      </w:r>
    </w:p>
    <w:p w14:paraId="49C7D8F5" w14:textId="77777777" w:rsidR="002B7A37" w:rsidRPr="009479FF" w:rsidRDefault="002B7A37" w:rsidP="001C386B">
      <w:pPr>
        <w:pStyle w:val="SingleTxtG"/>
        <w:ind w:left="2268"/>
        <w:rPr>
          <w:b/>
          <w:lang w:val="fr-FR"/>
        </w:rPr>
      </w:pPr>
      <w:r>
        <w:rPr>
          <w:b/>
          <w:bCs/>
          <w:lang w:val="fr-FR"/>
        </w:rPr>
        <w:t>Au cours des 60 min qui suivent le choc, il ne doit se produire aucune fuite d’électrolyte du SRSEE vers l’habitacle et une fuite maximale de 7 % en volume et de 5,0 l d’électrolyte est admise à l’extérieur de l’habitacle.</w:t>
      </w:r>
      <w:r>
        <w:rPr>
          <w:lang w:val="fr-FR"/>
        </w:rPr>
        <w:t xml:space="preserve"> </w:t>
      </w:r>
      <w:r>
        <w:rPr>
          <w:b/>
          <w:bCs/>
          <w:lang w:val="fr-FR"/>
        </w:rPr>
        <w:t>On peut mesurer la quantité d’électrolyte écoulée, une fois celui-ci recueilli, en employant les méthodes classiques de détermination des volumes de liquide.</w:t>
      </w:r>
      <w:r>
        <w:rPr>
          <w:lang w:val="fr-FR"/>
        </w:rPr>
        <w:t xml:space="preserve"> </w:t>
      </w:r>
      <w:r>
        <w:rPr>
          <w:b/>
          <w:bCs/>
          <w:lang w:val="fr-FR"/>
        </w:rPr>
        <w:t>Dans le cas d’un récipient contenant du solvant Stoddard, un liquide de refroidissement coloré et l’électrolyte, on peut isoler les fluides en fonction de leur masse volumique avant de les mesurer.</w:t>
      </w:r>
    </w:p>
    <w:p w14:paraId="12DB1489" w14:textId="6C50C16D" w:rsidR="002B7A37" w:rsidRPr="009479FF" w:rsidRDefault="002B7A37" w:rsidP="001C386B">
      <w:pPr>
        <w:pStyle w:val="SingleTxtG"/>
        <w:ind w:left="2268" w:hanging="1134"/>
        <w:rPr>
          <w:b/>
          <w:lang w:val="fr-FR"/>
        </w:rPr>
      </w:pPr>
      <w:r w:rsidRPr="000E1DB4">
        <w:rPr>
          <w:b/>
          <w:bCs/>
          <w:lang w:val="fr-FR"/>
        </w:rPr>
        <w:t>5.6.2.2</w:t>
      </w:r>
      <w:r>
        <w:rPr>
          <w:lang w:val="fr-FR"/>
        </w:rPr>
        <w:tab/>
      </w:r>
      <w:r>
        <w:rPr>
          <w:b/>
          <w:bCs/>
          <w:lang w:val="fr-FR"/>
        </w:rPr>
        <w:t>Cas d’un SRSEE à électrolyte non aqueux</w:t>
      </w:r>
    </w:p>
    <w:p w14:paraId="79AF8F6D" w14:textId="77777777" w:rsidR="002B7A37" w:rsidRPr="009479FF" w:rsidRDefault="002B7A37" w:rsidP="001C386B">
      <w:pPr>
        <w:pStyle w:val="SingleTxtG"/>
        <w:ind w:left="2268"/>
        <w:rPr>
          <w:b/>
          <w:lang w:val="fr-FR"/>
        </w:rPr>
      </w:pPr>
      <w:r>
        <w:rPr>
          <w:b/>
          <w:bCs/>
          <w:lang w:val="fr-FR"/>
        </w:rPr>
        <w:t>Au cours des 60 min qui suivent le choc, il ne doit se produire aucune fuite d’électrolyte liquide du SRSEE ni vers l’habitacle ou le compartiment à bagages, ni à l’extérieur du véhicule.</w:t>
      </w:r>
      <w:r>
        <w:rPr>
          <w:lang w:val="fr-FR"/>
        </w:rPr>
        <w:t xml:space="preserve"> </w:t>
      </w:r>
      <w:r>
        <w:rPr>
          <w:b/>
          <w:bCs/>
          <w:lang w:val="fr-FR"/>
        </w:rPr>
        <w:t>La recherche d’une fuite éventuelle doit être effectuée par inspection visuelle, sans démonter aucune partie du véhicule.</w:t>
      </w:r>
    </w:p>
    <w:p w14:paraId="5F1E499F" w14:textId="77777777" w:rsidR="002B7A37" w:rsidRPr="009479FF" w:rsidRDefault="002B7A37" w:rsidP="001C386B">
      <w:pPr>
        <w:pStyle w:val="SingleTxtG"/>
        <w:ind w:left="2268" w:hanging="1134"/>
        <w:rPr>
          <w:b/>
          <w:lang w:val="fr-FR"/>
        </w:rPr>
      </w:pPr>
      <w:r w:rsidRPr="000E1DB4">
        <w:rPr>
          <w:b/>
          <w:bCs/>
          <w:lang w:val="fr-FR"/>
        </w:rPr>
        <w:t>5.6.3</w:t>
      </w:r>
      <w:r>
        <w:rPr>
          <w:lang w:val="fr-FR"/>
        </w:rPr>
        <w:tab/>
      </w:r>
      <w:r>
        <w:rPr>
          <w:b/>
          <w:bCs/>
          <w:lang w:val="fr-FR"/>
        </w:rPr>
        <w:t>Maintien en place du SRSEE</w:t>
      </w:r>
      <w:r>
        <w:rPr>
          <w:lang w:val="fr-FR"/>
        </w:rPr>
        <w:t xml:space="preserve"> </w:t>
      </w:r>
    </w:p>
    <w:p w14:paraId="27FB50E0" w14:textId="62DB8973" w:rsidR="002B7A37" w:rsidRPr="009479FF" w:rsidRDefault="002B7A37" w:rsidP="001C386B">
      <w:pPr>
        <w:pStyle w:val="SingleTxtG"/>
        <w:ind w:left="2268"/>
        <w:rPr>
          <w:b/>
          <w:bCs/>
          <w:lang w:val="fr-FR"/>
        </w:rPr>
      </w:pPr>
      <w:r>
        <w:rPr>
          <w:b/>
          <w:bCs/>
          <w:lang w:val="fr-FR"/>
        </w:rPr>
        <w:t>Le SRSEE doit rester fixé au véhicule par au moins un ancrage, un support ou une structure transférant les charges subies à la structure du véhicule. Un SRSEE installé à l’extérieur de l’habitacle ne doit pas pénétrer dans ce dernier.</w:t>
      </w:r>
    </w:p>
    <w:p w14:paraId="6F5A5B5E" w14:textId="77777777" w:rsidR="002B7A37" w:rsidRPr="009479FF" w:rsidRDefault="002B7A37" w:rsidP="001C386B">
      <w:pPr>
        <w:pStyle w:val="SingleTxtG"/>
        <w:ind w:left="2268" w:hanging="1134"/>
        <w:rPr>
          <w:b/>
          <w:bCs/>
          <w:lang w:val="fr-FR"/>
        </w:rPr>
      </w:pPr>
      <w:r w:rsidRPr="000E1DB4">
        <w:rPr>
          <w:b/>
          <w:bCs/>
          <w:lang w:val="fr-FR"/>
        </w:rPr>
        <w:t>5.6.4</w:t>
      </w:r>
      <w:r>
        <w:rPr>
          <w:lang w:val="fr-FR"/>
        </w:rPr>
        <w:tab/>
      </w:r>
      <w:r>
        <w:rPr>
          <w:b/>
          <w:bCs/>
          <w:lang w:val="fr-FR"/>
        </w:rPr>
        <w:t>Risque de feu</w:t>
      </w:r>
      <w:r>
        <w:rPr>
          <w:lang w:val="fr-FR"/>
        </w:rPr>
        <w:t xml:space="preserve"> </w:t>
      </w:r>
    </w:p>
    <w:p w14:paraId="7870159D" w14:textId="77777777" w:rsidR="002B7A37" w:rsidRPr="009479FF" w:rsidRDefault="002B7A37" w:rsidP="001C386B">
      <w:pPr>
        <w:pStyle w:val="SingleTxtG"/>
        <w:ind w:left="2268"/>
        <w:rPr>
          <w:b/>
          <w:bCs/>
          <w:lang w:val="fr-FR"/>
        </w:rPr>
      </w:pPr>
      <w:r w:rsidRPr="000E1DB4">
        <w:rPr>
          <w:b/>
          <w:bCs/>
          <w:lang w:val="fr-FR"/>
        </w:rPr>
        <w:t>Au cours des 60 min qui suivent le choc, on ne doit observer aucun feu ni aucune explosion à l</w:t>
      </w:r>
      <w:r>
        <w:rPr>
          <w:b/>
          <w:bCs/>
          <w:lang w:val="fr-FR"/>
        </w:rPr>
        <w:t>’</w:t>
      </w:r>
      <w:r w:rsidRPr="000E1DB4">
        <w:rPr>
          <w:b/>
          <w:bCs/>
          <w:lang w:val="fr-FR"/>
        </w:rPr>
        <w:t>emplacement du SRSEE.</w:t>
      </w:r>
      <w:r>
        <w:rPr>
          <w:b/>
          <w:bCs/>
          <w:lang w:val="fr-FR"/>
        </w:rPr>
        <w:t> </w:t>
      </w:r>
      <w:r w:rsidRPr="000E1DB4">
        <w:rPr>
          <w:lang w:val="fr-FR"/>
        </w:rPr>
        <w:t>».</w:t>
      </w:r>
    </w:p>
    <w:p w14:paraId="7EFA1A99" w14:textId="6D62C3C7" w:rsidR="002B7A37" w:rsidRPr="009479FF" w:rsidRDefault="002B7A37" w:rsidP="005471E6">
      <w:pPr>
        <w:pStyle w:val="SingleTxtG"/>
        <w:rPr>
          <w:bCs/>
          <w:lang w:val="fr-FR"/>
        </w:rPr>
      </w:pPr>
      <w:r w:rsidRPr="005471E6">
        <w:rPr>
          <w:i/>
          <w:iCs/>
          <w:lang w:val="fr-FR"/>
        </w:rPr>
        <w:t>Paragraphes 6.1 à 6.2</w:t>
      </w:r>
      <w:r>
        <w:rPr>
          <w:lang w:val="fr-FR"/>
        </w:rPr>
        <w:t>, lire</w:t>
      </w:r>
      <w:r w:rsidR="005471E6">
        <w:rPr>
          <w:lang w:val="fr-FR"/>
        </w:rPr>
        <w:t> </w:t>
      </w:r>
      <w:r>
        <w:rPr>
          <w:lang w:val="fr-FR"/>
        </w:rPr>
        <w:t>:</w:t>
      </w:r>
    </w:p>
    <w:p w14:paraId="5BDB5571" w14:textId="67037247" w:rsidR="002B7A37" w:rsidRPr="009479FF" w:rsidRDefault="002B7A37" w:rsidP="001C386B">
      <w:pPr>
        <w:pStyle w:val="SingleTxtG"/>
        <w:ind w:left="2268" w:hanging="1134"/>
        <w:rPr>
          <w:b/>
          <w:bCs/>
          <w:lang w:val="fr-FR"/>
        </w:rPr>
      </w:pPr>
      <w:r>
        <w:rPr>
          <w:lang w:val="fr-FR"/>
        </w:rPr>
        <w:t>« 6.1</w:t>
      </w:r>
      <w:r>
        <w:rPr>
          <w:lang w:val="fr-FR"/>
        </w:rPr>
        <w:tab/>
      </w:r>
      <w:r w:rsidRPr="00B51110">
        <w:rPr>
          <w:lang w:val="fr-FR"/>
        </w:rPr>
        <w:t>Toute</w:t>
      </w:r>
      <w:r>
        <w:rPr>
          <w:lang w:val="fr-FR"/>
        </w:rPr>
        <w:t xml:space="preserve"> modification </w:t>
      </w:r>
      <w:r w:rsidRPr="00B51110">
        <w:rPr>
          <w:b/>
          <w:bCs/>
          <w:lang w:val="fr-FR"/>
        </w:rPr>
        <w:t>du type de véhicule concernant le présent Règlement ONU doit être signalée à l</w:t>
      </w:r>
      <w:r>
        <w:rPr>
          <w:b/>
          <w:bCs/>
          <w:lang w:val="fr-FR"/>
        </w:rPr>
        <w:t>’</w:t>
      </w:r>
      <w:r w:rsidRPr="00B51110">
        <w:rPr>
          <w:b/>
          <w:bCs/>
          <w:lang w:val="fr-FR"/>
        </w:rPr>
        <w:t>autorité d</w:t>
      </w:r>
      <w:r>
        <w:rPr>
          <w:b/>
          <w:bCs/>
          <w:lang w:val="fr-FR"/>
        </w:rPr>
        <w:t>’</w:t>
      </w:r>
      <w:r w:rsidRPr="00B51110">
        <w:rPr>
          <w:b/>
          <w:bCs/>
          <w:lang w:val="fr-FR"/>
        </w:rPr>
        <w:t>homologation de type qui a procédé à l</w:t>
      </w:r>
      <w:r>
        <w:rPr>
          <w:b/>
          <w:bCs/>
          <w:lang w:val="fr-FR"/>
        </w:rPr>
        <w:t>’</w:t>
      </w:r>
      <w:r w:rsidRPr="00B51110">
        <w:rPr>
          <w:b/>
          <w:bCs/>
          <w:lang w:val="fr-FR"/>
        </w:rPr>
        <w:t>homologation du type visé.</w:t>
      </w:r>
      <w:r>
        <w:rPr>
          <w:lang w:val="fr-FR"/>
        </w:rPr>
        <w:t xml:space="preserve"> </w:t>
      </w:r>
      <w:r>
        <w:rPr>
          <w:b/>
          <w:bCs/>
          <w:lang w:val="fr-FR"/>
        </w:rPr>
        <w:t>Cette autorité peut alors</w:t>
      </w:r>
      <w:r w:rsidR="005471E6">
        <w:rPr>
          <w:b/>
          <w:bCs/>
          <w:lang w:val="fr-FR"/>
        </w:rPr>
        <w:t> </w:t>
      </w:r>
      <w:r>
        <w:rPr>
          <w:b/>
          <w:bCs/>
          <w:lang w:val="fr-FR"/>
        </w:rPr>
        <w:t>:</w:t>
      </w:r>
    </w:p>
    <w:p w14:paraId="0869C59E" w14:textId="6FE820A9" w:rsidR="002B7A37" w:rsidRPr="009479FF" w:rsidRDefault="002B7A37" w:rsidP="008849D2">
      <w:pPr>
        <w:pStyle w:val="SingleTxtG"/>
        <w:ind w:left="2835" w:hanging="567"/>
        <w:rPr>
          <w:b/>
          <w:bCs/>
          <w:lang w:val="fr-FR"/>
        </w:rPr>
      </w:pPr>
      <w:r w:rsidRPr="00B51110">
        <w:rPr>
          <w:b/>
          <w:bCs/>
          <w:lang w:val="fr-FR"/>
        </w:rPr>
        <w:t>a)</w:t>
      </w:r>
      <w:r>
        <w:rPr>
          <w:lang w:val="fr-FR"/>
        </w:rPr>
        <w:tab/>
      </w:r>
      <w:r>
        <w:rPr>
          <w:b/>
          <w:bCs/>
          <w:lang w:val="fr-FR"/>
        </w:rPr>
        <w:t>Décider, en consultation avec le constructeur, qu’il convient d’accorder une nouvelle homologation de type</w:t>
      </w:r>
      <w:r w:rsidR="005471E6">
        <w:rPr>
          <w:b/>
          <w:bCs/>
          <w:lang w:val="fr-FR"/>
        </w:rPr>
        <w:t> </w:t>
      </w:r>
      <w:r>
        <w:rPr>
          <w:b/>
          <w:bCs/>
          <w:lang w:val="fr-FR"/>
        </w:rPr>
        <w:t>;</w:t>
      </w:r>
      <w:r>
        <w:rPr>
          <w:lang w:val="fr-FR"/>
        </w:rPr>
        <w:t xml:space="preserve"> </w:t>
      </w:r>
      <w:r>
        <w:rPr>
          <w:b/>
          <w:bCs/>
          <w:lang w:val="fr-FR"/>
        </w:rPr>
        <w:t>ou</w:t>
      </w:r>
      <w:r>
        <w:rPr>
          <w:lang w:val="fr-FR"/>
        </w:rPr>
        <w:t xml:space="preserve"> </w:t>
      </w:r>
    </w:p>
    <w:p w14:paraId="5CCEF1A6" w14:textId="77777777" w:rsidR="002B7A37" w:rsidRPr="009479FF" w:rsidRDefault="002B7A37" w:rsidP="008849D2">
      <w:pPr>
        <w:pStyle w:val="SingleTxtG"/>
        <w:ind w:left="2835" w:hanging="567"/>
        <w:rPr>
          <w:b/>
          <w:bCs/>
          <w:lang w:val="fr-FR"/>
        </w:rPr>
      </w:pPr>
      <w:r w:rsidRPr="00B51110">
        <w:rPr>
          <w:b/>
          <w:bCs/>
          <w:lang w:val="fr-FR"/>
        </w:rPr>
        <w:t>b)</w:t>
      </w:r>
      <w:r>
        <w:rPr>
          <w:lang w:val="fr-FR"/>
        </w:rPr>
        <w:tab/>
      </w:r>
      <w:r>
        <w:rPr>
          <w:b/>
          <w:bCs/>
          <w:lang w:val="fr-FR"/>
        </w:rPr>
        <w:t>Appliquer la procédure décrite au paragraphe 6.1.1</w:t>
      </w:r>
      <w:r>
        <w:rPr>
          <w:lang w:val="fr-FR"/>
        </w:rPr>
        <w:t xml:space="preserve"> </w:t>
      </w:r>
      <w:r>
        <w:rPr>
          <w:b/>
          <w:bCs/>
          <w:lang w:val="fr-FR"/>
        </w:rPr>
        <w:t>(Révision) et, s’il y a lieu, la procédure décrite au paragraphe 6.1.2</w:t>
      </w:r>
      <w:r>
        <w:rPr>
          <w:lang w:val="fr-FR"/>
        </w:rPr>
        <w:t xml:space="preserve"> </w:t>
      </w:r>
      <w:r>
        <w:rPr>
          <w:b/>
          <w:bCs/>
          <w:lang w:val="fr-FR"/>
        </w:rPr>
        <w:t>(Extension).</w:t>
      </w:r>
    </w:p>
    <w:p w14:paraId="0A195070" w14:textId="3739DE8B" w:rsidR="002B7A37" w:rsidRPr="009479FF" w:rsidRDefault="002B7A37" w:rsidP="001C386B">
      <w:pPr>
        <w:pStyle w:val="SingleTxtG"/>
        <w:ind w:left="2268" w:hanging="1134"/>
        <w:rPr>
          <w:b/>
          <w:bCs/>
          <w:lang w:val="fr-FR"/>
        </w:rPr>
      </w:pPr>
      <w:r>
        <w:rPr>
          <w:lang w:val="fr-FR"/>
        </w:rPr>
        <w:t>6.1.1</w:t>
      </w:r>
      <w:r>
        <w:rPr>
          <w:lang w:val="fr-FR"/>
        </w:rPr>
        <w:tab/>
      </w:r>
      <w:r>
        <w:rPr>
          <w:b/>
          <w:bCs/>
          <w:lang w:val="fr-FR"/>
        </w:rPr>
        <w:t>Révision</w:t>
      </w:r>
      <w:r>
        <w:rPr>
          <w:lang w:val="fr-FR"/>
        </w:rPr>
        <w:t xml:space="preserve"> </w:t>
      </w:r>
    </w:p>
    <w:p w14:paraId="082F9815" w14:textId="3E2CF739" w:rsidR="002B7A37" w:rsidRPr="009479FF" w:rsidRDefault="002B7A37" w:rsidP="005471E6">
      <w:pPr>
        <w:pStyle w:val="SingleTxtG"/>
        <w:ind w:left="2268"/>
        <w:rPr>
          <w:b/>
          <w:bCs/>
          <w:lang w:val="fr-FR"/>
        </w:rPr>
      </w:pPr>
      <w:r>
        <w:rPr>
          <w:b/>
          <w:bCs/>
          <w:lang w:val="fr-FR"/>
        </w:rPr>
        <w:t>Lorsque des renseignements consignés dans le dossier d’information ont été modifiés et que l’autorité d’homologation de type considère que ces modifications ne risquent pas d’avoir une incidence défavorable notable, et qu’en tout état de cause le véhicule satisfait encore aux prescriptions, lesdites modifications sont qualifiées de “révisions”.</w:t>
      </w:r>
      <w:r>
        <w:rPr>
          <w:lang w:val="fr-FR"/>
        </w:rPr>
        <w:t xml:space="preserve"> </w:t>
      </w:r>
    </w:p>
    <w:p w14:paraId="24EA045E" w14:textId="21360537" w:rsidR="002B7A37" w:rsidRPr="009479FF" w:rsidRDefault="002B7A37" w:rsidP="005471E6">
      <w:pPr>
        <w:pStyle w:val="SingleTxtG"/>
        <w:ind w:left="2268"/>
        <w:rPr>
          <w:b/>
          <w:bCs/>
          <w:lang w:val="fr-FR"/>
        </w:rPr>
      </w:pPr>
      <w:r>
        <w:rPr>
          <w:b/>
          <w:bCs/>
          <w:lang w:val="fr-FR"/>
        </w:rPr>
        <w:t>En pareil cas, l’autorité d’homologation de type doit publier les pages révisées du dossier d’information en faisant clairement apparaître sur chacune des pages révisées la nature de la modification et la date de republication.</w:t>
      </w:r>
      <w:r>
        <w:rPr>
          <w:lang w:val="fr-FR"/>
        </w:rPr>
        <w:t xml:space="preserve"> </w:t>
      </w:r>
      <w:r>
        <w:rPr>
          <w:b/>
          <w:bCs/>
          <w:lang w:val="fr-FR"/>
        </w:rPr>
        <w:t>Une version récapitulative et actualisée du dossier d’information, accompagnée d’une description détaillée des modifications, est réputée satisfaire à cette exigence.</w:t>
      </w:r>
      <w:r>
        <w:rPr>
          <w:lang w:val="fr-FR"/>
        </w:rPr>
        <w:t xml:space="preserve"> </w:t>
      </w:r>
    </w:p>
    <w:p w14:paraId="40B66077" w14:textId="77777777" w:rsidR="002B7A37" w:rsidRPr="009479FF" w:rsidRDefault="002B7A37" w:rsidP="001C386B">
      <w:pPr>
        <w:pStyle w:val="SingleTxtG"/>
        <w:ind w:left="2268" w:hanging="1134"/>
        <w:rPr>
          <w:b/>
          <w:bCs/>
          <w:lang w:val="fr-FR"/>
        </w:rPr>
      </w:pPr>
      <w:r>
        <w:rPr>
          <w:lang w:val="fr-FR"/>
        </w:rPr>
        <w:t>6.1.2</w:t>
      </w:r>
      <w:r>
        <w:rPr>
          <w:lang w:val="fr-FR"/>
        </w:rPr>
        <w:tab/>
      </w:r>
      <w:r>
        <w:rPr>
          <w:b/>
          <w:bCs/>
          <w:lang w:val="fr-FR"/>
        </w:rPr>
        <w:t>Extension</w:t>
      </w:r>
      <w:r>
        <w:rPr>
          <w:lang w:val="fr-FR"/>
        </w:rPr>
        <w:t xml:space="preserve"> </w:t>
      </w:r>
    </w:p>
    <w:p w14:paraId="2F9F98A9" w14:textId="36BDD7A2" w:rsidR="002B7A37" w:rsidRPr="009479FF" w:rsidRDefault="002B7A37" w:rsidP="005471E6">
      <w:pPr>
        <w:pStyle w:val="SingleTxtG"/>
        <w:ind w:left="2268"/>
        <w:rPr>
          <w:b/>
          <w:bCs/>
          <w:lang w:val="fr-FR"/>
        </w:rPr>
      </w:pPr>
      <w:r>
        <w:rPr>
          <w:lang w:val="fr-FR"/>
        </w:rPr>
        <w:tab/>
      </w:r>
      <w:r w:rsidRPr="004231BD">
        <w:rPr>
          <w:b/>
          <w:bCs/>
          <w:lang w:val="fr-FR"/>
        </w:rPr>
        <w:t>Une</w:t>
      </w:r>
      <w:r>
        <w:rPr>
          <w:b/>
          <w:bCs/>
          <w:lang w:val="fr-FR"/>
        </w:rPr>
        <w:t xml:space="preserve"> modification doit être considérée comme une “extension” si, outre les modifications apportées aux renseignements consignés dans le dossier d’information</w:t>
      </w:r>
      <w:r w:rsidR="005471E6">
        <w:rPr>
          <w:b/>
          <w:bCs/>
          <w:lang w:val="fr-FR"/>
        </w:rPr>
        <w:t> </w:t>
      </w:r>
      <w:r>
        <w:rPr>
          <w:b/>
          <w:bCs/>
          <w:lang w:val="fr-FR"/>
        </w:rPr>
        <w:t>:</w:t>
      </w:r>
      <w:r>
        <w:rPr>
          <w:lang w:val="fr-FR"/>
        </w:rPr>
        <w:t xml:space="preserve"> </w:t>
      </w:r>
    </w:p>
    <w:p w14:paraId="18B066A9" w14:textId="047ABA81" w:rsidR="002B7A37" w:rsidRPr="009479FF" w:rsidRDefault="002B7A37" w:rsidP="008849D2">
      <w:pPr>
        <w:pStyle w:val="SingleTxtG"/>
        <w:ind w:left="2835" w:hanging="567"/>
        <w:rPr>
          <w:b/>
          <w:bCs/>
          <w:lang w:val="fr-FR"/>
        </w:rPr>
      </w:pPr>
      <w:r w:rsidRPr="004231BD">
        <w:rPr>
          <w:b/>
          <w:bCs/>
          <w:lang w:val="fr-FR"/>
        </w:rPr>
        <w:t>a)</w:t>
      </w:r>
      <w:r>
        <w:rPr>
          <w:lang w:val="fr-FR"/>
        </w:rPr>
        <w:tab/>
      </w:r>
      <w:r>
        <w:rPr>
          <w:b/>
          <w:bCs/>
          <w:lang w:val="fr-FR"/>
        </w:rPr>
        <w:t>D’autres contrôles ou essais sont nécessaires</w:t>
      </w:r>
      <w:r w:rsidR="005471E6">
        <w:rPr>
          <w:b/>
          <w:bCs/>
          <w:lang w:val="fr-FR"/>
        </w:rPr>
        <w:t> </w:t>
      </w:r>
      <w:r>
        <w:rPr>
          <w:b/>
          <w:bCs/>
          <w:lang w:val="fr-FR"/>
        </w:rPr>
        <w:t>;</w:t>
      </w:r>
      <w:r>
        <w:rPr>
          <w:lang w:val="fr-FR"/>
        </w:rPr>
        <w:t xml:space="preserve"> </w:t>
      </w:r>
      <w:r>
        <w:rPr>
          <w:b/>
          <w:bCs/>
          <w:lang w:val="fr-FR"/>
        </w:rPr>
        <w:t>ou</w:t>
      </w:r>
      <w:r>
        <w:rPr>
          <w:lang w:val="fr-FR"/>
        </w:rPr>
        <w:t xml:space="preserve"> </w:t>
      </w:r>
    </w:p>
    <w:p w14:paraId="425F1E03" w14:textId="1DCE5F71" w:rsidR="002B7A37" w:rsidRPr="009479FF" w:rsidRDefault="002B7A37" w:rsidP="008849D2">
      <w:pPr>
        <w:pStyle w:val="SingleTxtG"/>
        <w:ind w:left="2835" w:hanging="567"/>
        <w:rPr>
          <w:b/>
          <w:bCs/>
          <w:lang w:val="fr-FR"/>
        </w:rPr>
      </w:pPr>
      <w:r w:rsidRPr="00D72129">
        <w:rPr>
          <w:b/>
          <w:bCs/>
          <w:lang w:val="fr-FR"/>
        </w:rPr>
        <w:t>b)</w:t>
      </w:r>
      <w:r>
        <w:rPr>
          <w:lang w:val="fr-FR"/>
        </w:rPr>
        <w:tab/>
      </w:r>
      <w:r>
        <w:rPr>
          <w:b/>
          <w:bCs/>
          <w:lang w:val="fr-FR"/>
        </w:rPr>
        <w:t>Une information figurant dans la fiche de communication (à l’exception des pièces jointes) a été modifiée</w:t>
      </w:r>
      <w:r w:rsidR="005471E6">
        <w:rPr>
          <w:b/>
          <w:bCs/>
          <w:lang w:val="fr-FR"/>
        </w:rPr>
        <w:t> </w:t>
      </w:r>
      <w:r>
        <w:rPr>
          <w:b/>
          <w:bCs/>
          <w:lang w:val="fr-FR"/>
        </w:rPr>
        <w:t>;</w:t>
      </w:r>
      <w:r>
        <w:rPr>
          <w:lang w:val="fr-FR"/>
        </w:rPr>
        <w:t xml:space="preserve"> </w:t>
      </w:r>
      <w:r>
        <w:rPr>
          <w:b/>
          <w:bCs/>
          <w:lang w:val="fr-FR"/>
        </w:rPr>
        <w:t>ou</w:t>
      </w:r>
      <w:r>
        <w:rPr>
          <w:lang w:val="fr-FR"/>
        </w:rPr>
        <w:t xml:space="preserve"> </w:t>
      </w:r>
    </w:p>
    <w:p w14:paraId="560F30E8" w14:textId="77777777" w:rsidR="002B7A37" w:rsidRPr="009479FF" w:rsidRDefault="002B7A37" w:rsidP="008849D2">
      <w:pPr>
        <w:pStyle w:val="SingleTxtG"/>
        <w:ind w:left="2835" w:hanging="567"/>
        <w:rPr>
          <w:b/>
          <w:bCs/>
          <w:lang w:val="fr-FR"/>
        </w:rPr>
      </w:pPr>
      <w:r w:rsidRPr="00D72129">
        <w:rPr>
          <w:b/>
          <w:bCs/>
          <w:lang w:val="fr-FR"/>
        </w:rPr>
        <w:t>c)</w:t>
      </w:r>
      <w:r>
        <w:rPr>
          <w:lang w:val="fr-FR"/>
        </w:rPr>
        <w:tab/>
      </w:r>
      <w:r w:rsidRPr="004231BD">
        <w:rPr>
          <w:b/>
          <w:bCs/>
          <w:lang w:val="fr-FR"/>
        </w:rPr>
        <w:t>L</w:t>
      </w:r>
      <w:r>
        <w:rPr>
          <w:b/>
          <w:bCs/>
          <w:lang w:val="fr-FR"/>
        </w:rPr>
        <w:t>’</w:t>
      </w:r>
      <w:r w:rsidRPr="004231BD">
        <w:rPr>
          <w:b/>
          <w:bCs/>
          <w:lang w:val="fr-FR"/>
        </w:rPr>
        <w:t>homologation est demandée après l</w:t>
      </w:r>
      <w:r>
        <w:rPr>
          <w:b/>
          <w:bCs/>
          <w:lang w:val="fr-FR"/>
        </w:rPr>
        <w:t>’</w:t>
      </w:r>
      <w:r w:rsidRPr="004231BD">
        <w:rPr>
          <w:b/>
          <w:bCs/>
          <w:lang w:val="fr-FR"/>
        </w:rPr>
        <w:t>entrée en vigueur d</w:t>
      </w:r>
      <w:r>
        <w:rPr>
          <w:b/>
          <w:bCs/>
          <w:lang w:val="fr-FR"/>
        </w:rPr>
        <w:t>’</w:t>
      </w:r>
      <w:r w:rsidRPr="004231BD">
        <w:rPr>
          <w:b/>
          <w:bCs/>
          <w:lang w:val="fr-FR"/>
        </w:rPr>
        <w:t>une série ultérieure d</w:t>
      </w:r>
      <w:r>
        <w:rPr>
          <w:b/>
          <w:bCs/>
          <w:lang w:val="fr-FR"/>
        </w:rPr>
        <w:t>’</w:t>
      </w:r>
      <w:r w:rsidRPr="004231BD">
        <w:rPr>
          <w:b/>
          <w:bCs/>
          <w:lang w:val="fr-FR"/>
        </w:rPr>
        <w:t>amendements</w:t>
      </w:r>
      <w:r>
        <w:rPr>
          <w:b/>
          <w:bCs/>
          <w:lang w:val="fr-FR"/>
        </w:rPr>
        <w:t>.</w:t>
      </w:r>
    </w:p>
    <w:p w14:paraId="1FD409A0" w14:textId="77777777" w:rsidR="002B7A37" w:rsidRPr="009479FF" w:rsidRDefault="002B7A37" w:rsidP="001C386B">
      <w:pPr>
        <w:pStyle w:val="SingleTxtG"/>
        <w:ind w:left="2268" w:hanging="1134"/>
        <w:rPr>
          <w:lang w:val="fr-FR"/>
        </w:rPr>
      </w:pPr>
      <w:r>
        <w:rPr>
          <w:lang w:val="fr-FR"/>
        </w:rPr>
        <w:t>6.2</w:t>
      </w:r>
      <w:r>
        <w:rPr>
          <w:lang w:val="fr-FR"/>
        </w:rPr>
        <w:tab/>
      </w:r>
      <w:r>
        <w:rPr>
          <w:b/>
          <w:bCs/>
          <w:lang w:val="fr-FR"/>
        </w:rPr>
        <w:t>La notification de confirmation, d’extension ou de refus de l’homologation est communiquée aux Parties à l’Accord appliquant le présent Règlement par la procédure indiquée au paragraphe 4.3 ci-dessus.</w:t>
      </w:r>
      <w:r>
        <w:rPr>
          <w:lang w:val="fr-FR"/>
        </w:rPr>
        <w:t xml:space="preserve"> </w:t>
      </w:r>
      <w:r w:rsidRPr="00D72129">
        <w:rPr>
          <w:b/>
          <w:bCs/>
          <w:lang w:val="fr-FR"/>
        </w:rPr>
        <w:t>En outre, la liste des pièces constituant le dossier d</w:t>
      </w:r>
      <w:r>
        <w:rPr>
          <w:b/>
          <w:bCs/>
          <w:lang w:val="fr-FR"/>
        </w:rPr>
        <w:t>’</w:t>
      </w:r>
      <w:r w:rsidRPr="00D72129">
        <w:rPr>
          <w:b/>
          <w:bCs/>
          <w:lang w:val="fr-FR"/>
        </w:rPr>
        <w:t>homologation et des procès-verbaux d</w:t>
      </w:r>
      <w:r>
        <w:rPr>
          <w:b/>
          <w:bCs/>
          <w:lang w:val="fr-FR"/>
        </w:rPr>
        <w:t>’</w:t>
      </w:r>
      <w:r w:rsidRPr="00D72129">
        <w:rPr>
          <w:b/>
          <w:bCs/>
          <w:lang w:val="fr-FR"/>
        </w:rPr>
        <w:t>essai, annexée à la fiche de communication de l</w:t>
      </w:r>
      <w:r>
        <w:rPr>
          <w:b/>
          <w:bCs/>
          <w:lang w:val="fr-FR"/>
        </w:rPr>
        <w:t>’</w:t>
      </w:r>
      <w:r w:rsidRPr="00D72129">
        <w:rPr>
          <w:b/>
          <w:bCs/>
          <w:lang w:val="fr-FR"/>
        </w:rPr>
        <w:t>annexe 1, doit être modifiée en conséquence</w:t>
      </w:r>
      <w:r>
        <w:rPr>
          <w:b/>
          <w:bCs/>
          <w:lang w:val="fr-FR"/>
        </w:rPr>
        <w:t>,</w:t>
      </w:r>
      <w:r w:rsidRPr="00D72129">
        <w:rPr>
          <w:b/>
          <w:bCs/>
          <w:lang w:val="fr-FR"/>
        </w:rPr>
        <w:t xml:space="preserve"> de manière que soit indiquée la date de la révision ou de l</w:t>
      </w:r>
      <w:r>
        <w:rPr>
          <w:b/>
          <w:bCs/>
          <w:lang w:val="fr-FR"/>
        </w:rPr>
        <w:t>’</w:t>
      </w:r>
      <w:r w:rsidRPr="00D72129">
        <w:rPr>
          <w:b/>
          <w:bCs/>
          <w:lang w:val="fr-FR"/>
        </w:rPr>
        <w:t>extension la plus récente.</w:t>
      </w:r>
      <w:r>
        <w:rPr>
          <w:lang w:val="fr-FR"/>
        </w:rPr>
        <w:t> ».</w:t>
      </w:r>
    </w:p>
    <w:p w14:paraId="248214B2" w14:textId="77777777" w:rsidR="002B7A37" w:rsidRPr="009479FF" w:rsidRDefault="002B7A37" w:rsidP="005471E6">
      <w:pPr>
        <w:pStyle w:val="SingleTxtG"/>
        <w:rPr>
          <w:lang w:val="fr-FR"/>
        </w:rPr>
      </w:pPr>
      <w:r w:rsidRPr="009479FF">
        <w:rPr>
          <w:i/>
          <w:lang w:val="fr-FR"/>
        </w:rPr>
        <w:t>Paragraphes 6.3 et 6.4</w:t>
      </w:r>
      <w:r>
        <w:rPr>
          <w:lang w:val="fr-FR"/>
        </w:rPr>
        <w:t>, supprimer.</w:t>
      </w:r>
    </w:p>
    <w:p w14:paraId="2D60B4C6" w14:textId="1932A36D" w:rsidR="002B7A37" w:rsidRPr="009479FF" w:rsidRDefault="002B7A37" w:rsidP="005471E6">
      <w:pPr>
        <w:pStyle w:val="SingleTxtG"/>
        <w:rPr>
          <w:lang w:val="fr-FR"/>
        </w:rPr>
      </w:pPr>
      <w:r w:rsidRPr="00DD3C77">
        <w:rPr>
          <w:i/>
          <w:iCs/>
          <w:lang w:val="fr-FR"/>
        </w:rPr>
        <w:t>Paragraphe 7</w:t>
      </w:r>
      <w:r>
        <w:rPr>
          <w:lang w:val="fr-FR"/>
        </w:rPr>
        <w:t>, lire</w:t>
      </w:r>
      <w:r w:rsidR="005471E6">
        <w:rPr>
          <w:lang w:val="fr-FR"/>
        </w:rPr>
        <w:t> </w:t>
      </w:r>
      <w:r>
        <w:rPr>
          <w:lang w:val="fr-FR"/>
        </w:rPr>
        <w:t>:</w:t>
      </w:r>
    </w:p>
    <w:p w14:paraId="7203EE09" w14:textId="5FBB6249" w:rsidR="002B7A37" w:rsidRPr="009479FF" w:rsidRDefault="002B7A37" w:rsidP="005471E6">
      <w:pPr>
        <w:pStyle w:val="HChG"/>
        <w:ind w:left="2268"/>
        <w:rPr>
          <w:lang w:val="fr-FR"/>
        </w:rPr>
      </w:pPr>
      <w:bookmarkStart w:id="3" w:name="_Toc408307415"/>
      <w:r w:rsidRPr="005471E6">
        <w:rPr>
          <w:b w:val="0"/>
          <w:sz w:val="20"/>
          <w:lang w:val="fr-FR"/>
        </w:rPr>
        <w:t>« </w:t>
      </w:r>
      <w:r>
        <w:rPr>
          <w:bCs/>
          <w:lang w:val="fr-FR"/>
        </w:rPr>
        <w:t>7.</w:t>
      </w:r>
      <w:r>
        <w:rPr>
          <w:lang w:val="fr-FR"/>
        </w:rPr>
        <w:tab/>
      </w:r>
      <w:r>
        <w:rPr>
          <w:bCs/>
          <w:lang w:val="fr-FR"/>
        </w:rPr>
        <w:t>Conformité de la production</w:t>
      </w:r>
      <w:r>
        <w:rPr>
          <w:lang w:val="fr-FR"/>
        </w:rPr>
        <w:t xml:space="preserve"> </w:t>
      </w:r>
      <w:bookmarkEnd w:id="3"/>
    </w:p>
    <w:p w14:paraId="1BCFD4DF" w14:textId="73A24785" w:rsidR="002B7A37" w:rsidRPr="009479FF" w:rsidRDefault="002B7A37" w:rsidP="005471E6">
      <w:pPr>
        <w:pStyle w:val="SingleTxtG"/>
        <w:ind w:left="2268"/>
        <w:rPr>
          <w:lang w:val="fr-FR"/>
        </w:rPr>
      </w:pPr>
      <w:r w:rsidRPr="00DD3C77">
        <w:rPr>
          <w:b/>
          <w:bCs/>
          <w:lang w:val="fr-FR"/>
        </w:rPr>
        <w:t xml:space="preserve">Les procédures de </w:t>
      </w:r>
      <w:r>
        <w:rPr>
          <w:b/>
          <w:bCs/>
          <w:lang w:val="fr-FR"/>
        </w:rPr>
        <w:t>contrôle</w:t>
      </w:r>
      <w:r w:rsidRPr="00DD3C77">
        <w:rPr>
          <w:b/>
          <w:bCs/>
          <w:lang w:val="fr-FR"/>
        </w:rPr>
        <w:t xml:space="preserve"> de la conformité de la production doivent </w:t>
      </w:r>
      <w:r>
        <w:rPr>
          <w:b/>
          <w:bCs/>
          <w:lang w:val="fr-FR"/>
        </w:rPr>
        <w:t>correspondre</w:t>
      </w:r>
      <w:r w:rsidRPr="00DD3C77">
        <w:rPr>
          <w:b/>
          <w:bCs/>
          <w:lang w:val="fr-FR"/>
        </w:rPr>
        <w:t xml:space="preserve"> à celles </w:t>
      </w:r>
      <w:r>
        <w:rPr>
          <w:b/>
          <w:bCs/>
          <w:lang w:val="fr-FR"/>
        </w:rPr>
        <w:t>qui sont énoncées</w:t>
      </w:r>
      <w:r w:rsidRPr="00DD3C77">
        <w:rPr>
          <w:b/>
          <w:bCs/>
          <w:lang w:val="fr-FR"/>
        </w:rPr>
        <w:t xml:space="preserve"> à l</w:t>
      </w:r>
      <w:r>
        <w:rPr>
          <w:b/>
          <w:bCs/>
          <w:lang w:val="fr-FR"/>
        </w:rPr>
        <w:t>’</w:t>
      </w:r>
      <w:r w:rsidRPr="00DD3C77">
        <w:rPr>
          <w:b/>
          <w:bCs/>
          <w:lang w:val="fr-FR"/>
        </w:rPr>
        <w:t>a</w:t>
      </w:r>
      <w:r>
        <w:rPr>
          <w:b/>
          <w:bCs/>
          <w:lang w:val="fr-FR"/>
        </w:rPr>
        <w:t>nnexe</w:t>
      </w:r>
      <w:r w:rsidRPr="00DD3C77">
        <w:rPr>
          <w:b/>
          <w:bCs/>
          <w:lang w:val="fr-FR"/>
        </w:rPr>
        <w:t xml:space="preserve"> </w:t>
      </w:r>
      <w:r>
        <w:rPr>
          <w:b/>
          <w:bCs/>
          <w:lang w:val="fr-FR"/>
        </w:rPr>
        <w:t>1</w:t>
      </w:r>
      <w:r w:rsidRPr="00DD3C77">
        <w:rPr>
          <w:b/>
          <w:bCs/>
          <w:lang w:val="fr-FR"/>
        </w:rPr>
        <w:t xml:space="preserve"> de l</w:t>
      </w:r>
      <w:r>
        <w:rPr>
          <w:b/>
          <w:bCs/>
          <w:lang w:val="fr-FR"/>
        </w:rPr>
        <w:t>’</w:t>
      </w:r>
      <w:r w:rsidRPr="00DD3C77">
        <w:rPr>
          <w:b/>
          <w:bCs/>
          <w:lang w:val="fr-FR"/>
        </w:rPr>
        <w:t>Accord (E/ECE/TRANS/505/Rev.</w:t>
      </w:r>
      <w:r>
        <w:rPr>
          <w:b/>
          <w:bCs/>
          <w:lang w:val="fr-FR"/>
        </w:rPr>
        <w:t>3 et Amend.1</w:t>
      </w:r>
      <w:r w:rsidRPr="00DD3C77">
        <w:rPr>
          <w:b/>
          <w:bCs/>
          <w:lang w:val="fr-FR"/>
        </w:rPr>
        <w:t>), les prescriptions étant les suivantes</w:t>
      </w:r>
      <w:r>
        <w:rPr>
          <w:b/>
          <w:bCs/>
          <w:lang w:val="fr-FR"/>
        </w:rPr>
        <w:t> :</w:t>
      </w:r>
      <w:r>
        <w:rPr>
          <w:lang w:val="fr-FR"/>
        </w:rPr>
        <w:t> ».</w:t>
      </w:r>
    </w:p>
    <w:p w14:paraId="0F261D65" w14:textId="1F6FE50D" w:rsidR="002B7A37" w:rsidRPr="009479FF" w:rsidRDefault="002B7A37" w:rsidP="005471E6">
      <w:pPr>
        <w:pStyle w:val="SingleTxtG"/>
        <w:rPr>
          <w:i/>
          <w:iCs/>
          <w:lang w:val="fr-FR"/>
        </w:rPr>
      </w:pPr>
      <w:r w:rsidRPr="009479FF">
        <w:rPr>
          <w:i/>
          <w:iCs/>
          <w:lang w:val="fr-FR" w:eastAsia="ja-JP"/>
        </w:rPr>
        <w:t>Paragraphes 8.1 et 8.2</w:t>
      </w:r>
      <w:r w:rsidRPr="009479FF">
        <w:rPr>
          <w:lang w:val="fr-FR" w:eastAsia="ja-JP"/>
        </w:rPr>
        <w:t>, lire</w:t>
      </w:r>
      <w:r w:rsidR="005471E6">
        <w:rPr>
          <w:lang w:val="fr-FR"/>
        </w:rPr>
        <w:t> </w:t>
      </w:r>
      <w:r>
        <w:rPr>
          <w:lang w:val="fr-FR"/>
        </w:rPr>
        <w:t>:</w:t>
      </w:r>
    </w:p>
    <w:p w14:paraId="44426FE0" w14:textId="4D60707F" w:rsidR="002B7A37" w:rsidRPr="009479FF" w:rsidRDefault="002B7A37" w:rsidP="005471E6">
      <w:pPr>
        <w:pStyle w:val="SingleTxtG"/>
        <w:ind w:left="2268" w:hanging="1134"/>
        <w:rPr>
          <w:b/>
          <w:lang w:val="fr-FR"/>
        </w:rPr>
      </w:pPr>
      <w:r>
        <w:rPr>
          <w:lang w:val="fr-FR"/>
        </w:rPr>
        <w:t>« </w:t>
      </w:r>
      <w:r w:rsidRPr="00DD3C77">
        <w:rPr>
          <w:b/>
          <w:bCs/>
          <w:lang w:val="fr-FR"/>
        </w:rPr>
        <w:t>8.1</w:t>
      </w:r>
      <w:r>
        <w:rPr>
          <w:lang w:val="fr-FR"/>
        </w:rPr>
        <w:tab/>
      </w:r>
      <w:r>
        <w:rPr>
          <w:b/>
          <w:bCs/>
          <w:lang w:val="fr-FR"/>
        </w:rPr>
        <w:t>L’homologation délivrée pour un type de véhicule conformément au présent Règlement peut être retirée si la prescription énoncée au paragraphe</w:t>
      </w:r>
      <w:r w:rsidR="005471E6">
        <w:rPr>
          <w:b/>
          <w:bCs/>
          <w:lang w:val="fr-FR"/>
        </w:rPr>
        <w:t> </w:t>
      </w:r>
      <w:r>
        <w:rPr>
          <w:b/>
          <w:bCs/>
          <w:lang w:val="fr-FR"/>
        </w:rPr>
        <w:t>7.1 ci-dessus n’est pas respectée.</w:t>
      </w:r>
    </w:p>
    <w:p w14:paraId="43CAC974" w14:textId="77777777" w:rsidR="002B7A37" w:rsidRPr="009479FF" w:rsidRDefault="002B7A37" w:rsidP="005471E6">
      <w:pPr>
        <w:pStyle w:val="SingleTxtG"/>
        <w:ind w:left="2268" w:hanging="1134"/>
        <w:rPr>
          <w:lang w:val="fr-FR"/>
        </w:rPr>
      </w:pPr>
      <w:r w:rsidRPr="00DD3C77">
        <w:rPr>
          <w:b/>
          <w:bCs/>
          <w:lang w:val="fr-FR"/>
        </w:rPr>
        <w:t>8.2</w:t>
      </w:r>
      <w:r w:rsidRPr="00DD3C77">
        <w:rPr>
          <w:b/>
          <w:bCs/>
          <w:lang w:val="fr-FR"/>
        </w:rPr>
        <w:tab/>
      </w:r>
      <w:r w:rsidRPr="00A8725C">
        <w:rPr>
          <w:b/>
          <w:bCs/>
          <w:lang w:val="fr-FR"/>
        </w:rPr>
        <w:t>Si une Partie contractante à l</w:t>
      </w:r>
      <w:r>
        <w:rPr>
          <w:b/>
          <w:bCs/>
          <w:lang w:val="fr-FR"/>
        </w:rPr>
        <w:t>’</w:t>
      </w:r>
      <w:r w:rsidRPr="00A8725C">
        <w:rPr>
          <w:b/>
          <w:bCs/>
          <w:lang w:val="fr-FR"/>
        </w:rPr>
        <w:t xml:space="preserve">Accord appliquant le présent Règlement </w:t>
      </w:r>
      <w:r>
        <w:rPr>
          <w:b/>
          <w:bCs/>
          <w:lang w:val="fr-FR"/>
        </w:rPr>
        <w:t xml:space="preserve">ONU </w:t>
      </w:r>
      <w:r w:rsidRPr="00A8725C">
        <w:rPr>
          <w:b/>
          <w:bCs/>
          <w:lang w:val="fr-FR"/>
        </w:rPr>
        <w:t>retire une homologation qu</w:t>
      </w:r>
      <w:r>
        <w:rPr>
          <w:b/>
          <w:bCs/>
          <w:lang w:val="fr-FR"/>
        </w:rPr>
        <w:t>’</w:t>
      </w:r>
      <w:r w:rsidRPr="00A8725C">
        <w:rPr>
          <w:b/>
          <w:bCs/>
          <w:lang w:val="fr-FR"/>
        </w:rPr>
        <w:t>elle a précédemment accordée, elle doit en informer aussitôt les autres Parties contractantes à l</w:t>
      </w:r>
      <w:r>
        <w:rPr>
          <w:b/>
          <w:bCs/>
          <w:lang w:val="fr-FR"/>
        </w:rPr>
        <w:t>’</w:t>
      </w:r>
      <w:r w:rsidRPr="00A8725C">
        <w:rPr>
          <w:b/>
          <w:bCs/>
          <w:lang w:val="fr-FR"/>
        </w:rPr>
        <w:t>Accord appliquant le</w:t>
      </w:r>
      <w:r>
        <w:rPr>
          <w:b/>
          <w:bCs/>
          <w:lang w:val="fr-FR"/>
        </w:rPr>
        <w:t>dit</w:t>
      </w:r>
      <w:r w:rsidRPr="00A8725C">
        <w:rPr>
          <w:b/>
          <w:bCs/>
          <w:lang w:val="fr-FR"/>
        </w:rPr>
        <w:t xml:space="preserve"> Règlement, au moyen d</w:t>
      </w:r>
      <w:r>
        <w:rPr>
          <w:b/>
          <w:bCs/>
          <w:lang w:val="fr-FR"/>
        </w:rPr>
        <w:t>’</w:t>
      </w:r>
      <w:r w:rsidRPr="00A8725C">
        <w:rPr>
          <w:b/>
          <w:bCs/>
          <w:lang w:val="fr-FR"/>
        </w:rPr>
        <w:t>une copie de la fiche d</w:t>
      </w:r>
      <w:r>
        <w:rPr>
          <w:b/>
          <w:bCs/>
          <w:lang w:val="fr-FR"/>
        </w:rPr>
        <w:t>’</w:t>
      </w:r>
      <w:r w:rsidRPr="00A8725C">
        <w:rPr>
          <w:b/>
          <w:bCs/>
          <w:lang w:val="fr-FR"/>
        </w:rPr>
        <w:t>homologation portant à la fin, en gros caractères, la mention “HOMOLOGATION RETIRÉE”</w:t>
      </w:r>
      <w:r>
        <w:rPr>
          <w:b/>
          <w:bCs/>
          <w:lang w:val="fr-FR"/>
        </w:rPr>
        <w:t xml:space="preserve">, </w:t>
      </w:r>
      <w:r w:rsidRPr="00A8725C">
        <w:rPr>
          <w:b/>
          <w:bCs/>
          <w:lang w:val="fr-FR"/>
        </w:rPr>
        <w:t>signée et datée</w:t>
      </w:r>
      <w:r w:rsidRPr="00DD3C77">
        <w:rPr>
          <w:b/>
          <w:bCs/>
          <w:lang w:val="fr-FR"/>
        </w:rPr>
        <w:t>.</w:t>
      </w:r>
      <w:r>
        <w:rPr>
          <w:lang w:val="fr-FR"/>
        </w:rPr>
        <w:t> ».</w:t>
      </w:r>
    </w:p>
    <w:p w14:paraId="559F4241" w14:textId="05B62F40" w:rsidR="002B7A37" w:rsidRPr="009479FF" w:rsidRDefault="002B7A37" w:rsidP="005471E6">
      <w:pPr>
        <w:pStyle w:val="SingleTxtG"/>
        <w:rPr>
          <w:i/>
          <w:iCs/>
          <w:lang w:val="fr-FR"/>
        </w:rPr>
      </w:pPr>
      <w:r w:rsidRPr="00A8725C">
        <w:rPr>
          <w:i/>
          <w:iCs/>
          <w:lang w:val="fr-FR"/>
        </w:rPr>
        <w:t>Paragraphe 9</w:t>
      </w:r>
      <w:r>
        <w:rPr>
          <w:lang w:val="fr-FR"/>
        </w:rPr>
        <w:t>, lire</w:t>
      </w:r>
      <w:r w:rsidR="005471E6">
        <w:rPr>
          <w:lang w:val="fr-FR"/>
        </w:rPr>
        <w:t> </w:t>
      </w:r>
      <w:r>
        <w:rPr>
          <w:lang w:val="fr-FR"/>
        </w:rPr>
        <w:t>:</w:t>
      </w:r>
    </w:p>
    <w:p w14:paraId="59BD8CA8" w14:textId="77777777" w:rsidR="002B7A37" w:rsidRPr="009479FF" w:rsidRDefault="002B7A37" w:rsidP="002B7A37">
      <w:pPr>
        <w:pStyle w:val="HChG"/>
        <w:ind w:left="2268"/>
        <w:rPr>
          <w:lang w:val="fr-FR"/>
        </w:rPr>
      </w:pPr>
      <w:bookmarkStart w:id="4" w:name="_Toc355617313"/>
      <w:r w:rsidRPr="00821329">
        <w:rPr>
          <w:b w:val="0"/>
          <w:sz w:val="20"/>
          <w:lang w:val="fr-FR"/>
        </w:rPr>
        <w:t>« </w:t>
      </w:r>
      <w:r>
        <w:rPr>
          <w:bCs/>
          <w:lang w:val="fr-FR"/>
        </w:rPr>
        <w:t>9.</w:t>
      </w:r>
      <w:r>
        <w:rPr>
          <w:lang w:val="fr-FR"/>
        </w:rPr>
        <w:tab/>
      </w:r>
      <w:r>
        <w:rPr>
          <w:lang w:val="fr-FR"/>
        </w:rPr>
        <w:tab/>
      </w:r>
      <w:r>
        <w:rPr>
          <w:bCs/>
          <w:lang w:val="fr-FR"/>
        </w:rPr>
        <w:t>Arrêt définitif de la production</w:t>
      </w:r>
      <w:bookmarkEnd w:id="4"/>
    </w:p>
    <w:p w14:paraId="57C9E917" w14:textId="0A9C1383" w:rsidR="002B7A37" w:rsidRPr="009479FF" w:rsidRDefault="002B7A37" w:rsidP="00821329">
      <w:pPr>
        <w:pStyle w:val="SingleTxtG"/>
        <w:ind w:left="2268"/>
        <w:rPr>
          <w:b/>
          <w:lang w:val="fr-FR"/>
        </w:rPr>
      </w:pPr>
      <w:r>
        <w:rPr>
          <w:lang w:val="fr-FR"/>
        </w:rPr>
        <w:tab/>
      </w:r>
      <w:r>
        <w:rPr>
          <w:b/>
          <w:bCs/>
          <w:lang w:val="fr-FR"/>
        </w:rPr>
        <w:t>Si le détenteur d’une homologation cesse totalement la fabrication d’un type de véhicule faisant l’objet du présent Règlement, il le notifie à l’autorité d’homologation de type qui a délivré l’homologation.</w:t>
      </w:r>
      <w:r>
        <w:rPr>
          <w:lang w:val="fr-FR"/>
        </w:rPr>
        <w:t xml:space="preserve"> </w:t>
      </w:r>
      <w:r>
        <w:rPr>
          <w:b/>
          <w:bCs/>
          <w:lang w:val="fr-FR"/>
        </w:rPr>
        <w:t xml:space="preserve">À réception de cette information, l’autorité concernée doit en informer les autres Parties contractantes à l’Accord appliquant ledit Règlement, au moyen d’une copie de la fiche d’homologation portant à la fin, en gros caractères, la mention </w:t>
      </w:r>
      <w:r w:rsidR="00821329" w:rsidRPr="00A8725C">
        <w:rPr>
          <w:b/>
          <w:bCs/>
          <w:lang w:val="fr-FR"/>
        </w:rPr>
        <w:t>“</w:t>
      </w:r>
      <w:r>
        <w:rPr>
          <w:b/>
          <w:bCs/>
          <w:lang w:val="fr-FR"/>
        </w:rPr>
        <w:t>PRODUCTION ARRÊTÉE</w:t>
      </w:r>
      <w:r w:rsidR="00821329" w:rsidRPr="00A8725C">
        <w:rPr>
          <w:b/>
          <w:bCs/>
          <w:lang w:val="fr-FR"/>
        </w:rPr>
        <w:t>”</w:t>
      </w:r>
      <w:r>
        <w:rPr>
          <w:b/>
          <w:bCs/>
          <w:lang w:val="fr-FR"/>
        </w:rPr>
        <w:t>, signée et datée.</w:t>
      </w:r>
      <w:r w:rsidR="00821329">
        <w:rPr>
          <w:lang w:val="fr-FR"/>
        </w:rPr>
        <w:t> ».</w:t>
      </w:r>
    </w:p>
    <w:p w14:paraId="77FFEBF2" w14:textId="753BF100" w:rsidR="002B7A37" w:rsidRPr="009479FF" w:rsidRDefault="002B7A37" w:rsidP="00821329">
      <w:pPr>
        <w:pStyle w:val="SingleTxtG"/>
        <w:rPr>
          <w:lang w:val="fr-FR"/>
        </w:rPr>
      </w:pPr>
      <w:r w:rsidRPr="00EC4BF1">
        <w:rPr>
          <w:i/>
          <w:iCs/>
          <w:lang w:val="fr-FR"/>
        </w:rPr>
        <w:t>Ajouter les nouveaux paragraphes 11.6 à 11.1</w:t>
      </w:r>
      <w:r>
        <w:rPr>
          <w:i/>
          <w:iCs/>
          <w:lang w:val="fr-FR"/>
        </w:rPr>
        <w:t>1</w:t>
      </w:r>
      <w:r>
        <w:rPr>
          <w:lang w:val="fr-FR"/>
        </w:rPr>
        <w:t>, libellés comme suit</w:t>
      </w:r>
      <w:r w:rsidR="00821329">
        <w:rPr>
          <w:lang w:val="fr-FR"/>
        </w:rPr>
        <w:t> </w:t>
      </w:r>
      <w:r>
        <w:rPr>
          <w:lang w:val="fr-FR"/>
        </w:rPr>
        <w:t>:</w:t>
      </w:r>
    </w:p>
    <w:p w14:paraId="300BA5E4" w14:textId="77777777" w:rsidR="002B7A37" w:rsidRPr="009479FF" w:rsidRDefault="002B7A37" w:rsidP="00821329">
      <w:pPr>
        <w:pStyle w:val="SingleTxtG"/>
        <w:ind w:left="2268" w:hanging="1134"/>
        <w:rPr>
          <w:b/>
          <w:bCs/>
          <w:lang w:val="fr-FR"/>
        </w:rPr>
      </w:pPr>
      <w:r>
        <w:rPr>
          <w:lang w:val="fr-FR"/>
        </w:rPr>
        <w:t>« </w:t>
      </w:r>
      <w:r w:rsidRPr="002919DE">
        <w:rPr>
          <w:b/>
          <w:bCs/>
          <w:lang w:val="fr-FR"/>
        </w:rPr>
        <w:t>11.6</w:t>
      </w:r>
      <w:r>
        <w:rPr>
          <w:lang w:val="fr-FR"/>
        </w:rPr>
        <w:tab/>
      </w:r>
      <w:r>
        <w:rPr>
          <w:b/>
          <w:bCs/>
          <w:lang w:val="fr-FR"/>
        </w:rPr>
        <w:t>À compter de la date officielle d’entrée en vigueur de la série 02 d’amendements, aucune Partie contractante appliquant le présent Règlement ne pourra refuser d’accorder ou d’accepter une homologation de type en vertu dudit Règlement tel que modifié par la série 02 d’amendements.</w:t>
      </w:r>
    </w:p>
    <w:p w14:paraId="49E7E2C9" w14:textId="77777777" w:rsidR="002B7A37" w:rsidRPr="009479FF" w:rsidRDefault="002B7A37" w:rsidP="00821329">
      <w:pPr>
        <w:pStyle w:val="SingleTxtG"/>
        <w:ind w:left="2268" w:hanging="1134"/>
        <w:rPr>
          <w:b/>
          <w:bCs/>
          <w:lang w:val="fr-FR"/>
        </w:rPr>
      </w:pPr>
      <w:r w:rsidRPr="00EC4BF1">
        <w:rPr>
          <w:b/>
          <w:bCs/>
          <w:lang w:val="fr-FR"/>
        </w:rPr>
        <w:t>11.7</w:t>
      </w:r>
      <w:r>
        <w:rPr>
          <w:lang w:val="fr-FR"/>
        </w:rPr>
        <w:tab/>
      </w:r>
      <w:r>
        <w:rPr>
          <w:b/>
          <w:bCs/>
          <w:lang w:val="fr-FR"/>
        </w:rPr>
        <w:t>À compter du [1</w:t>
      </w:r>
      <w:r w:rsidRPr="00E30A0A">
        <w:rPr>
          <w:b/>
          <w:bCs/>
          <w:vertAlign w:val="superscript"/>
          <w:lang w:val="fr-FR"/>
        </w:rPr>
        <w:t>er</w:t>
      </w:r>
      <w:r>
        <w:rPr>
          <w:b/>
          <w:bCs/>
          <w:lang w:val="fr-FR"/>
        </w:rPr>
        <w:t xml:space="preserve"> septembre 2023], les Parties contractantes appliquant le présent Règlement ne seront plus tenues d’accepter les homologations de type établies conformément aux précédentes séries d’amendements, délivrées pour la première fois après le [1</w:t>
      </w:r>
      <w:r w:rsidRPr="00E30A0A">
        <w:rPr>
          <w:b/>
          <w:bCs/>
          <w:vertAlign w:val="superscript"/>
          <w:lang w:val="fr-FR"/>
        </w:rPr>
        <w:t>er</w:t>
      </w:r>
      <w:r>
        <w:rPr>
          <w:b/>
          <w:bCs/>
          <w:lang w:val="fr-FR"/>
        </w:rPr>
        <w:t xml:space="preserve"> septembre 2023].</w:t>
      </w:r>
    </w:p>
    <w:p w14:paraId="5FF41362" w14:textId="6F2BE7F9" w:rsidR="002B7A37" w:rsidRPr="009479FF" w:rsidRDefault="002B7A37" w:rsidP="00821329">
      <w:pPr>
        <w:pStyle w:val="SingleTxtG"/>
        <w:ind w:left="2268" w:hanging="1134"/>
        <w:rPr>
          <w:b/>
          <w:bCs/>
          <w:lang w:val="fr-FR"/>
        </w:rPr>
      </w:pPr>
      <w:r w:rsidRPr="00EC4BF1">
        <w:rPr>
          <w:b/>
          <w:bCs/>
          <w:lang w:val="fr-FR"/>
        </w:rPr>
        <w:t>11.8</w:t>
      </w:r>
      <w:r>
        <w:rPr>
          <w:lang w:val="fr-FR"/>
        </w:rPr>
        <w:tab/>
      </w:r>
      <w:r>
        <w:rPr>
          <w:b/>
          <w:bCs/>
          <w:lang w:val="fr-FR"/>
        </w:rPr>
        <w:t>Les Parties contractantes appliquant le présent Règlement continueront de reconnaître les homologations de type établies au titre des séries précédentes d’amendements, délivrées pour la première fois avant le [1</w:t>
      </w:r>
      <w:r w:rsidRPr="00821329">
        <w:rPr>
          <w:b/>
          <w:bCs/>
          <w:vertAlign w:val="superscript"/>
          <w:lang w:val="fr-FR"/>
        </w:rPr>
        <w:t>er</w:t>
      </w:r>
      <w:r w:rsidR="00821329">
        <w:rPr>
          <w:b/>
          <w:bCs/>
          <w:lang w:val="fr-FR"/>
        </w:rPr>
        <w:t> </w:t>
      </w:r>
      <w:r>
        <w:rPr>
          <w:b/>
          <w:bCs/>
          <w:lang w:val="fr-FR"/>
        </w:rPr>
        <w:t>septembre 2023], sous réserve que les dispositions transitoires énoncées dans lesdites séries d’amendements prévoient cette possibilité.</w:t>
      </w:r>
    </w:p>
    <w:p w14:paraId="319872B1" w14:textId="77777777" w:rsidR="002B7A37" w:rsidRPr="009479FF" w:rsidRDefault="002B7A37" w:rsidP="00821329">
      <w:pPr>
        <w:pStyle w:val="SingleTxtG"/>
        <w:ind w:left="2268" w:hanging="1134"/>
        <w:rPr>
          <w:b/>
          <w:bCs/>
          <w:lang w:val="fr-FR"/>
        </w:rPr>
      </w:pPr>
      <w:r w:rsidRPr="00EC4BF1">
        <w:rPr>
          <w:b/>
          <w:bCs/>
          <w:lang w:val="fr-FR"/>
        </w:rPr>
        <w:t>11.9</w:t>
      </w:r>
      <w:r>
        <w:rPr>
          <w:lang w:val="fr-FR"/>
        </w:rPr>
        <w:tab/>
      </w:r>
      <w:r w:rsidRPr="00E30A0A">
        <w:rPr>
          <w:b/>
          <w:bCs/>
          <w:lang w:val="fr-FR"/>
        </w:rPr>
        <w:t>Les Parties contractantes appliqu</w:t>
      </w:r>
      <w:r>
        <w:rPr>
          <w:b/>
          <w:bCs/>
          <w:lang w:val="fr-FR"/>
        </w:rPr>
        <w:t>a</w:t>
      </w:r>
      <w:r w:rsidRPr="00E30A0A">
        <w:rPr>
          <w:b/>
          <w:bCs/>
          <w:lang w:val="fr-FR"/>
        </w:rPr>
        <w:t>nt le présent Règlement sont en droit de délivrer des homologations de type au titre de l</w:t>
      </w:r>
      <w:r>
        <w:rPr>
          <w:b/>
          <w:bCs/>
          <w:lang w:val="fr-FR"/>
        </w:rPr>
        <w:t>’</w:t>
      </w:r>
      <w:r w:rsidRPr="00E30A0A">
        <w:rPr>
          <w:b/>
          <w:bCs/>
          <w:lang w:val="fr-FR"/>
        </w:rPr>
        <w:t>une quelconque des précédentes séries d</w:t>
      </w:r>
      <w:r>
        <w:rPr>
          <w:b/>
          <w:bCs/>
          <w:lang w:val="fr-FR"/>
        </w:rPr>
        <w:t>’</w:t>
      </w:r>
      <w:r w:rsidRPr="00E30A0A">
        <w:rPr>
          <w:b/>
          <w:bCs/>
          <w:lang w:val="fr-FR"/>
        </w:rPr>
        <w:t>amendements audit Règlement</w:t>
      </w:r>
      <w:r>
        <w:rPr>
          <w:b/>
          <w:bCs/>
          <w:lang w:val="fr-FR"/>
        </w:rPr>
        <w:t>.</w:t>
      </w:r>
    </w:p>
    <w:p w14:paraId="4074ACD8" w14:textId="77777777" w:rsidR="002B7A37" w:rsidRPr="009479FF" w:rsidRDefault="002B7A37" w:rsidP="00821329">
      <w:pPr>
        <w:pStyle w:val="SingleTxtG"/>
        <w:ind w:left="2268" w:hanging="1134"/>
        <w:rPr>
          <w:b/>
          <w:bCs/>
          <w:lang w:val="fr-FR"/>
        </w:rPr>
      </w:pPr>
      <w:r w:rsidRPr="00EC4BF1">
        <w:rPr>
          <w:b/>
          <w:bCs/>
          <w:lang w:val="fr-FR"/>
        </w:rPr>
        <w:t>11.10</w:t>
      </w:r>
      <w:r>
        <w:rPr>
          <w:lang w:val="fr-FR"/>
        </w:rPr>
        <w:tab/>
      </w:r>
      <w:r w:rsidRPr="00E30A0A">
        <w:rPr>
          <w:b/>
          <w:bCs/>
          <w:lang w:val="fr-FR"/>
        </w:rPr>
        <w:t>Les Parties contractantes appliquant le présent Règlement doivent continuer d</w:t>
      </w:r>
      <w:r>
        <w:rPr>
          <w:b/>
          <w:bCs/>
          <w:lang w:val="fr-FR"/>
        </w:rPr>
        <w:t>’</w:t>
      </w:r>
      <w:r w:rsidRPr="00E30A0A">
        <w:rPr>
          <w:b/>
          <w:bCs/>
          <w:lang w:val="fr-FR"/>
        </w:rPr>
        <w:t>accorder des extensions d</w:t>
      </w:r>
      <w:r>
        <w:rPr>
          <w:b/>
          <w:bCs/>
          <w:lang w:val="fr-FR"/>
        </w:rPr>
        <w:t>’</w:t>
      </w:r>
      <w:r w:rsidRPr="00E30A0A">
        <w:rPr>
          <w:b/>
          <w:bCs/>
          <w:lang w:val="fr-FR"/>
        </w:rPr>
        <w:t xml:space="preserve">homologations existantes </w:t>
      </w:r>
      <w:r>
        <w:rPr>
          <w:b/>
          <w:bCs/>
          <w:lang w:val="fr-FR"/>
        </w:rPr>
        <w:t>au titre</w:t>
      </w:r>
      <w:r w:rsidRPr="00E30A0A">
        <w:rPr>
          <w:b/>
          <w:bCs/>
          <w:lang w:val="fr-FR"/>
        </w:rPr>
        <w:t xml:space="preserve"> de l</w:t>
      </w:r>
      <w:r>
        <w:rPr>
          <w:b/>
          <w:bCs/>
          <w:lang w:val="fr-FR"/>
        </w:rPr>
        <w:t>’</w:t>
      </w:r>
      <w:r w:rsidRPr="00E30A0A">
        <w:rPr>
          <w:b/>
          <w:bCs/>
          <w:lang w:val="fr-FR"/>
        </w:rPr>
        <w:t>une quelconque des précédentes séries d</w:t>
      </w:r>
      <w:r>
        <w:rPr>
          <w:b/>
          <w:bCs/>
          <w:lang w:val="fr-FR"/>
        </w:rPr>
        <w:t>’</w:t>
      </w:r>
      <w:r w:rsidRPr="00E30A0A">
        <w:rPr>
          <w:b/>
          <w:bCs/>
          <w:lang w:val="fr-FR"/>
        </w:rPr>
        <w:t>amendements audit Règlement</w:t>
      </w:r>
      <w:r>
        <w:rPr>
          <w:b/>
          <w:bCs/>
          <w:lang w:val="fr-FR"/>
        </w:rPr>
        <w:t>.</w:t>
      </w:r>
    </w:p>
    <w:p w14:paraId="5717AB51" w14:textId="77777777" w:rsidR="002B7A37" w:rsidRPr="009479FF" w:rsidRDefault="002B7A37" w:rsidP="00821329">
      <w:pPr>
        <w:pStyle w:val="SingleTxtG"/>
        <w:ind w:left="2268" w:hanging="1134"/>
        <w:rPr>
          <w:b/>
          <w:bCs/>
          <w:lang w:val="fr-FR"/>
        </w:rPr>
      </w:pPr>
      <w:r w:rsidRPr="00E30A0A">
        <w:rPr>
          <w:b/>
          <w:bCs/>
          <w:lang w:val="fr-FR"/>
        </w:rPr>
        <w:t>11.11</w:t>
      </w:r>
      <w:r w:rsidRPr="00E30A0A">
        <w:rPr>
          <w:b/>
          <w:bCs/>
          <w:lang w:val="fr-FR"/>
        </w:rPr>
        <w:tab/>
        <w:t>Nonobstant les dispositions transitoires ci-dessus, les Parties contractantes qui commencent à appliquer le présent Règlement après la date d</w:t>
      </w:r>
      <w:r>
        <w:rPr>
          <w:b/>
          <w:bCs/>
          <w:lang w:val="fr-FR"/>
        </w:rPr>
        <w:t>’</w:t>
      </w:r>
      <w:r w:rsidRPr="00E30A0A">
        <w:rPr>
          <w:b/>
          <w:bCs/>
          <w:lang w:val="fr-FR"/>
        </w:rPr>
        <w:t>entrée en vigueur de la série d</w:t>
      </w:r>
      <w:r>
        <w:rPr>
          <w:b/>
          <w:bCs/>
          <w:lang w:val="fr-FR"/>
        </w:rPr>
        <w:t>’</w:t>
      </w:r>
      <w:r w:rsidRPr="00E30A0A">
        <w:rPr>
          <w:b/>
          <w:bCs/>
          <w:lang w:val="fr-FR"/>
        </w:rPr>
        <w:t>amendements la plus récente ne sont pas tenues d</w:t>
      </w:r>
      <w:r>
        <w:rPr>
          <w:b/>
          <w:bCs/>
          <w:lang w:val="fr-FR"/>
        </w:rPr>
        <w:t>’</w:t>
      </w:r>
      <w:r w:rsidRPr="00E30A0A">
        <w:rPr>
          <w:b/>
          <w:bCs/>
          <w:lang w:val="fr-FR"/>
        </w:rPr>
        <w:t>accepter les homologations de type délivrées conformément à l</w:t>
      </w:r>
      <w:r>
        <w:rPr>
          <w:b/>
          <w:bCs/>
          <w:lang w:val="fr-FR"/>
        </w:rPr>
        <w:t>’</w:t>
      </w:r>
      <w:r w:rsidRPr="00E30A0A">
        <w:rPr>
          <w:b/>
          <w:bCs/>
          <w:lang w:val="fr-FR"/>
        </w:rPr>
        <w:t>une quelconque des précédentes séries d</w:t>
      </w:r>
      <w:r>
        <w:rPr>
          <w:b/>
          <w:bCs/>
          <w:lang w:val="fr-FR"/>
        </w:rPr>
        <w:t>’</w:t>
      </w:r>
      <w:r w:rsidRPr="00E30A0A">
        <w:rPr>
          <w:b/>
          <w:bCs/>
          <w:lang w:val="fr-FR"/>
        </w:rPr>
        <w:t>amendements audit Règlement. </w:t>
      </w:r>
      <w:r w:rsidRPr="00821329">
        <w:rPr>
          <w:lang w:val="fr-FR"/>
        </w:rPr>
        <w:t>».</w:t>
      </w:r>
    </w:p>
    <w:p w14:paraId="42141BE4" w14:textId="70C06B33" w:rsidR="002B7A37" w:rsidRPr="009479FF" w:rsidRDefault="002B7A37" w:rsidP="00821329">
      <w:pPr>
        <w:pStyle w:val="SingleTxtG"/>
        <w:rPr>
          <w:lang w:val="fr-FR"/>
        </w:rPr>
      </w:pPr>
      <w:r w:rsidRPr="00D92EF7">
        <w:rPr>
          <w:i/>
          <w:iCs/>
          <w:lang w:val="fr-FR"/>
        </w:rPr>
        <w:t>Annexe 1, point 5</w:t>
      </w:r>
      <w:r>
        <w:rPr>
          <w:lang w:val="fr-FR"/>
        </w:rPr>
        <w:t>, lire</w:t>
      </w:r>
      <w:r w:rsidR="00821329">
        <w:rPr>
          <w:lang w:val="fr-FR"/>
        </w:rPr>
        <w:t> </w:t>
      </w:r>
      <w:r>
        <w:rPr>
          <w:lang w:val="fr-FR"/>
        </w:rPr>
        <w:t>:</w:t>
      </w:r>
    </w:p>
    <w:p w14:paraId="187ECF06" w14:textId="77777777" w:rsidR="002B7A37" w:rsidRPr="009479FF" w:rsidRDefault="002B7A37" w:rsidP="002B7A37">
      <w:pPr>
        <w:tabs>
          <w:tab w:val="left" w:pos="-720"/>
          <w:tab w:val="left" w:pos="0"/>
          <w:tab w:val="right" w:leader="dot" w:pos="8505"/>
        </w:tabs>
        <w:spacing w:after="120" w:line="240" w:lineRule="auto"/>
        <w:ind w:left="1701" w:right="992" w:hanging="567"/>
        <w:rPr>
          <w:b/>
          <w:bCs/>
          <w:lang w:val="fr-FR"/>
        </w:rPr>
      </w:pPr>
      <w:r>
        <w:rPr>
          <w:lang w:val="fr-FR"/>
        </w:rPr>
        <w:t>« </w:t>
      </w:r>
      <w:r w:rsidRPr="00D92EF7">
        <w:rPr>
          <w:b/>
          <w:bCs/>
          <w:lang w:val="fr-FR"/>
        </w:rPr>
        <w:t>5.</w:t>
      </w:r>
      <w:r>
        <w:rPr>
          <w:lang w:val="fr-FR"/>
        </w:rPr>
        <w:tab/>
      </w:r>
      <w:r>
        <w:rPr>
          <w:b/>
          <w:bCs/>
          <w:lang w:val="fr-FR"/>
        </w:rPr>
        <w:t>Description succincte du type de véhicule en ce qui concerne sa structure, ses dimensions, sa forme et les matériaux dont il est constitué :</w:t>
      </w:r>
      <w:r>
        <w:rPr>
          <w:lang w:val="fr-FR"/>
        </w:rPr>
        <w:t xml:space="preserve"> </w:t>
      </w:r>
      <w:r w:rsidRPr="00D92EF7">
        <w:rPr>
          <w:b/>
          <w:bCs/>
          <w:lang w:val="fr-FR"/>
        </w:rPr>
        <w:tab/>
      </w:r>
    </w:p>
    <w:p w14:paraId="53D8E0CF" w14:textId="06D21F2D" w:rsidR="002B7A37" w:rsidRPr="009479FF" w:rsidRDefault="002B7A37" w:rsidP="002B7A37">
      <w:pPr>
        <w:tabs>
          <w:tab w:val="left" w:pos="-720"/>
          <w:tab w:val="left" w:pos="0"/>
          <w:tab w:val="right" w:leader="dot" w:pos="8505"/>
        </w:tabs>
        <w:spacing w:after="120" w:line="240" w:lineRule="auto"/>
        <w:ind w:left="1701" w:right="992" w:hanging="567"/>
        <w:rPr>
          <w:bCs/>
          <w:lang w:val="fr-FR"/>
        </w:rPr>
      </w:pPr>
      <w:r w:rsidRPr="009479FF">
        <w:rPr>
          <w:b/>
          <w:bCs/>
          <w:lang w:val="fr-FR"/>
        </w:rPr>
        <w:tab/>
      </w:r>
      <w:r w:rsidRPr="009479FF">
        <w:rPr>
          <w:b/>
          <w:bCs/>
          <w:lang w:val="fr-FR"/>
        </w:rPr>
        <w:tab/>
      </w:r>
      <w:r w:rsidR="00821329" w:rsidRPr="00E30A0A">
        <w:rPr>
          <w:b/>
          <w:bCs/>
          <w:lang w:val="fr-FR"/>
        </w:rPr>
        <w:t> </w:t>
      </w:r>
      <w:r w:rsidR="00821329" w:rsidRPr="00821329">
        <w:rPr>
          <w:lang w:val="fr-FR"/>
        </w:rPr>
        <w:t>»</w:t>
      </w:r>
      <w:r w:rsidRPr="009479FF">
        <w:rPr>
          <w:bCs/>
          <w:lang w:val="fr-FR"/>
        </w:rPr>
        <w:t>.</w:t>
      </w:r>
    </w:p>
    <w:p w14:paraId="423557EA" w14:textId="018A0D30" w:rsidR="002B7A37" w:rsidRPr="009479FF" w:rsidRDefault="002B7A37" w:rsidP="00821329">
      <w:pPr>
        <w:pStyle w:val="SingleTxtG"/>
        <w:rPr>
          <w:lang w:val="fr-FR"/>
        </w:rPr>
      </w:pPr>
      <w:r w:rsidRPr="00EC4BF1">
        <w:rPr>
          <w:i/>
          <w:iCs/>
          <w:lang w:val="fr-FR"/>
        </w:rPr>
        <w:t xml:space="preserve">Ajouter les nouveaux </w:t>
      </w:r>
      <w:r>
        <w:rPr>
          <w:i/>
          <w:iCs/>
          <w:lang w:val="fr-FR"/>
        </w:rPr>
        <w:t>points</w:t>
      </w:r>
      <w:r>
        <w:rPr>
          <w:lang w:val="fr-FR"/>
        </w:rPr>
        <w:t xml:space="preserve"> </w:t>
      </w:r>
      <w:r w:rsidRPr="009479FF">
        <w:rPr>
          <w:i/>
          <w:lang w:val="fr-FR"/>
        </w:rPr>
        <w:t>5.1 à 8</w:t>
      </w:r>
      <w:r>
        <w:rPr>
          <w:lang w:val="fr-FR"/>
        </w:rPr>
        <w:t>, libellés comme suit</w:t>
      </w:r>
      <w:r w:rsidR="00821329">
        <w:rPr>
          <w:lang w:val="fr-FR"/>
        </w:rPr>
        <w:t> </w:t>
      </w:r>
      <w:r>
        <w:rPr>
          <w:lang w:val="fr-FR"/>
        </w:rPr>
        <w:t xml:space="preserve">: </w:t>
      </w:r>
    </w:p>
    <w:p w14:paraId="137A895F" w14:textId="68D270DB" w:rsidR="002B7A37" w:rsidRPr="009479FF" w:rsidRDefault="002B7A37" w:rsidP="002B7A37">
      <w:pPr>
        <w:tabs>
          <w:tab w:val="left" w:pos="-720"/>
          <w:tab w:val="left" w:pos="0"/>
          <w:tab w:val="right" w:leader="dot" w:pos="8505"/>
        </w:tabs>
        <w:spacing w:after="120" w:line="240" w:lineRule="auto"/>
        <w:ind w:left="1701" w:right="992" w:hanging="567"/>
        <w:rPr>
          <w:b/>
          <w:lang w:val="fr-FR"/>
        </w:rPr>
      </w:pPr>
      <w:r>
        <w:rPr>
          <w:lang w:val="fr-FR"/>
        </w:rPr>
        <w:t>« </w:t>
      </w:r>
      <w:r>
        <w:rPr>
          <w:b/>
          <w:bCs/>
          <w:lang w:val="fr-FR"/>
        </w:rPr>
        <w:t>5.1</w:t>
      </w:r>
      <w:r>
        <w:rPr>
          <w:lang w:val="fr-FR"/>
        </w:rPr>
        <w:tab/>
      </w:r>
      <w:r>
        <w:rPr>
          <w:b/>
          <w:bCs/>
          <w:lang w:val="fr-FR"/>
        </w:rPr>
        <w:t>Description du système de protection installé dans le véhicule</w:t>
      </w:r>
      <w:r w:rsidR="00821329">
        <w:rPr>
          <w:b/>
          <w:bCs/>
          <w:lang w:val="fr-FR"/>
        </w:rPr>
        <w:t> </w:t>
      </w:r>
      <w:r>
        <w:rPr>
          <w:b/>
          <w:bCs/>
          <w:lang w:val="fr-FR"/>
        </w:rPr>
        <w:t>:</w:t>
      </w:r>
      <w:r w:rsidR="00821329">
        <w:rPr>
          <w:b/>
          <w:bCs/>
          <w:lang w:val="fr-FR"/>
        </w:rPr>
        <w:t xml:space="preserve"> </w:t>
      </w:r>
      <w:r w:rsidRPr="00821329">
        <w:rPr>
          <w:b/>
          <w:bCs/>
          <w:lang w:val="fr-FR"/>
        </w:rPr>
        <w:tab/>
      </w:r>
    </w:p>
    <w:p w14:paraId="5EF4C16D" w14:textId="77777777" w:rsidR="002B7A37" w:rsidRPr="009479FF" w:rsidRDefault="002B7A37" w:rsidP="002B7A37">
      <w:pPr>
        <w:tabs>
          <w:tab w:val="left" w:pos="-720"/>
          <w:tab w:val="left" w:pos="0"/>
          <w:tab w:val="right" w:leader="dot" w:pos="8505"/>
        </w:tabs>
        <w:spacing w:after="120" w:line="240" w:lineRule="auto"/>
        <w:ind w:left="1701" w:right="992" w:hanging="567"/>
        <w:rPr>
          <w:b/>
          <w:lang w:val="fr-FR"/>
        </w:rPr>
      </w:pPr>
      <w:r w:rsidRPr="009479FF">
        <w:rPr>
          <w:b/>
          <w:lang w:val="fr-FR"/>
        </w:rPr>
        <w:tab/>
      </w:r>
      <w:r w:rsidRPr="009479FF">
        <w:rPr>
          <w:b/>
          <w:lang w:val="fr-FR"/>
        </w:rPr>
        <w:tab/>
      </w:r>
    </w:p>
    <w:p w14:paraId="6EAD4A1D" w14:textId="1FC0D058" w:rsidR="002B7A37" w:rsidRPr="009479FF" w:rsidRDefault="002B7A37" w:rsidP="002B7A37">
      <w:pPr>
        <w:keepNext/>
        <w:keepLines/>
        <w:tabs>
          <w:tab w:val="left" w:pos="-720"/>
          <w:tab w:val="left" w:pos="0"/>
          <w:tab w:val="right" w:leader="dot" w:pos="8505"/>
        </w:tabs>
        <w:spacing w:after="120" w:line="240" w:lineRule="auto"/>
        <w:ind w:left="1701" w:right="992" w:hanging="567"/>
        <w:rPr>
          <w:b/>
          <w:bCs/>
          <w:lang w:val="fr-FR"/>
        </w:rPr>
      </w:pPr>
      <w:r w:rsidRPr="00D92EF7">
        <w:rPr>
          <w:b/>
          <w:bCs/>
          <w:lang w:val="fr-FR"/>
        </w:rPr>
        <w:t>5.2</w:t>
      </w:r>
      <w:r>
        <w:rPr>
          <w:lang w:val="fr-FR"/>
        </w:rPr>
        <w:tab/>
      </w:r>
      <w:r>
        <w:rPr>
          <w:b/>
          <w:bCs/>
          <w:lang w:val="fr-FR"/>
        </w:rPr>
        <w:t>Description des aménagements ou garnitures intérieurs susceptibles d’influer sur les essais</w:t>
      </w:r>
      <w:r w:rsidR="00821329">
        <w:rPr>
          <w:b/>
          <w:bCs/>
          <w:lang w:val="fr-FR"/>
        </w:rPr>
        <w:t> </w:t>
      </w:r>
      <w:r>
        <w:rPr>
          <w:b/>
          <w:bCs/>
          <w:lang w:val="fr-FR"/>
        </w:rPr>
        <w:t>:</w:t>
      </w:r>
      <w:r>
        <w:rPr>
          <w:lang w:val="fr-FR"/>
        </w:rPr>
        <w:t xml:space="preserve"> </w:t>
      </w:r>
      <w:r w:rsidRPr="00D92EF7">
        <w:rPr>
          <w:b/>
          <w:bCs/>
          <w:lang w:val="fr-FR"/>
        </w:rPr>
        <w:tab/>
      </w:r>
    </w:p>
    <w:p w14:paraId="09011A5F" w14:textId="77777777" w:rsidR="002B7A37" w:rsidRPr="009479FF" w:rsidRDefault="002B7A37" w:rsidP="002B7A37">
      <w:pPr>
        <w:keepNext/>
        <w:keepLines/>
        <w:tabs>
          <w:tab w:val="left" w:pos="-720"/>
          <w:tab w:val="left" w:pos="0"/>
          <w:tab w:val="right" w:leader="dot" w:pos="8505"/>
        </w:tabs>
        <w:spacing w:after="120" w:line="240" w:lineRule="auto"/>
        <w:ind w:left="1701" w:right="992" w:hanging="567"/>
        <w:rPr>
          <w:b/>
          <w:lang w:val="fr-FR"/>
        </w:rPr>
      </w:pPr>
      <w:r w:rsidRPr="009479FF">
        <w:rPr>
          <w:b/>
          <w:bCs/>
          <w:lang w:val="fr-FR"/>
        </w:rPr>
        <w:tab/>
      </w:r>
      <w:r w:rsidRPr="009479FF">
        <w:rPr>
          <w:b/>
          <w:bCs/>
          <w:lang w:val="fr-FR"/>
        </w:rPr>
        <w:tab/>
      </w:r>
    </w:p>
    <w:p w14:paraId="0A5D6E48" w14:textId="6B4E3F32" w:rsidR="002B7A37" w:rsidRPr="009479FF" w:rsidRDefault="002B7A37" w:rsidP="00821329">
      <w:pPr>
        <w:keepNext/>
        <w:keepLines/>
        <w:tabs>
          <w:tab w:val="left" w:pos="-720"/>
          <w:tab w:val="left" w:pos="0"/>
          <w:tab w:val="right" w:leader="dot" w:pos="8505"/>
        </w:tabs>
        <w:spacing w:after="120" w:line="240" w:lineRule="auto"/>
        <w:ind w:left="1701" w:right="992" w:hanging="567"/>
        <w:rPr>
          <w:b/>
          <w:lang w:val="fr-FR"/>
        </w:rPr>
      </w:pPr>
      <w:r w:rsidRPr="00D92EF7">
        <w:rPr>
          <w:b/>
          <w:bCs/>
          <w:lang w:val="fr-FR"/>
        </w:rPr>
        <w:t>5.3</w:t>
      </w:r>
      <w:r w:rsidRPr="00D92EF7">
        <w:rPr>
          <w:lang w:val="fr-FR"/>
        </w:rPr>
        <w:tab/>
      </w:r>
      <w:r w:rsidRPr="00D92EF7">
        <w:rPr>
          <w:b/>
          <w:bCs/>
          <w:lang w:val="fr-FR"/>
        </w:rPr>
        <w:t>Emplacement de la source d</w:t>
      </w:r>
      <w:r>
        <w:rPr>
          <w:b/>
          <w:bCs/>
          <w:lang w:val="fr-FR"/>
        </w:rPr>
        <w:t>’</w:t>
      </w:r>
      <w:r w:rsidRPr="00D92EF7">
        <w:rPr>
          <w:b/>
          <w:bCs/>
          <w:lang w:val="fr-FR"/>
        </w:rPr>
        <w:t>énergie électrique</w:t>
      </w:r>
      <w:r w:rsidR="00821329">
        <w:rPr>
          <w:b/>
          <w:bCs/>
          <w:lang w:val="fr-FR"/>
        </w:rPr>
        <w:t> </w:t>
      </w:r>
      <w:r w:rsidRPr="00D92EF7">
        <w:rPr>
          <w:b/>
          <w:bCs/>
          <w:lang w:val="fr-FR"/>
        </w:rPr>
        <w:t>:</w:t>
      </w:r>
      <w:r w:rsidR="00821329" w:rsidRPr="00821329">
        <w:rPr>
          <w:b/>
          <w:bCs/>
          <w:lang w:val="fr-FR"/>
        </w:rPr>
        <w:tab/>
      </w:r>
    </w:p>
    <w:p w14:paraId="3D5C635F" w14:textId="5ADCABEB" w:rsidR="002B7A37" w:rsidRPr="009479FF" w:rsidRDefault="002B7A37" w:rsidP="002B7A37">
      <w:pPr>
        <w:tabs>
          <w:tab w:val="left" w:pos="-720"/>
          <w:tab w:val="left" w:pos="0"/>
          <w:tab w:val="right" w:leader="dot" w:pos="8505"/>
        </w:tabs>
        <w:spacing w:after="120" w:line="240" w:lineRule="auto"/>
        <w:ind w:left="1701" w:right="992" w:hanging="567"/>
        <w:rPr>
          <w:b/>
          <w:bCs/>
          <w:lang w:val="fr-FR"/>
        </w:rPr>
      </w:pPr>
      <w:r w:rsidRPr="00D92EF7">
        <w:rPr>
          <w:b/>
          <w:bCs/>
          <w:lang w:val="fr-FR"/>
        </w:rPr>
        <w:t>6.</w:t>
      </w:r>
      <w:r w:rsidRPr="00D92EF7">
        <w:rPr>
          <w:b/>
          <w:bCs/>
          <w:lang w:val="fr-FR"/>
        </w:rPr>
        <w:tab/>
        <w:t>Emplacement du moteur</w:t>
      </w:r>
      <w:r w:rsidR="00821329">
        <w:rPr>
          <w:b/>
          <w:bCs/>
          <w:lang w:val="fr-FR"/>
        </w:rPr>
        <w:t> </w:t>
      </w:r>
      <w:r w:rsidRPr="00D92EF7">
        <w:rPr>
          <w:b/>
          <w:bCs/>
          <w:lang w:val="fr-FR"/>
        </w:rPr>
        <w:t>: à l</w:t>
      </w:r>
      <w:r>
        <w:rPr>
          <w:b/>
          <w:bCs/>
          <w:lang w:val="fr-FR"/>
        </w:rPr>
        <w:t>’</w:t>
      </w:r>
      <w:r w:rsidRPr="00D92EF7">
        <w:rPr>
          <w:b/>
          <w:bCs/>
          <w:lang w:val="fr-FR"/>
        </w:rPr>
        <w:t>avant/à l</w:t>
      </w:r>
      <w:r>
        <w:rPr>
          <w:b/>
          <w:bCs/>
          <w:lang w:val="fr-FR"/>
        </w:rPr>
        <w:t>’</w:t>
      </w:r>
      <w:r w:rsidRPr="00D92EF7">
        <w:rPr>
          <w:b/>
          <w:bCs/>
          <w:lang w:val="fr-FR"/>
        </w:rPr>
        <w:t>arrière/au centre</w:t>
      </w:r>
      <w:r w:rsidRPr="00C11F5E">
        <w:rPr>
          <w:b/>
          <w:bCs/>
          <w:vertAlign w:val="superscript"/>
          <w:lang w:val="fr-FR"/>
        </w:rPr>
        <w:t>2</w:t>
      </w:r>
    </w:p>
    <w:p w14:paraId="1C5D1B97" w14:textId="76D13F6C" w:rsidR="002B7A37" w:rsidRPr="009479FF" w:rsidRDefault="002B7A37" w:rsidP="002B7A37">
      <w:pPr>
        <w:tabs>
          <w:tab w:val="left" w:pos="-720"/>
          <w:tab w:val="left" w:pos="0"/>
          <w:tab w:val="right" w:leader="dot" w:pos="8505"/>
        </w:tabs>
        <w:spacing w:after="120" w:line="240" w:lineRule="auto"/>
        <w:ind w:left="1701" w:right="992" w:hanging="567"/>
        <w:rPr>
          <w:b/>
          <w:bCs/>
          <w:lang w:val="fr-FR"/>
        </w:rPr>
      </w:pPr>
      <w:r w:rsidRPr="00D92EF7">
        <w:rPr>
          <w:b/>
          <w:bCs/>
          <w:lang w:val="fr-FR"/>
        </w:rPr>
        <w:t>7.</w:t>
      </w:r>
      <w:r w:rsidRPr="00D92EF7">
        <w:rPr>
          <w:b/>
          <w:bCs/>
          <w:lang w:val="fr-FR"/>
        </w:rPr>
        <w:tab/>
        <w:t>Roues motrices</w:t>
      </w:r>
      <w:r w:rsidR="00821329">
        <w:rPr>
          <w:b/>
          <w:bCs/>
          <w:lang w:val="fr-FR"/>
        </w:rPr>
        <w:t> </w:t>
      </w:r>
      <w:r w:rsidRPr="00D92EF7">
        <w:rPr>
          <w:b/>
          <w:bCs/>
          <w:lang w:val="fr-FR"/>
        </w:rPr>
        <w:t>: avant/arrière</w:t>
      </w:r>
      <w:r w:rsidRPr="00C11F5E">
        <w:rPr>
          <w:b/>
          <w:bCs/>
          <w:vertAlign w:val="superscript"/>
          <w:lang w:val="fr-FR"/>
        </w:rPr>
        <w:t>2</w:t>
      </w:r>
    </w:p>
    <w:p w14:paraId="3AF82ECC" w14:textId="0DA50549" w:rsidR="002B7A37" w:rsidRPr="009479FF" w:rsidRDefault="002B7A37" w:rsidP="002B7A37">
      <w:pPr>
        <w:tabs>
          <w:tab w:val="left" w:pos="-720"/>
          <w:tab w:val="left" w:pos="0"/>
          <w:tab w:val="right" w:leader="dot" w:pos="8505"/>
        </w:tabs>
        <w:spacing w:after="120" w:line="240" w:lineRule="auto"/>
        <w:ind w:left="1701" w:right="992" w:hanging="567"/>
        <w:rPr>
          <w:b/>
          <w:lang w:val="fr-FR"/>
        </w:rPr>
      </w:pPr>
      <w:r w:rsidRPr="00D92EF7">
        <w:rPr>
          <w:b/>
          <w:bCs/>
          <w:lang w:val="fr-FR"/>
        </w:rPr>
        <w:t>8.</w:t>
      </w:r>
      <w:r>
        <w:rPr>
          <w:lang w:val="fr-FR"/>
        </w:rPr>
        <w:tab/>
      </w:r>
      <w:r>
        <w:rPr>
          <w:b/>
          <w:bCs/>
          <w:lang w:val="fr-FR"/>
        </w:rPr>
        <w:t>Masse du véhicule soumis aux essais</w:t>
      </w:r>
      <w:r w:rsidR="00821329">
        <w:rPr>
          <w:b/>
          <w:bCs/>
          <w:lang w:val="fr-FR"/>
        </w:rPr>
        <w:t> </w:t>
      </w:r>
      <w:r>
        <w:rPr>
          <w:b/>
          <w:bCs/>
          <w:lang w:val="fr-FR"/>
        </w:rPr>
        <w:t>:</w:t>
      </w:r>
    </w:p>
    <w:p w14:paraId="5E2811C3" w14:textId="0EC88675" w:rsidR="002B7A37" w:rsidRPr="009479FF" w:rsidRDefault="002B7A37" w:rsidP="002B7A37">
      <w:pPr>
        <w:tabs>
          <w:tab w:val="left" w:pos="-720"/>
          <w:tab w:val="left" w:pos="0"/>
          <w:tab w:val="right" w:leader="dot" w:pos="8505"/>
        </w:tabs>
        <w:spacing w:after="120" w:line="240" w:lineRule="auto"/>
        <w:ind w:left="1701" w:right="992"/>
        <w:rPr>
          <w:b/>
          <w:bCs/>
          <w:lang w:val="fr-FR"/>
        </w:rPr>
      </w:pPr>
      <w:r>
        <w:rPr>
          <w:b/>
          <w:bCs/>
          <w:lang w:val="fr-FR"/>
        </w:rPr>
        <w:t>Essieu avant</w:t>
      </w:r>
      <w:r w:rsidR="00821329">
        <w:rPr>
          <w:b/>
          <w:bCs/>
          <w:lang w:val="fr-FR"/>
        </w:rPr>
        <w:t> </w:t>
      </w:r>
      <w:r>
        <w:rPr>
          <w:b/>
          <w:bCs/>
          <w:lang w:val="fr-FR"/>
        </w:rPr>
        <w:t>:</w:t>
      </w:r>
      <w:r>
        <w:rPr>
          <w:lang w:val="fr-FR"/>
        </w:rPr>
        <w:t xml:space="preserve"> </w:t>
      </w:r>
      <w:r w:rsidRPr="00C11F5E">
        <w:rPr>
          <w:b/>
          <w:bCs/>
          <w:lang w:val="fr-FR"/>
        </w:rPr>
        <w:tab/>
      </w:r>
    </w:p>
    <w:p w14:paraId="423E54E2" w14:textId="3DDAEE2D" w:rsidR="002B7A37" w:rsidRPr="009479FF" w:rsidRDefault="002B7A37" w:rsidP="002B7A37">
      <w:pPr>
        <w:tabs>
          <w:tab w:val="left" w:pos="-720"/>
          <w:tab w:val="left" w:pos="0"/>
          <w:tab w:val="right" w:leader="dot" w:pos="8505"/>
        </w:tabs>
        <w:spacing w:after="120" w:line="240" w:lineRule="auto"/>
        <w:ind w:left="1701" w:right="992"/>
        <w:rPr>
          <w:b/>
          <w:bCs/>
          <w:lang w:val="fr-FR"/>
        </w:rPr>
      </w:pPr>
      <w:r w:rsidRPr="00C11F5E">
        <w:rPr>
          <w:b/>
          <w:bCs/>
          <w:lang w:val="fr-FR"/>
        </w:rPr>
        <w:t>Essieu arrière</w:t>
      </w:r>
      <w:r w:rsidR="00821329">
        <w:rPr>
          <w:b/>
          <w:bCs/>
          <w:lang w:val="fr-FR"/>
        </w:rPr>
        <w:t> </w:t>
      </w:r>
      <w:r w:rsidRPr="00C11F5E">
        <w:rPr>
          <w:b/>
          <w:bCs/>
          <w:lang w:val="fr-FR"/>
        </w:rPr>
        <w:t xml:space="preserve">: </w:t>
      </w:r>
      <w:r w:rsidRPr="00C11F5E">
        <w:rPr>
          <w:b/>
          <w:bCs/>
          <w:lang w:val="fr-FR"/>
        </w:rPr>
        <w:tab/>
      </w:r>
    </w:p>
    <w:p w14:paraId="6C4B4348" w14:textId="170D6782" w:rsidR="002B7A37" w:rsidRPr="009479FF" w:rsidRDefault="002B7A37" w:rsidP="002B7A37">
      <w:pPr>
        <w:tabs>
          <w:tab w:val="left" w:pos="-720"/>
          <w:tab w:val="left" w:pos="0"/>
          <w:tab w:val="right" w:leader="dot" w:pos="8505"/>
        </w:tabs>
        <w:spacing w:after="120" w:line="240" w:lineRule="auto"/>
        <w:ind w:left="1701" w:right="992"/>
        <w:rPr>
          <w:b/>
          <w:lang w:val="fr-FR"/>
        </w:rPr>
      </w:pPr>
      <w:r>
        <w:rPr>
          <w:b/>
          <w:bCs/>
          <w:lang w:val="fr-FR"/>
        </w:rPr>
        <w:t>Masse t</w:t>
      </w:r>
      <w:r w:rsidRPr="00C11F5E">
        <w:rPr>
          <w:b/>
          <w:bCs/>
          <w:lang w:val="fr-FR"/>
        </w:rPr>
        <w:t>otal</w:t>
      </w:r>
      <w:r>
        <w:rPr>
          <w:b/>
          <w:bCs/>
          <w:lang w:val="fr-FR"/>
        </w:rPr>
        <w:t>e</w:t>
      </w:r>
      <w:r w:rsidR="00821329">
        <w:rPr>
          <w:b/>
          <w:bCs/>
          <w:lang w:val="fr-FR"/>
        </w:rPr>
        <w:t> </w:t>
      </w:r>
      <w:r w:rsidRPr="00C11F5E">
        <w:rPr>
          <w:b/>
          <w:bCs/>
          <w:lang w:val="fr-FR"/>
        </w:rPr>
        <w:t>:</w:t>
      </w:r>
      <w:r w:rsidR="00821329">
        <w:rPr>
          <w:b/>
          <w:bCs/>
          <w:lang w:val="fr-FR"/>
        </w:rPr>
        <w:t xml:space="preserve"> </w:t>
      </w:r>
      <w:r w:rsidRPr="00C11F5E">
        <w:rPr>
          <w:b/>
          <w:bCs/>
          <w:lang w:val="fr-FR"/>
        </w:rPr>
        <w:tab/>
      </w:r>
      <w:r w:rsidR="00821329" w:rsidRPr="00E30A0A">
        <w:rPr>
          <w:b/>
          <w:bCs/>
          <w:lang w:val="fr-FR"/>
        </w:rPr>
        <w:t> </w:t>
      </w:r>
      <w:r w:rsidR="00821329" w:rsidRPr="00821329">
        <w:rPr>
          <w:lang w:val="fr-FR"/>
        </w:rPr>
        <w:t>»</w:t>
      </w:r>
      <w:r>
        <w:rPr>
          <w:lang w:val="fr-FR"/>
        </w:rPr>
        <w:t>.</w:t>
      </w:r>
    </w:p>
    <w:p w14:paraId="1E61118D" w14:textId="77777777" w:rsidR="002B7A37" w:rsidRDefault="002B7A37" w:rsidP="00821329">
      <w:pPr>
        <w:pStyle w:val="SingleTxtG"/>
        <w:rPr>
          <w:iCs/>
          <w:lang w:val="fr-FR"/>
        </w:rPr>
      </w:pPr>
      <w:r>
        <w:rPr>
          <w:i/>
          <w:iCs/>
          <w:lang w:val="fr-FR"/>
        </w:rPr>
        <w:t>Les points 6 à 17</w:t>
      </w:r>
      <w:r>
        <w:rPr>
          <w:lang w:val="fr-FR"/>
        </w:rPr>
        <w:t xml:space="preserve"> deviennent les points 9 à 20.  </w:t>
      </w:r>
    </w:p>
    <w:p w14:paraId="24E1580C" w14:textId="77777777" w:rsidR="00821329" w:rsidRDefault="00821329">
      <w:pPr>
        <w:suppressAutoHyphens w:val="0"/>
        <w:kinsoku/>
        <w:overflowPunct/>
        <w:autoSpaceDE/>
        <w:autoSpaceDN/>
        <w:adjustRightInd/>
        <w:snapToGrid/>
        <w:spacing w:after="200" w:line="276" w:lineRule="auto"/>
        <w:rPr>
          <w:i/>
          <w:iCs/>
          <w:lang w:val="fr-FR"/>
        </w:rPr>
      </w:pPr>
      <w:r>
        <w:rPr>
          <w:i/>
          <w:iCs/>
          <w:lang w:val="fr-FR"/>
        </w:rPr>
        <w:br w:type="page"/>
      </w:r>
    </w:p>
    <w:p w14:paraId="0CEB1363" w14:textId="4F4BAAB9" w:rsidR="002B7A37" w:rsidRPr="009479FF" w:rsidRDefault="002B7A37" w:rsidP="00821329">
      <w:pPr>
        <w:pStyle w:val="SingleTxtG"/>
        <w:rPr>
          <w:lang w:val="fr-FR"/>
        </w:rPr>
      </w:pPr>
      <w:r w:rsidRPr="00C11F5E">
        <w:rPr>
          <w:i/>
          <w:iCs/>
          <w:lang w:val="fr-FR"/>
        </w:rPr>
        <w:t>Annexe 2</w:t>
      </w:r>
      <w:r>
        <w:rPr>
          <w:lang w:val="fr-FR"/>
        </w:rPr>
        <w:t>, lire</w:t>
      </w:r>
      <w:r w:rsidR="00821329">
        <w:rPr>
          <w:lang w:val="fr-FR"/>
        </w:rPr>
        <w:t> </w:t>
      </w:r>
      <w:r>
        <w:rPr>
          <w:lang w:val="fr-FR"/>
        </w:rPr>
        <w:t>:</w:t>
      </w:r>
    </w:p>
    <w:p w14:paraId="3153632E" w14:textId="77777777" w:rsidR="002B7A37" w:rsidRPr="009479FF" w:rsidRDefault="002B7A37" w:rsidP="002B7A37">
      <w:pPr>
        <w:pStyle w:val="HChG"/>
        <w:keepNext w:val="0"/>
        <w:keepLines w:val="0"/>
        <w:rPr>
          <w:lang w:val="fr-FR"/>
        </w:rPr>
      </w:pPr>
      <w:bookmarkStart w:id="5" w:name="_Toc408307421"/>
      <w:r w:rsidRPr="00821329">
        <w:rPr>
          <w:b w:val="0"/>
          <w:sz w:val="20"/>
          <w:lang w:val="fr-FR"/>
        </w:rPr>
        <w:t>«</w:t>
      </w:r>
      <w:r w:rsidRPr="00C11F5E">
        <w:rPr>
          <w:b w:val="0"/>
          <w:lang w:val="fr-FR"/>
        </w:rPr>
        <w:t> </w:t>
      </w:r>
      <w:r>
        <w:rPr>
          <w:bCs/>
          <w:lang w:val="fr-FR"/>
        </w:rPr>
        <w:t>Annexe 2</w:t>
      </w:r>
      <w:bookmarkEnd w:id="5"/>
    </w:p>
    <w:p w14:paraId="6710A79C" w14:textId="77777777" w:rsidR="002B7A37" w:rsidRPr="009479FF" w:rsidRDefault="002B7A37" w:rsidP="00821329">
      <w:pPr>
        <w:pStyle w:val="HChG"/>
        <w:rPr>
          <w:lang w:val="fr-FR"/>
        </w:rPr>
      </w:pPr>
      <w:r>
        <w:rPr>
          <w:lang w:val="fr-FR"/>
        </w:rPr>
        <w:tab/>
      </w:r>
      <w:r>
        <w:rPr>
          <w:lang w:val="fr-FR"/>
        </w:rPr>
        <w:tab/>
        <w:t>Exemple de marque d’homologation</w:t>
      </w:r>
      <w:bookmarkStart w:id="6" w:name="_Toc408307422"/>
      <w:bookmarkEnd w:id="6"/>
    </w:p>
    <w:p w14:paraId="2E0641EB" w14:textId="6279533B" w:rsidR="002B7A37" w:rsidRDefault="002B7A37" w:rsidP="00821329">
      <w:pPr>
        <w:pStyle w:val="SingleTxtG"/>
        <w:jc w:val="left"/>
        <w:rPr>
          <w:lang w:val="fr-FR"/>
        </w:rPr>
      </w:pPr>
      <w:r>
        <w:rPr>
          <w:lang w:val="fr-FR"/>
        </w:rPr>
        <w:t>Modèle A</w:t>
      </w:r>
      <w:r w:rsidR="00821329">
        <w:rPr>
          <w:lang w:val="fr-FR"/>
        </w:rPr>
        <w:br/>
      </w:r>
      <w:r>
        <w:rPr>
          <w:lang w:val="fr-FR"/>
        </w:rPr>
        <w:t>(Voir par. 4.5 du présent Règlement)</w:t>
      </w:r>
    </w:p>
    <w:p w14:paraId="411BA9A4" w14:textId="4948784E" w:rsidR="002B7A37" w:rsidRDefault="00821329" w:rsidP="008D4D90">
      <w:pPr>
        <w:widowControl w:val="0"/>
        <w:ind w:left="1134"/>
        <w:rPr>
          <w:b/>
          <w:bCs/>
          <w:lang w:val="fr-FR"/>
        </w:rPr>
      </w:pPr>
      <w:r>
        <w:rPr>
          <w:noProof/>
        </w:rPr>
        <w:drawing>
          <wp:inline distT="0" distB="0" distL="0" distR="0" wp14:anchorId="013A559A" wp14:editId="32DEE795">
            <wp:extent cx="4680000" cy="794891"/>
            <wp:effectExtent l="0" t="0" r="635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000" cy="794891"/>
                    </a:xfrm>
                    <a:prstGeom prst="rect">
                      <a:avLst/>
                    </a:prstGeom>
                  </pic:spPr>
                </pic:pic>
              </a:graphicData>
            </a:graphic>
          </wp:inline>
        </w:drawing>
      </w:r>
    </w:p>
    <w:p w14:paraId="1124B64A" w14:textId="77777777" w:rsidR="002B7A37" w:rsidRDefault="002B7A37" w:rsidP="002B7A37">
      <w:pPr>
        <w:widowControl w:val="0"/>
        <w:ind w:left="6804"/>
        <w:jc w:val="both"/>
        <w:rPr>
          <w:bCs/>
          <w:lang w:val="fr-FR"/>
        </w:rPr>
      </w:pPr>
      <w:r>
        <w:rPr>
          <w:lang w:val="fr-FR"/>
        </w:rPr>
        <w:t>a = 8 mm min.</w:t>
      </w:r>
    </w:p>
    <w:p w14:paraId="4871F146" w14:textId="75B55D4B" w:rsidR="002B7A37" w:rsidRPr="009479FF" w:rsidRDefault="008D4D90" w:rsidP="00821329">
      <w:pPr>
        <w:pStyle w:val="SingleTxtG"/>
        <w:spacing w:before="240"/>
        <w:rPr>
          <w:lang w:val="fr-FR"/>
        </w:rPr>
      </w:pPr>
      <w:r>
        <w:rPr>
          <w:lang w:val="fr-FR"/>
        </w:rPr>
        <w:tab/>
      </w:r>
      <w:r w:rsidR="002B7A37">
        <w:rPr>
          <w:lang w:val="fr-FR"/>
        </w:rPr>
        <w:tab/>
        <w:t xml:space="preserve">La marque d’homologation ci-dessus, apposée sur un véhicule, indique que le type de ce véhicule a été homologué aux Pays-Bas (E4), sous le numéro d’homologation </w:t>
      </w:r>
      <w:r w:rsidR="002B7A37" w:rsidRPr="003D75C2">
        <w:rPr>
          <w:b/>
          <w:bCs/>
          <w:lang w:val="fr-FR"/>
        </w:rPr>
        <w:t>0124</w:t>
      </w:r>
      <w:r w:rsidR="002B7A37">
        <w:rPr>
          <w:lang w:val="fr-FR"/>
        </w:rPr>
        <w:t xml:space="preserve">, </w:t>
      </w:r>
      <w:r w:rsidR="002B7A37" w:rsidRPr="003D75C2">
        <w:rPr>
          <w:lang w:val="fr-FR"/>
        </w:rPr>
        <w:t>en</w:t>
      </w:r>
      <w:r w:rsidR="002B7A37">
        <w:rPr>
          <w:lang w:val="fr-FR"/>
        </w:rPr>
        <w:t xml:space="preserve"> ce qui concerne son comportement lors des essais de choc latéral contre un poteau, en application du Règlement </w:t>
      </w:r>
      <w:r w:rsidRPr="008D4D90">
        <w:rPr>
          <w:rFonts w:eastAsia="MS Mincho"/>
          <w:lang w:val="fr-FR"/>
        </w:rPr>
        <w:t>n</w:t>
      </w:r>
      <w:r w:rsidRPr="008D4D90">
        <w:rPr>
          <w:rFonts w:eastAsia="MS Mincho"/>
          <w:vertAlign w:val="superscript"/>
          <w:lang w:val="fr-FR"/>
        </w:rPr>
        <w:t>o</w:t>
      </w:r>
      <w:r w:rsidR="002B7A37">
        <w:rPr>
          <w:lang w:val="fr-FR"/>
        </w:rPr>
        <w:t xml:space="preserve"> 135. Le numéro d’homologation indique que l’homologation a été délivrée conformément aux prescriptions du Règlement </w:t>
      </w:r>
      <w:r w:rsidRPr="008D4D90">
        <w:rPr>
          <w:rFonts w:eastAsia="MS Mincho"/>
          <w:lang w:val="fr-FR"/>
        </w:rPr>
        <w:t>n</w:t>
      </w:r>
      <w:r w:rsidRPr="008D4D90">
        <w:rPr>
          <w:rFonts w:eastAsia="MS Mincho"/>
          <w:vertAlign w:val="superscript"/>
          <w:lang w:val="fr-FR"/>
        </w:rPr>
        <w:t>o</w:t>
      </w:r>
      <w:r w:rsidR="002B7A37">
        <w:rPr>
          <w:lang w:val="fr-FR"/>
        </w:rPr>
        <w:t xml:space="preserve"> 135 tel que modifié par la série</w:t>
      </w:r>
      <w:r>
        <w:rPr>
          <w:lang w:val="fr-FR"/>
        </w:rPr>
        <w:t> </w:t>
      </w:r>
      <w:r w:rsidR="002B7A37" w:rsidRPr="003D75C2">
        <w:rPr>
          <w:b/>
          <w:bCs/>
          <w:lang w:val="fr-FR"/>
        </w:rPr>
        <w:t>02</w:t>
      </w:r>
      <w:r w:rsidR="002B7A37">
        <w:rPr>
          <w:lang w:val="fr-FR"/>
        </w:rPr>
        <w:t xml:space="preserve"> d’amendements.</w:t>
      </w:r>
    </w:p>
    <w:p w14:paraId="3B2F2219" w14:textId="4011D35D" w:rsidR="002B7A37" w:rsidRDefault="002B7A37" w:rsidP="008D4D90">
      <w:pPr>
        <w:pStyle w:val="SingleTxtG"/>
        <w:jc w:val="left"/>
        <w:rPr>
          <w:lang w:val="fr-FR"/>
        </w:rPr>
      </w:pPr>
      <w:r>
        <w:rPr>
          <w:lang w:val="fr-FR"/>
        </w:rPr>
        <w:t>Modèle B</w:t>
      </w:r>
      <w:r w:rsidR="008D4D90">
        <w:rPr>
          <w:lang w:val="fr-FR"/>
        </w:rPr>
        <w:br/>
      </w:r>
      <w:r>
        <w:rPr>
          <w:lang w:val="fr-FR"/>
        </w:rPr>
        <w:t>(Voir le paragraphe 4.6 du présent Règlement)</w:t>
      </w:r>
    </w:p>
    <w:p w14:paraId="06E67400" w14:textId="5F5D32AD" w:rsidR="008D4D90" w:rsidRPr="009479FF" w:rsidRDefault="008D4D90" w:rsidP="008D4D90">
      <w:pPr>
        <w:widowControl w:val="0"/>
        <w:ind w:left="1134"/>
        <w:rPr>
          <w:lang w:val="fr-FR"/>
        </w:rPr>
      </w:pPr>
      <w:r>
        <w:rPr>
          <w:noProof/>
        </w:rPr>
        <w:drawing>
          <wp:inline distT="0" distB="0" distL="0" distR="0" wp14:anchorId="156DF170" wp14:editId="5DDB5771">
            <wp:extent cx="4680000" cy="946391"/>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946391"/>
                    </a:xfrm>
                    <a:prstGeom prst="rect">
                      <a:avLst/>
                    </a:prstGeom>
                  </pic:spPr>
                </pic:pic>
              </a:graphicData>
            </a:graphic>
          </wp:inline>
        </w:drawing>
      </w:r>
    </w:p>
    <w:p w14:paraId="707EE930" w14:textId="42B66CF5" w:rsidR="002B7A37" w:rsidRPr="009479FF" w:rsidRDefault="002B7A37" w:rsidP="008D4D90">
      <w:pPr>
        <w:widowControl w:val="0"/>
        <w:ind w:left="6804"/>
        <w:jc w:val="both"/>
        <w:rPr>
          <w:lang w:val="fr-FR"/>
        </w:rPr>
      </w:pPr>
      <w:r>
        <w:rPr>
          <w:lang w:val="fr-FR"/>
        </w:rPr>
        <w:t>a = 8 mm min.</w:t>
      </w:r>
    </w:p>
    <w:p w14:paraId="4FC4D49E" w14:textId="784D01CA" w:rsidR="002B7A37" w:rsidRDefault="008D4D90" w:rsidP="008D4D90">
      <w:pPr>
        <w:pStyle w:val="SingleTxtG"/>
        <w:spacing w:before="240"/>
        <w:rPr>
          <w:lang w:val="fr-FR"/>
        </w:rPr>
      </w:pPr>
      <w:r>
        <w:rPr>
          <w:lang w:val="fr-FR"/>
        </w:rPr>
        <w:tab/>
      </w:r>
      <w:r w:rsidR="002B7A37">
        <w:rPr>
          <w:lang w:val="fr-FR"/>
        </w:rPr>
        <w:tab/>
        <w:t xml:space="preserve">La marque d’homologation ci-dessus, apposée sur un véhicule, indique que le type de ce véhicule a été homologué aux Pays-Bas (E4) en application des Règlements </w:t>
      </w:r>
      <w:r w:rsidRPr="008D4D90">
        <w:rPr>
          <w:rFonts w:eastAsia="MS Mincho"/>
          <w:lang w:val="fr-FR"/>
        </w:rPr>
        <w:t>n</w:t>
      </w:r>
      <w:r w:rsidRPr="008D4D90">
        <w:rPr>
          <w:rFonts w:eastAsia="MS Mincho"/>
          <w:vertAlign w:val="superscript"/>
          <w:lang w:val="fr-FR"/>
        </w:rPr>
        <w:t>o</w:t>
      </w:r>
      <w:r>
        <w:rPr>
          <w:rFonts w:eastAsia="MS Mincho"/>
          <w:vertAlign w:val="superscript"/>
          <w:lang w:val="fr-FR"/>
        </w:rPr>
        <w:t>s</w:t>
      </w:r>
      <w:r>
        <w:rPr>
          <w:lang w:val="fr-FR"/>
        </w:rPr>
        <w:t xml:space="preserve"> </w:t>
      </w:r>
      <w:r w:rsidR="002B7A37">
        <w:rPr>
          <w:lang w:val="fr-FR"/>
        </w:rPr>
        <w:t>135 et 95</w:t>
      </w:r>
      <w:r w:rsidR="002B7A37" w:rsidRPr="003327D9">
        <w:rPr>
          <w:rStyle w:val="Appelnotedebasdep"/>
        </w:rPr>
        <w:footnoteReference w:id="3"/>
      </w:r>
      <w:r w:rsidR="002B7A37">
        <w:rPr>
          <w:lang w:val="fr-FR"/>
        </w:rPr>
        <w:t xml:space="preserve">. Les deux premiers chiffres des numéros d’homologation signifient qu’aux dates où les homologations respectives ont été délivrées, le Règlement </w:t>
      </w:r>
      <w:r w:rsidRPr="008D4D90">
        <w:rPr>
          <w:rFonts w:eastAsia="MS Mincho"/>
          <w:lang w:val="fr-FR"/>
        </w:rPr>
        <w:t>n</w:t>
      </w:r>
      <w:r w:rsidRPr="008D4D90">
        <w:rPr>
          <w:rFonts w:eastAsia="MS Mincho"/>
          <w:vertAlign w:val="superscript"/>
          <w:lang w:val="fr-FR"/>
        </w:rPr>
        <w:t>o</w:t>
      </w:r>
      <w:r w:rsidR="002B7A37">
        <w:rPr>
          <w:lang w:val="fr-FR"/>
        </w:rPr>
        <w:t xml:space="preserve"> 135 comprenait la série </w:t>
      </w:r>
      <w:r w:rsidR="002B7A37" w:rsidRPr="003D75C2">
        <w:rPr>
          <w:b/>
          <w:bCs/>
          <w:lang w:val="fr-FR"/>
        </w:rPr>
        <w:t>02</w:t>
      </w:r>
      <w:r w:rsidR="002B7A37">
        <w:rPr>
          <w:lang w:val="fr-FR"/>
        </w:rPr>
        <w:t xml:space="preserve"> d’amendements et le Règlement </w:t>
      </w:r>
      <w:r w:rsidRPr="008D4D90">
        <w:rPr>
          <w:rFonts w:eastAsia="MS Mincho"/>
          <w:lang w:val="fr-FR"/>
        </w:rPr>
        <w:t>n</w:t>
      </w:r>
      <w:r w:rsidRPr="008D4D90">
        <w:rPr>
          <w:rFonts w:eastAsia="MS Mincho"/>
          <w:vertAlign w:val="superscript"/>
          <w:lang w:val="fr-FR"/>
        </w:rPr>
        <w:t>o</w:t>
      </w:r>
      <w:r w:rsidR="002B7A37">
        <w:rPr>
          <w:lang w:val="fr-FR"/>
        </w:rPr>
        <w:t xml:space="preserve"> 95 la série </w:t>
      </w:r>
      <w:r w:rsidR="002B7A37" w:rsidRPr="003D75C2">
        <w:rPr>
          <w:b/>
          <w:bCs/>
          <w:lang w:val="fr-FR"/>
        </w:rPr>
        <w:t>04</w:t>
      </w:r>
      <w:r w:rsidR="002B7A37">
        <w:rPr>
          <w:lang w:val="fr-FR"/>
        </w:rPr>
        <w:t xml:space="preserve"> d’amendements. ».</w:t>
      </w:r>
    </w:p>
    <w:p w14:paraId="4D1D86BE" w14:textId="77777777" w:rsidR="002B7A37" w:rsidRPr="009479FF" w:rsidRDefault="002B7A37" w:rsidP="002B7A37">
      <w:pPr>
        <w:suppressAutoHyphens w:val="0"/>
        <w:spacing w:line="240" w:lineRule="auto"/>
        <w:rPr>
          <w:i/>
          <w:lang w:val="fr-FR"/>
        </w:rPr>
      </w:pPr>
      <w:r w:rsidRPr="009479FF">
        <w:rPr>
          <w:i/>
          <w:lang w:val="fr-FR"/>
        </w:rPr>
        <w:br w:type="page"/>
      </w:r>
    </w:p>
    <w:p w14:paraId="00C6FC99" w14:textId="7B5CE4ED" w:rsidR="002B7A37" w:rsidRPr="009479FF" w:rsidRDefault="002B7A37" w:rsidP="008D4D90">
      <w:pPr>
        <w:pStyle w:val="SingleTxtG"/>
        <w:rPr>
          <w:lang w:val="fr-FR"/>
        </w:rPr>
      </w:pPr>
      <w:r w:rsidRPr="00490FBA">
        <w:rPr>
          <w:i/>
          <w:iCs/>
          <w:lang w:val="fr-FR"/>
        </w:rPr>
        <w:t>Annexe 3, ajouter les nouveaux paragraphes 7 à 7.2.2</w:t>
      </w:r>
      <w:r>
        <w:rPr>
          <w:lang w:val="fr-FR"/>
        </w:rPr>
        <w:t>, libellés comme suit</w:t>
      </w:r>
      <w:r w:rsidR="008D4D90">
        <w:rPr>
          <w:lang w:val="fr-FR"/>
        </w:rPr>
        <w:t> </w:t>
      </w:r>
      <w:r>
        <w:rPr>
          <w:lang w:val="fr-FR"/>
        </w:rPr>
        <w:t>:</w:t>
      </w:r>
    </w:p>
    <w:p w14:paraId="6CD51753" w14:textId="77777777" w:rsidR="002B7A37" w:rsidRPr="009479FF" w:rsidRDefault="002B7A37" w:rsidP="008D4D90">
      <w:pPr>
        <w:pStyle w:val="SingleTxtG"/>
        <w:ind w:left="2268" w:hanging="1134"/>
        <w:rPr>
          <w:b/>
          <w:lang w:val="fr-FR"/>
        </w:rPr>
      </w:pPr>
      <w:r>
        <w:rPr>
          <w:lang w:val="fr-FR"/>
        </w:rPr>
        <w:t>« </w:t>
      </w:r>
      <w:r w:rsidRPr="00490FBA">
        <w:rPr>
          <w:b/>
          <w:bCs/>
          <w:lang w:val="fr-FR"/>
        </w:rPr>
        <w:t>7.</w:t>
      </w:r>
      <w:r>
        <w:rPr>
          <w:lang w:val="fr-FR"/>
        </w:rPr>
        <w:tab/>
      </w:r>
      <w:r>
        <w:rPr>
          <w:b/>
          <w:bCs/>
          <w:lang w:val="fr-FR"/>
        </w:rPr>
        <w:t>Réglage de la chaîne de traction électrique</w:t>
      </w:r>
    </w:p>
    <w:p w14:paraId="45ECCFA0" w14:textId="77777777" w:rsidR="002B7A37" w:rsidRPr="009479FF" w:rsidRDefault="002B7A37" w:rsidP="008D4D90">
      <w:pPr>
        <w:pStyle w:val="SingleTxtG"/>
        <w:ind w:left="2268" w:hanging="1134"/>
        <w:rPr>
          <w:b/>
          <w:strike/>
          <w:lang w:val="fr-FR"/>
        </w:rPr>
      </w:pPr>
      <w:r w:rsidRPr="00490FBA">
        <w:rPr>
          <w:b/>
          <w:bCs/>
          <w:lang w:val="fr-FR"/>
        </w:rPr>
        <w:t>7.1</w:t>
      </w:r>
      <w:r>
        <w:rPr>
          <w:lang w:val="fr-FR"/>
        </w:rPr>
        <w:tab/>
      </w:r>
      <w:r>
        <w:rPr>
          <w:b/>
          <w:bCs/>
          <w:lang w:val="fr-FR"/>
        </w:rPr>
        <w:t>Procédures de réglage de l’état de charge</w:t>
      </w:r>
      <w:r>
        <w:rPr>
          <w:lang w:val="fr-FR"/>
        </w:rPr>
        <w:t xml:space="preserve"> </w:t>
      </w:r>
    </w:p>
    <w:p w14:paraId="28E617E6" w14:textId="1FD8D990" w:rsidR="002B7A37" w:rsidRPr="009479FF" w:rsidRDefault="002B7A37" w:rsidP="008D4D90">
      <w:pPr>
        <w:pStyle w:val="SingleTxtG"/>
        <w:ind w:left="2268" w:hanging="1134"/>
        <w:rPr>
          <w:b/>
          <w:lang w:val="fr-FR"/>
        </w:rPr>
      </w:pPr>
      <w:r w:rsidRPr="00490FBA">
        <w:rPr>
          <w:b/>
          <w:bCs/>
          <w:lang w:val="fr-FR"/>
        </w:rPr>
        <w:t>7.1.1</w:t>
      </w:r>
      <w:r>
        <w:rPr>
          <w:lang w:val="fr-FR"/>
        </w:rPr>
        <w:tab/>
      </w:r>
      <w:r>
        <w:rPr>
          <w:b/>
          <w:bCs/>
          <w:lang w:val="fr-FR"/>
        </w:rPr>
        <w:t xml:space="preserve">Le réglage de l’état de charge du SRSEE doit être effectué à une température ambiante de 20 </w:t>
      </w:r>
      <w:r w:rsidR="008D4D90">
        <w:rPr>
          <w:b/>
          <w:bCs/>
          <w:lang w:val="fr-FR"/>
        </w:rPr>
        <w:sym w:font="Symbol" w:char="F0B1"/>
      </w:r>
      <w:r>
        <w:rPr>
          <w:b/>
          <w:bCs/>
          <w:lang w:val="fr-FR"/>
        </w:rPr>
        <w:t xml:space="preserve"> 10 °C.</w:t>
      </w:r>
    </w:p>
    <w:p w14:paraId="1E2FA62D" w14:textId="7987576A" w:rsidR="002B7A37" w:rsidRPr="009479FF" w:rsidRDefault="002B7A37" w:rsidP="008D4D90">
      <w:pPr>
        <w:pStyle w:val="SingleTxtG"/>
        <w:ind w:left="2268" w:hanging="1134"/>
        <w:rPr>
          <w:b/>
          <w:lang w:val="fr-FR"/>
        </w:rPr>
      </w:pPr>
      <w:r w:rsidRPr="00490FBA">
        <w:rPr>
          <w:b/>
          <w:bCs/>
          <w:lang w:val="fr-FR"/>
        </w:rPr>
        <w:t>7.1.2</w:t>
      </w:r>
      <w:r>
        <w:rPr>
          <w:lang w:val="fr-FR"/>
        </w:rPr>
        <w:tab/>
      </w:r>
      <w:r>
        <w:rPr>
          <w:b/>
          <w:bCs/>
          <w:lang w:val="fr-FR"/>
        </w:rPr>
        <w:t>Le niveau de charge doit être ajusté conformément à l’une des procédures suivantes, selon le cas.</w:t>
      </w:r>
      <w:r>
        <w:rPr>
          <w:lang w:val="fr-FR"/>
        </w:rPr>
        <w:t xml:space="preserve"> </w:t>
      </w:r>
      <w:r>
        <w:rPr>
          <w:b/>
          <w:bCs/>
          <w:lang w:val="fr-FR"/>
        </w:rPr>
        <w:t>Lorsque différentes procédures de charge sont possibles, le SRSEE doit être chargé conformément à la procédure qui permet d’obtenir le plus haut niveau de charge</w:t>
      </w:r>
      <w:r w:rsidR="008D4D90">
        <w:rPr>
          <w:b/>
          <w:bCs/>
          <w:lang w:val="fr-FR"/>
        </w:rPr>
        <w:t> </w:t>
      </w:r>
      <w:r>
        <w:rPr>
          <w:b/>
          <w:bCs/>
          <w:lang w:val="fr-FR"/>
        </w:rPr>
        <w:t>:</w:t>
      </w:r>
    </w:p>
    <w:p w14:paraId="2506DB19" w14:textId="33A80655" w:rsidR="002B7A37" w:rsidRPr="009479FF" w:rsidRDefault="002B7A37" w:rsidP="008849D2">
      <w:pPr>
        <w:pStyle w:val="SingleTxtG"/>
        <w:ind w:left="2835" w:hanging="567"/>
        <w:rPr>
          <w:b/>
          <w:lang w:val="fr-FR"/>
        </w:rPr>
      </w:pPr>
      <w:r w:rsidRPr="00490FBA">
        <w:rPr>
          <w:b/>
          <w:bCs/>
          <w:lang w:val="fr-FR"/>
        </w:rPr>
        <w:t>a)</w:t>
      </w:r>
      <w:r>
        <w:rPr>
          <w:lang w:val="fr-FR"/>
        </w:rPr>
        <w:tab/>
      </w:r>
      <w:r>
        <w:rPr>
          <w:b/>
          <w:bCs/>
          <w:lang w:val="fr-FR"/>
        </w:rPr>
        <w:t>Dans le cas d’un véhicule équipé d’un SRSEE conçu pour être chargé depuis l’extérieur, le SRSEE doit être porté au plus haut niveau de charge possible conformément à la procédure spécifiée par le constructeur pour un fonctionnement normal, jusqu’à ce que la charge s’achève normalement</w:t>
      </w:r>
      <w:r w:rsidR="008D4D90">
        <w:rPr>
          <w:b/>
          <w:bCs/>
          <w:lang w:val="fr-FR"/>
        </w:rPr>
        <w:t> </w:t>
      </w:r>
      <w:r>
        <w:rPr>
          <w:b/>
          <w:bCs/>
          <w:lang w:val="fr-FR"/>
        </w:rPr>
        <w:t>;</w:t>
      </w:r>
    </w:p>
    <w:p w14:paraId="13102441" w14:textId="5007C4A4" w:rsidR="002B7A37" w:rsidRPr="009479FF" w:rsidRDefault="002B7A37" w:rsidP="008849D2">
      <w:pPr>
        <w:pStyle w:val="SingleTxtG"/>
        <w:ind w:left="2835" w:hanging="567"/>
        <w:rPr>
          <w:b/>
          <w:lang w:val="fr-FR"/>
        </w:rPr>
      </w:pPr>
      <w:r w:rsidRPr="00490FBA">
        <w:rPr>
          <w:b/>
          <w:bCs/>
          <w:lang w:val="fr-FR"/>
        </w:rPr>
        <w:t>b)</w:t>
      </w:r>
      <w:r>
        <w:rPr>
          <w:lang w:val="fr-FR"/>
        </w:rPr>
        <w:tab/>
      </w:r>
      <w:r>
        <w:rPr>
          <w:b/>
          <w:bCs/>
          <w:lang w:val="fr-FR"/>
        </w:rPr>
        <w:t>Dans le cas d’un véhicule équipé d’un SRSEE conçu pour être chargé uniquement au moyen d’une source d’énergie embarquée, le SRSEE doit être porté au plus haut niveau de charge pouvant être obtenu dans les conditions d’utilisation normales du véhicule.</w:t>
      </w:r>
      <w:r>
        <w:rPr>
          <w:lang w:val="fr-FR"/>
        </w:rPr>
        <w:t xml:space="preserve"> </w:t>
      </w:r>
      <w:r>
        <w:rPr>
          <w:b/>
          <w:bCs/>
          <w:lang w:val="fr-FR"/>
        </w:rPr>
        <w:t>Le constructeur doit indiquer le mode de fonctionnement du véhicule à utiliser pour atteindre ce niveau de charge.</w:t>
      </w:r>
    </w:p>
    <w:p w14:paraId="6D4B80BE" w14:textId="385F82FE" w:rsidR="002B7A37" w:rsidRPr="009479FF" w:rsidRDefault="002B7A37" w:rsidP="008D4D90">
      <w:pPr>
        <w:pStyle w:val="SingleTxtG"/>
        <w:ind w:left="2268" w:hanging="1134"/>
        <w:rPr>
          <w:b/>
          <w:lang w:val="fr-FR"/>
        </w:rPr>
      </w:pPr>
      <w:r w:rsidRPr="00490FBA">
        <w:rPr>
          <w:b/>
          <w:bCs/>
          <w:lang w:val="fr-FR"/>
        </w:rPr>
        <w:t>7.1.3</w:t>
      </w:r>
      <w:r>
        <w:rPr>
          <w:lang w:val="fr-FR"/>
        </w:rPr>
        <w:tab/>
      </w:r>
      <w:r>
        <w:rPr>
          <w:b/>
          <w:bCs/>
          <w:lang w:val="fr-FR"/>
        </w:rPr>
        <w:t>Lorsque le véhicule est soumis à essai, le niveau de charge ne doit pas être inférieur à 95 % du niveau de charge dans les conditions visées aux paragraphes</w:t>
      </w:r>
      <w:r w:rsidR="008D4D90">
        <w:rPr>
          <w:b/>
          <w:bCs/>
          <w:lang w:val="fr-FR"/>
        </w:rPr>
        <w:t> </w:t>
      </w:r>
      <w:r>
        <w:rPr>
          <w:b/>
          <w:bCs/>
          <w:lang w:val="fr-FR"/>
        </w:rPr>
        <w:t>7.1.1 et 7.1.2 dans le cas des SRSEE conçus pour être chargés depuis l’extérieur, et il ne doit pas être inférieur à 90 % du niveau de charge dans les conditions visées aux paragraphes 7.1.1 et 7.1.2 dans le cas des SRSEE conçus pour être chargés uniquement au moyen d’une source d’énergie embarquée.</w:t>
      </w:r>
      <w:r>
        <w:rPr>
          <w:lang w:val="fr-FR"/>
        </w:rPr>
        <w:t xml:space="preserve"> </w:t>
      </w:r>
      <w:r>
        <w:rPr>
          <w:b/>
          <w:bCs/>
          <w:lang w:val="fr-FR"/>
        </w:rPr>
        <w:t>Le niveau de charge doit être confirmé au moyen d’une méthode prévue par le constructeur.</w:t>
      </w:r>
    </w:p>
    <w:p w14:paraId="0496DC88" w14:textId="4DADF071" w:rsidR="002B7A37" w:rsidRPr="009479FF" w:rsidRDefault="002B7A37" w:rsidP="008D4D90">
      <w:pPr>
        <w:pStyle w:val="SingleTxtG"/>
        <w:ind w:left="2268" w:hanging="1134"/>
        <w:rPr>
          <w:b/>
          <w:lang w:val="fr-FR"/>
        </w:rPr>
      </w:pPr>
      <w:r w:rsidRPr="00490FBA">
        <w:rPr>
          <w:b/>
          <w:bCs/>
          <w:lang w:val="fr-FR"/>
        </w:rPr>
        <w:t>7.2</w:t>
      </w:r>
      <w:r>
        <w:rPr>
          <w:lang w:val="fr-FR"/>
        </w:rPr>
        <w:tab/>
      </w:r>
      <w:r>
        <w:rPr>
          <w:b/>
          <w:bCs/>
          <w:lang w:val="fr-FR"/>
        </w:rPr>
        <w:t>La chaîne de traction doit être mise sous tension avec ou sans l’aide des sources d’énergie électrique initiales (par exemple, un alternateur, un SRSEE ou un convertisseur d’énergie électrique), mais</w:t>
      </w:r>
      <w:r w:rsidR="008D4D90">
        <w:rPr>
          <w:b/>
          <w:bCs/>
          <w:lang w:val="fr-FR"/>
        </w:rPr>
        <w:t> </w:t>
      </w:r>
      <w:r>
        <w:rPr>
          <w:b/>
          <w:bCs/>
          <w:lang w:val="fr-FR"/>
        </w:rPr>
        <w:t>:</w:t>
      </w:r>
      <w:r>
        <w:rPr>
          <w:lang w:val="fr-FR"/>
        </w:rPr>
        <w:t xml:space="preserve"> </w:t>
      </w:r>
    </w:p>
    <w:p w14:paraId="2A970947" w14:textId="77777777" w:rsidR="002B7A37" w:rsidRPr="009479FF" w:rsidRDefault="002B7A37" w:rsidP="008D4D90">
      <w:pPr>
        <w:pStyle w:val="SingleTxtG"/>
        <w:ind w:left="2268" w:hanging="1134"/>
        <w:rPr>
          <w:b/>
          <w:lang w:val="fr-FR"/>
        </w:rPr>
      </w:pPr>
      <w:r w:rsidRPr="00490FBA">
        <w:rPr>
          <w:b/>
          <w:bCs/>
          <w:lang w:val="fr-FR"/>
        </w:rPr>
        <w:t>7.2.1</w:t>
      </w:r>
      <w:r>
        <w:rPr>
          <w:lang w:val="fr-FR"/>
        </w:rPr>
        <w:tab/>
      </w:r>
      <w:r>
        <w:rPr>
          <w:b/>
          <w:bCs/>
          <w:lang w:val="fr-FR"/>
        </w:rPr>
        <w:t>D’entente entre le service technique et le constructeur, il doit être possible d’effectuer l’essai alors que la totalité ou une partie de la chaîne de traction n’est pas sous tension, pour autant que cela ne fausse pas les résultats de l’essai.</w:t>
      </w:r>
      <w:r>
        <w:rPr>
          <w:lang w:val="fr-FR"/>
        </w:rPr>
        <w:t xml:space="preserve"> </w:t>
      </w:r>
      <w:r>
        <w:rPr>
          <w:b/>
          <w:bCs/>
          <w:lang w:val="fr-FR"/>
        </w:rPr>
        <w:t>S’agissant des parties de la chaîne de traction qui ne sont pas sous tension, la protection contre les chocs électriques doit être assurée soit par un moyen physique, soit par une résistance d’isolement, et prouvée par des éléments appropriés.</w:t>
      </w:r>
    </w:p>
    <w:p w14:paraId="7F4BA149" w14:textId="77777777" w:rsidR="002B7A37" w:rsidRPr="009479FF" w:rsidRDefault="002B7A37" w:rsidP="008D4D90">
      <w:pPr>
        <w:pStyle w:val="SingleTxtG"/>
        <w:ind w:left="2268" w:hanging="1134"/>
        <w:rPr>
          <w:lang w:val="fr-FR"/>
        </w:rPr>
      </w:pPr>
      <w:r w:rsidRPr="00490FBA">
        <w:rPr>
          <w:b/>
          <w:bCs/>
          <w:lang w:val="fr-FR"/>
        </w:rPr>
        <w:t>7.2.2</w:t>
      </w:r>
      <w:r>
        <w:rPr>
          <w:lang w:val="fr-FR"/>
        </w:rPr>
        <w:tab/>
      </w:r>
      <w:r>
        <w:rPr>
          <w:b/>
          <w:bCs/>
          <w:lang w:val="fr-FR"/>
        </w:rPr>
        <w:t>Si une déconnexion automatique est prévue, il doit être possible, à la demande du constructeur, d’effectuer l’essai alors que la déconnexion automatique est activée.</w:t>
      </w:r>
      <w:r>
        <w:rPr>
          <w:lang w:val="fr-FR"/>
        </w:rPr>
        <w:t xml:space="preserve"> </w:t>
      </w:r>
      <w:r>
        <w:rPr>
          <w:b/>
          <w:bCs/>
          <w:lang w:val="fr-FR"/>
        </w:rPr>
        <w:t>Dans ce cas, il doit être démontré que la déconnexion automatique aurait fonctionné au moment du choc.</w:t>
      </w:r>
      <w:r>
        <w:rPr>
          <w:lang w:val="fr-FR"/>
        </w:rPr>
        <w:t xml:space="preserve"> </w:t>
      </w:r>
      <w:r w:rsidRPr="00490FBA">
        <w:rPr>
          <w:b/>
          <w:bCs/>
          <w:lang w:val="fr-FR"/>
        </w:rPr>
        <w:t>Cette prescription porte aussi bien sur le signal d</w:t>
      </w:r>
      <w:r>
        <w:rPr>
          <w:b/>
          <w:bCs/>
          <w:lang w:val="fr-FR"/>
        </w:rPr>
        <w:t>’</w:t>
      </w:r>
      <w:r w:rsidRPr="00490FBA">
        <w:rPr>
          <w:b/>
          <w:bCs/>
          <w:lang w:val="fr-FR"/>
        </w:rPr>
        <w:t>activation automatique que sur la séparation galvanique, compte tenu des conditions constatées pendant le choc.</w:t>
      </w:r>
      <w:r>
        <w:rPr>
          <w:lang w:val="fr-FR"/>
        </w:rPr>
        <w:t> ».</w:t>
      </w:r>
    </w:p>
    <w:p w14:paraId="13776C14" w14:textId="77777777" w:rsidR="002B7A37" w:rsidRPr="009479FF" w:rsidRDefault="002B7A37" w:rsidP="008D4D90">
      <w:pPr>
        <w:pStyle w:val="SingleTxtG"/>
        <w:rPr>
          <w:iCs/>
          <w:lang w:val="fr-FR"/>
        </w:rPr>
      </w:pPr>
      <w:r>
        <w:rPr>
          <w:i/>
          <w:iCs/>
          <w:lang w:val="fr-FR"/>
        </w:rPr>
        <w:t xml:space="preserve">Les paragraphes 7 à 7.3 </w:t>
      </w:r>
      <w:r>
        <w:rPr>
          <w:lang w:val="fr-FR"/>
        </w:rPr>
        <w:t>deviennent les paragraphes 8 à 8.3.</w:t>
      </w:r>
    </w:p>
    <w:p w14:paraId="6779E6CC" w14:textId="61221343" w:rsidR="002B7A37" w:rsidRPr="009479FF" w:rsidRDefault="002B7A37" w:rsidP="008D4D90">
      <w:pPr>
        <w:pStyle w:val="SingleTxtG"/>
        <w:rPr>
          <w:iCs/>
          <w:lang w:val="fr-FR"/>
        </w:rPr>
      </w:pPr>
      <w:r>
        <w:rPr>
          <w:i/>
          <w:iCs/>
          <w:lang w:val="fr-FR"/>
        </w:rPr>
        <w:t>Le paragraphe 7.4</w:t>
      </w:r>
      <w:r>
        <w:rPr>
          <w:lang w:val="fr-FR"/>
        </w:rPr>
        <w:t xml:space="preserve"> devient le paragraphe 8.4 et se lit comme suit</w:t>
      </w:r>
      <w:r w:rsidR="008D4D90">
        <w:rPr>
          <w:lang w:val="fr-FR"/>
        </w:rPr>
        <w:t> </w:t>
      </w:r>
      <w:r>
        <w:rPr>
          <w:lang w:val="fr-FR"/>
        </w:rPr>
        <w:t>:</w:t>
      </w:r>
    </w:p>
    <w:p w14:paraId="4A980E67" w14:textId="3E1DC2C8" w:rsidR="002B7A37" w:rsidRPr="009479FF" w:rsidRDefault="008D4D90" w:rsidP="008D4D90">
      <w:pPr>
        <w:pStyle w:val="SingleTxtG"/>
        <w:ind w:left="2268" w:hanging="1134"/>
        <w:rPr>
          <w:lang w:val="fr-FR"/>
        </w:rPr>
      </w:pPr>
      <w:r>
        <w:rPr>
          <w:lang w:val="fr-FR"/>
        </w:rPr>
        <w:t>« </w:t>
      </w:r>
      <w:r w:rsidR="002B7A37" w:rsidRPr="009479FF">
        <w:rPr>
          <w:b/>
          <w:bCs/>
          <w:lang w:val="fr-FR"/>
        </w:rPr>
        <w:t>8.4</w:t>
      </w:r>
      <w:r w:rsidR="002B7A37" w:rsidRPr="009479FF">
        <w:rPr>
          <w:lang w:val="fr-FR"/>
        </w:rPr>
        <w:tab/>
        <w:t>Avant l</w:t>
      </w:r>
      <w:r w:rsidR="002B7A37">
        <w:rPr>
          <w:lang w:val="fr-FR"/>
        </w:rPr>
        <w:t>’</w:t>
      </w:r>
      <w:r w:rsidR="002B7A37" w:rsidRPr="009479FF">
        <w:rPr>
          <w:lang w:val="fr-FR"/>
        </w:rPr>
        <w:t xml:space="preserve">essai … au paragraphe </w:t>
      </w:r>
      <w:r w:rsidR="002B7A37" w:rsidRPr="009479FF">
        <w:rPr>
          <w:b/>
          <w:bCs/>
          <w:lang w:val="fr-FR"/>
        </w:rPr>
        <w:t>8.3</w:t>
      </w:r>
      <w:r w:rsidR="002B7A37" w:rsidRPr="009479FF">
        <w:rPr>
          <w:lang w:val="fr-FR"/>
        </w:rPr>
        <w:t xml:space="preserve"> ci-dessus.</w:t>
      </w:r>
      <w:r>
        <w:rPr>
          <w:lang w:val="fr-FR"/>
        </w:rPr>
        <w:t> »</w:t>
      </w:r>
      <w:r w:rsidR="002B7A37" w:rsidRPr="009479FF">
        <w:rPr>
          <w:lang w:val="fr-FR"/>
        </w:rPr>
        <w:t>.</w:t>
      </w:r>
    </w:p>
    <w:p w14:paraId="466D6DA5" w14:textId="77777777" w:rsidR="002B7A37" w:rsidRPr="009479FF" w:rsidRDefault="002B7A37" w:rsidP="008D4D90">
      <w:pPr>
        <w:pStyle w:val="SingleTxtG"/>
        <w:rPr>
          <w:i/>
          <w:lang w:val="fr-FR"/>
        </w:rPr>
      </w:pPr>
      <w:r>
        <w:rPr>
          <w:i/>
          <w:iCs/>
          <w:lang w:val="fr-FR"/>
        </w:rPr>
        <w:t>Le paragraphe 7.5</w:t>
      </w:r>
      <w:r>
        <w:rPr>
          <w:lang w:val="fr-FR"/>
        </w:rPr>
        <w:t xml:space="preserve"> devient le paragraphe 8.5.</w:t>
      </w:r>
    </w:p>
    <w:p w14:paraId="6F141FD1" w14:textId="77777777" w:rsidR="002B7A37" w:rsidRPr="009479FF" w:rsidRDefault="002B7A37" w:rsidP="008D4D90">
      <w:pPr>
        <w:pStyle w:val="SingleTxtG"/>
        <w:rPr>
          <w:i/>
          <w:lang w:val="fr-FR"/>
        </w:rPr>
      </w:pPr>
      <w:r w:rsidRPr="00B8756F">
        <w:rPr>
          <w:i/>
          <w:iCs/>
          <w:lang w:val="fr-FR"/>
        </w:rPr>
        <w:t>Le paragraphe 8</w:t>
      </w:r>
      <w:r>
        <w:rPr>
          <w:lang w:val="fr-FR"/>
        </w:rPr>
        <w:t xml:space="preserve"> devient le paragraphe 9.</w:t>
      </w:r>
    </w:p>
    <w:p w14:paraId="72157CB3" w14:textId="0C8FF8FE" w:rsidR="002B7A37" w:rsidRPr="009479FF" w:rsidRDefault="002B7A37" w:rsidP="00B4466A">
      <w:pPr>
        <w:pStyle w:val="SingleTxtG"/>
        <w:keepNext/>
        <w:rPr>
          <w:iCs/>
          <w:lang w:val="fr-FR"/>
        </w:rPr>
      </w:pPr>
      <w:r>
        <w:rPr>
          <w:i/>
          <w:iCs/>
          <w:lang w:val="fr-FR"/>
        </w:rPr>
        <w:t>Le paragraphe 8.1</w:t>
      </w:r>
      <w:r>
        <w:rPr>
          <w:lang w:val="fr-FR"/>
        </w:rPr>
        <w:t xml:space="preserve"> devient le paragraphe 9.1 et se lit comme suit</w:t>
      </w:r>
      <w:r w:rsidR="00B4466A">
        <w:rPr>
          <w:lang w:val="fr-FR"/>
        </w:rPr>
        <w:t> </w:t>
      </w:r>
      <w:r>
        <w:rPr>
          <w:lang w:val="fr-FR"/>
        </w:rPr>
        <w:t>:</w:t>
      </w:r>
    </w:p>
    <w:p w14:paraId="3D5DCEE5" w14:textId="77777777" w:rsidR="002B7A37" w:rsidRPr="009479FF" w:rsidRDefault="002B7A37" w:rsidP="008D4D90">
      <w:pPr>
        <w:pStyle w:val="SingleTxtG"/>
        <w:ind w:left="2268" w:hanging="1134"/>
        <w:rPr>
          <w:lang w:val="fr-FR"/>
        </w:rPr>
      </w:pPr>
      <w:r>
        <w:rPr>
          <w:lang w:val="fr-FR"/>
        </w:rPr>
        <w:t>« </w:t>
      </w:r>
      <w:r w:rsidRPr="00B8756F">
        <w:rPr>
          <w:b/>
          <w:bCs/>
          <w:lang w:val="fr-FR"/>
        </w:rPr>
        <w:t>9.1</w:t>
      </w:r>
      <w:r>
        <w:rPr>
          <w:lang w:val="fr-FR"/>
        </w:rPr>
        <w:tab/>
      </w:r>
      <w:r>
        <w:rPr>
          <w:b/>
          <w:bCs/>
          <w:lang w:val="fr-FR"/>
        </w:rPr>
        <w:t>Un véhicule d’essai préparé conformément aux paragraphes 5, 6, 7 et 8 de la présente annexe doit percuter un poteau fixe. </w:t>
      </w:r>
      <w:r w:rsidRPr="00A15055">
        <w:rPr>
          <w:lang w:val="fr-FR"/>
        </w:rPr>
        <w:t>».</w:t>
      </w:r>
    </w:p>
    <w:p w14:paraId="52D7085F" w14:textId="77777777" w:rsidR="002B7A37" w:rsidRPr="009479FF" w:rsidRDefault="002B7A37" w:rsidP="008D4D90">
      <w:pPr>
        <w:pStyle w:val="SingleTxtG"/>
        <w:rPr>
          <w:iCs/>
          <w:lang w:val="fr-FR"/>
        </w:rPr>
      </w:pPr>
      <w:r>
        <w:rPr>
          <w:i/>
          <w:iCs/>
          <w:lang w:val="fr-FR"/>
        </w:rPr>
        <w:t>Le p</w:t>
      </w:r>
      <w:r w:rsidRPr="00D23E0E">
        <w:rPr>
          <w:i/>
          <w:iCs/>
          <w:lang w:val="fr-FR"/>
        </w:rPr>
        <w:t>aragraphe</w:t>
      </w:r>
      <w:r>
        <w:rPr>
          <w:i/>
          <w:iCs/>
          <w:lang w:val="fr-FR"/>
        </w:rPr>
        <w:t xml:space="preserve"> 8.2</w:t>
      </w:r>
      <w:r>
        <w:rPr>
          <w:lang w:val="fr-FR"/>
        </w:rPr>
        <w:t xml:space="preserve"> devient le paragraphe 9.2.</w:t>
      </w:r>
    </w:p>
    <w:p w14:paraId="1E6914E8" w14:textId="358B7C77" w:rsidR="002B7A37" w:rsidRPr="009479FF" w:rsidRDefault="002B7A37" w:rsidP="008D4D90">
      <w:pPr>
        <w:pStyle w:val="SingleTxtG"/>
        <w:rPr>
          <w:iCs/>
          <w:lang w:val="fr-FR"/>
        </w:rPr>
      </w:pPr>
      <w:r>
        <w:rPr>
          <w:i/>
          <w:iCs/>
          <w:lang w:val="fr-FR"/>
        </w:rPr>
        <w:t>Le p</w:t>
      </w:r>
      <w:r w:rsidRPr="00D23E0E">
        <w:rPr>
          <w:i/>
          <w:iCs/>
          <w:lang w:val="fr-FR"/>
        </w:rPr>
        <w:t>aragraphe</w:t>
      </w:r>
      <w:r>
        <w:rPr>
          <w:i/>
          <w:iCs/>
          <w:lang w:val="fr-FR"/>
        </w:rPr>
        <w:t xml:space="preserve"> 8.3</w:t>
      </w:r>
      <w:r>
        <w:rPr>
          <w:lang w:val="fr-FR"/>
        </w:rPr>
        <w:t xml:space="preserve"> devient le paragraphe 9.3 et se lit comme suit</w:t>
      </w:r>
      <w:r w:rsidR="00B4466A">
        <w:rPr>
          <w:lang w:val="fr-FR"/>
        </w:rPr>
        <w:t> </w:t>
      </w:r>
      <w:r>
        <w:rPr>
          <w:lang w:val="fr-FR"/>
        </w:rPr>
        <w:t>:</w:t>
      </w:r>
    </w:p>
    <w:p w14:paraId="4053CD71" w14:textId="0A9EA5F7" w:rsidR="002B7A37" w:rsidRPr="009479FF" w:rsidRDefault="002B7A37" w:rsidP="008D4D90">
      <w:pPr>
        <w:pStyle w:val="SingleTxtG"/>
        <w:ind w:left="2268" w:hanging="1134"/>
        <w:rPr>
          <w:lang w:val="fr-FR"/>
        </w:rPr>
      </w:pPr>
      <w:r>
        <w:rPr>
          <w:lang w:val="fr-FR"/>
        </w:rPr>
        <w:t>« </w:t>
      </w:r>
      <w:r w:rsidRPr="00D23E0E">
        <w:rPr>
          <w:b/>
          <w:bCs/>
          <w:lang w:val="fr-FR"/>
        </w:rPr>
        <w:t>9.3</w:t>
      </w:r>
      <w:r>
        <w:rPr>
          <w:lang w:val="fr-FR"/>
        </w:rPr>
        <w:tab/>
        <w:t xml:space="preserve">L’angle défini au paragraphe </w:t>
      </w:r>
      <w:r w:rsidRPr="00D23E0E">
        <w:rPr>
          <w:b/>
          <w:bCs/>
          <w:lang w:val="fr-FR"/>
        </w:rPr>
        <w:t>9.2</w:t>
      </w:r>
      <w:r>
        <w:rPr>
          <w:lang w:val="fr-FR"/>
        </w:rPr>
        <w:t xml:space="preserve"> ci-dessus doit être mesuré entre l’axe longitudinal du véhicule et un plan vertical parallèle au vecteur de vitesse d’impact, comme indiqué à l’annexe 8, figure 8-1 pour un choc à gauche ou figure</w:t>
      </w:r>
      <w:r w:rsidR="00B4466A">
        <w:rPr>
          <w:lang w:val="fr-FR"/>
        </w:rPr>
        <w:t> </w:t>
      </w:r>
      <w:r>
        <w:rPr>
          <w:lang w:val="fr-FR"/>
        </w:rPr>
        <w:t>8-2 pour un choc à droite. ».</w:t>
      </w:r>
    </w:p>
    <w:p w14:paraId="69FD34A0" w14:textId="77777777" w:rsidR="002B7A37" w:rsidRPr="009479FF" w:rsidRDefault="002B7A37" w:rsidP="008D4D90">
      <w:pPr>
        <w:pStyle w:val="SingleTxtG"/>
        <w:rPr>
          <w:iCs/>
          <w:lang w:val="fr-FR"/>
        </w:rPr>
      </w:pPr>
      <w:r>
        <w:rPr>
          <w:i/>
          <w:iCs/>
          <w:lang w:val="fr-FR"/>
        </w:rPr>
        <w:t>Les paragraphes 8.4 à 8.6</w:t>
      </w:r>
      <w:r>
        <w:rPr>
          <w:lang w:val="fr-FR"/>
        </w:rPr>
        <w:t xml:space="preserve"> deviennent les paragraphes 9.4 à 9.6.</w:t>
      </w:r>
    </w:p>
    <w:p w14:paraId="31D8D064" w14:textId="71ED858C" w:rsidR="002B7A37" w:rsidRPr="009479FF" w:rsidRDefault="002B7A37" w:rsidP="008D4D90">
      <w:pPr>
        <w:pStyle w:val="SingleTxtG"/>
        <w:rPr>
          <w:i/>
          <w:lang w:val="fr-FR"/>
        </w:rPr>
      </w:pPr>
      <w:r w:rsidRPr="00D23E0E">
        <w:rPr>
          <w:i/>
          <w:iCs/>
          <w:lang w:val="fr-FR"/>
        </w:rPr>
        <w:t>Ajouter la nouvelle annexe 11</w:t>
      </w:r>
      <w:r>
        <w:rPr>
          <w:lang w:val="fr-FR"/>
        </w:rPr>
        <w:t>, libellée comme suit</w:t>
      </w:r>
      <w:r w:rsidR="00B4466A">
        <w:rPr>
          <w:lang w:val="fr-FR"/>
        </w:rPr>
        <w:t> </w:t>
      </w:r>
      <w:r>
        <w:rPr>
          <w:lang w:val="fr-FR"/>
        </w:rPr>
        <w:t>:</w:t>
      </w:r>
    </w:p>
    <w:p w14:paraId="65BF663D" w14:textId="77777777" w:rsidR="002B7A37" w:rsidRPr="009479FF" w:rsidRDefault="002B7A37" w:rsidP="002B7A37">
      <w:pPr>
        <w:pStyle w:val="HChG"/>
        <w:rPr>
          <w:lang w:val="fr-FR"/>
        </w:rPr>
      </w:pPr>
      <w:r w:rsidRPr="00B4466A">
        <w:rPr>
          <w:b w:val="0"/>
          <w:sz w:val="20"/>
          <w:lang w:val="fr-FR"/>
        </w:rPr>
        <w:t>« </w:t>
      </w:r>
      <w:r>
        <w:rPr>
          <w:bCs/>
          <w:lang w:val="fr-FR"/>
        </w:rPr>
        <w:t>Annexe 11</w:t>
      </w:r>
    </w:p>
    <w:p w14:paraId="7AC23129" w14:textId="77777777" w:rsidR="002B7A37" w:rsidRPr="009479FF" w:rsidRDefault="002B7A37" w:rsidP="00B4466A">
      <w:pPr>
        <w:pStyle w:val="HChG"/>
        <w:rPr>
          <w:lang w:val="fr-FR"/>
        </w:rPr>
      </w:pPr>
      <w:r>
        <w:rPr>
          <w:lang w:val="fr-FR"/>
        </w:rPr>
        <w:tab/>
      </w:r>
      <w:r>
        <w:rPr>
          <w:lang w:val="fr-FR"/>
        </w:rPr>
        <w:tab/>
        <w:t>Procédures d’essai applicables à la protection des occupants des véhicules électriques contre tout contact avec les éléments à haute tension et contre toute fuite d’électrolyte</w:t>
      </w:r>
    </w:p>
    <w:p w14:paraId="06E4ED88" w14:textId="77777777" w:rsidR="002B7A37" w:rsidRPr="009479FF" w:rsidRDefault="002B7A37" w:rsidP="00B4466A">
      <w:pPr>
        <w:pStyle w:val="SingleTxtG"/>
        <w:ind w:left="2268"/>
        <w:rPr>
          <w:b/>
          <w:lang w:val="fr-FR"/>
        </w:rPr>
      </w:pPr>
      <w:r>
        <w:rPr>
          <w:b/>
          <w:bCs/>
          <w:lang w:val="fr-FR"/>
        </w:rPr>
        <w:t>On trouvera dans la présente annexe la description des procédures d’essai visant à déterminer la conformité avec les dispositions du paragraphe 5.6 du présent Règlement, relatives à la sécurité électrique.</w:t>
      </w:r>
      <w:r>
        <w:rPr>
          <w:lang w:val="fr-FR"/>
        </w:rPr>
        <w:t xml:space="preserve"> </w:t>
      </w:r>
    </w:p>
    <w:p w14:paraId="177922CC" w14:textId="77777777" w:rsidR="002B7A37" w:rsidRPr="009479FF" w:rsidRDefault="002B7A37" w:rsidP="008D4D90">
      <w:pPr>
        <w:pStyle w:val="SingleTxtG"/>
        <w:ind w:left="2268" w:hanging="1134"/>
        <w:rPr>
          <w:b/>
          <w:lang w:val="fr-FR"/>
        </w:rPr>
      </w:pPr>
      <w:r w:rsidRPr="00D23E0E">
        <w:rPr>
          <w:b/>
          <w:bCs/>
          <w:lang w:val="fr-FR"/>
        </w:rPr>
        <w:t>1.</w:t>
      </w:r>
      <w:r>
        <w:rPr>
          <w:lang w:val="fr-FR"/>
        </w:rPr>
        <w:tab/>
      </w:r>
      <w:r>
        <w:rPr>
          <w:b/>
          <w:bCs/>
          <w:lang w:val="fr-FR"/>
        </w:rPr>
        <w:t>Montage d’essai et matériel</w:t>
      </w:r>
    </w:p>
    <w:p w14:paraId="1D389BEB" w14:textId="77777777" w:rsidR="002B7A37" w:rsidRPr="009479FF" w:rsidRDefault="002B7A37" w:rsidP="00B4466A">
      <w:pPr>
        <w:pStyle w:val="SingleTxtG"/>
        <w:ind w:left="2268"/>
        <w:rPr>
          <w:b/>
          <w:lang w:val="fr-FR"/>
        </w:rPr>
      </w:pPr>
      <w:r>
        <w:rPr>
          <w:b/>
          <w:bCs/>
          <w:lang w:val="fr-FR"/>
        </w:rPr>
        <w:t>Si l’on utilise une fonction de déconnexion de la haute tension, les mesures doivent être prises en amont et en aval du dispositif de déconnexion.</w:t>
      </w:r>
    </w:p>
    <w:p w14:paraId="1FC23581" w14:textId="77777777" w:rsidR="002B7A37" w:rsidRPr="009479FF" w:rsidRDefault="002B7A37" w:rsidP="00B4466A">
      <w:pPr>
        <w:pStyle w:val="SingleTxtG"/>
        <w:ind w:left="2268"/>
        <w:rPr>
          <w:b/>
          <w:lang w:val="fr-FR"/>
        </w:rPr>
      </w:pPr>
      <w:r>
        <w:rPr>
          <w:b/>
          <w:noProof/>
          <w:lang w:eastAsia="nl-NL"/>
        </w:rPr>
        <mc:AlternateContent>
          <mc:Choice Requires="wps">
            <w:drawing>
              <wp:anchor distT="0" distB="0" distL="114300" distR="114300" simplePos="0" relativeHeight="251663360" behindDoc="0" locked="0" layoutInCell="1" allowOverlap="1" wp14:anchorId="0821E388" wp14:editId="17228238">
                <wp:simplePos x="0" y="0"/>
                <wp:positionH relativeFrom="column">
                  <wp:posOffset>4641850</wp:posOffset>
                </wp:positionH>
                <wp:positionV relativeFrom="paragraph">
                  <wp:posOffset>8207375</wp:posOffset>
                </wp:positionV>
                <wp:extent cx="723900" cy="699135"/>
                <wp:effectExtent l="0" t="0" r="0" b="5715"/>
                <wp:wrapNone/>
                <wp:docPr id="709" name="Tekstvak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4D178" w14:textId="77777777" w:rsidR="002B7A37" w:rsidRDefault="002B7A37" w:rsidP="002B7A37">
                            <w:pPr>
                              <w:rPr>
                                <w:rFonts w:ascii="Arial" w:hAnsi="Arial" w:cs="Arial"/>
                                <w:sz w:val="18"/>
                                <w:szCs w:val="24"/>
                                <w:lang w:val="de-DE"/>
                              </w:rPr>
                            </w:pPr>
                          </w:p>
                          <w:p w14:paraId="6F34AD73" w14:textId="77777777" w:rsidR="002B7A37" w:rsidRDefault="002B7A37" w:rsidP="002B7A37">
                            <w:pPr>
                              <w:rPr>
                                <w:rFonts w:ascii="Arial" w:hAnsi="Arial" w:cs="Arial"/>
                                <w:sz w:val="18"/>
                              </w:rPr>
                            </w:pPr>
                            <w:r>
                              <w:rPr>
                                <w:lang w:val="fr-FR"/>
                              </w:rPr>
                              <w:t xml:space="preserve">SRSE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1E388" id="_x0000_t202" coordsize="21600,21600" o:spt="202" path="m,l,21600r21600,l21600,xe">
                <v:stroke joinstyle="miter"/>
                <v:path gradientshapeok="t" o:connecttype="rect"/>
              </v:shapetype>
              <v:shape id="Tekstvak 709" o:spid="_x0000_s1026" type="#_x0000_t202" style="position:absolute;left:0;text-align:left;margin-left:365.5pt;margin-top:646.25pt;width:57pt;height:5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" filled="f" stroked="f">
                <v:textbox>
                  <w:txbxContent>
                    <w:p w14:paraId="3394D178" w14:textId="77777777" w:rsidR="002B7A37" w:rsidRDefault="002B7A37" w:rsidP="002B7A37">
                      <w:pPr>
                        <w:rPr>
                          <w:rFonts w:ascii="Arial" w:hAnsi="Arial" w:cs="Arial"/>
                          <w:sz w:val="18"/>
                          <w:szCs w:val="24"/>
                          <w:lang w:val="de-DE"/>
                        </w:rPr>
                      </w:pPr>
                    </w:p>
                    <w:p w14:paraId="6F34AD73" w14:textId="77777777" w:rsidR="002B7A37" w:rsidRDefault="002B7A37" w:rsidP="002B7A37">
                      <w:pPr>
                        <w:rPr>
                          <w:rFonts w:ascii="Arial" w:hAnsi="Arial" w:cs="Arial"/>
                          <w:sz w:val="18"/>
                        </w:rPr>
                      </w:pPr>
                      <w:r>
                        <w:rPr>
                          <w:lang w:val="fr-FR"/>
                        </w:rPr>
                        <w:t xml:space="preserve">SRSE </w:t>
                      </w:r>
                    </w:p>
                  </w:txbxContent>
                </v:textbox>
              </v:shape>
            </w:pict>
          </mc:Fallback>
        </mc:AlternateContent>
      </w:r>
      <w:r>
        <w:rPr>
          <w:b/>
          <w:noProof/>
          <w:lang w:eastAsia="nl-NL"/>
        </w:rPr>
        <mc:AlternateContent>
          <mc:Choice Requires="wps">
            <w:drawing>
              <wp:anchor distT="0" distB="0" distL="114300" distR="114300" simplePos="0" relativeHeight="251662336" behindDoc="0" locked="0" layoutInCell="1" allowOverlap="1" wp14:anchorId="21EA5F75" wp14:editId="375CDF6D">
                <wp:simplePos x="0" y="0"/>
                <wp:positionH relativeFrom="column">
                  <wp:posOffset>2622550</wp:posOffset>
                </wp:positionH>
                <wp:positionV relativeFrom="paragraph">
                  <wp:posOffset>8250555</wp:posOffset>
                </wp:positionV>
                <wp:extent cx="1028700" cy="276860"/>
                <wp:effectExtent l="0" t="0" r="0" b="8890"/>
                <wp:wrapNone/>
                <wp:docPr id="708" name="Tekstvak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A57CB" w14:textId="77777777" w:rsidR="002B7A37" w:rsidRDefault="002B7A37" w:rsidP="002B7A37">
                            <w:pPr>
                              <w:rPr>
                                <w:rFonts w:ascii="Arial" w:hAnsi="Arial" w:cs="Arial"/>
                                <w:sz w:val="18"/>
                              </w:rPr>
                            </w:pPr>
                            <w:r>
                              <w:rPr>
                                <w:lang w:val="fr-FR"/>
                              </w:rPr>
                              <w:t>Système de traction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5F75" id="Tekstvak 708" o:spid="_x0000_s1027" type="#_x0000_t202" style="position:absolute;left:0;text-align:left;margin-left:206.5pt;margin-top:649.65pt;width:81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" filled="f" stroked="f">
                <v:textbox>
                  <w:txbxContent>
                    <w:p w14:paraId="389A57CB" w14:textId="77777777" w:rsidR="002B7A37" w:rsidRDefault="002B7A37" w:rsidP="002B7A37">
                      <w:pPr>
                        <w:rPr>
                          <w:rFonts w:ascii="Arial" w:hAnsi="Arial" w:cs="Arial"/>
                          <w:sz w:val="18"/>
                        </w:rPr>
                      </w:pPr>
                      <w:r>
                        <w:rPr>
                          <w:lang w:val="fr-FR"/>
                        </w:rPr>
                        <w:t>Système de traction</w:t>
                      </w:r>
                    </w:p>
                  </w:txbxContent>
                </v:textbox>
              </v:shape>
            </w:pict>
          </mc:Fallback>
        </mc:AlternateContent>
      </w:r>
      <w:r>
        <w:rPr>
          <w:b/>
          <w:noProof/>
          <w:lang w:eastAsia="nl-NL"/>
        </w:rPr>
        <mc:AlternateContent>
          <mc:Choice Requires="wps">
            <w:drawing>
              <wp:anchor distT="0" distB="0" distL="114300" distR="114300" simplePos="0" relativeHeight="251661312" behindDoc="0" locked="0" layoutInCell="1" allowOverlap="1" wp14:anchorId="00F41CDD" wp14:editId="3003E99B">
                <wp:simplePos x="0" y="0"/>
                <wp:positionH relativeFrom="column">
                  <wp:posOffset>4928870</wp:posOffset>
                </wp:positionH>
                <wp:positionV relativeFrom="paragraph">
                  <wp:posOffset>8609965</wp:posOffset>
                </wp:positionV>
                <wp:extent cx="314325" cy="328930"/>
                <wp:effectExtent l="0" t="0" r="0" b="0"/>
                <wp:wrapNone/>
                <wp:docPr id="707" name="Tekstvak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2F8C8" w14:textId="77777777" w:rsidR="002B7A37" w:rsidRDefault="002B7A37" w:rsidP="002B7A37">
                            <w:pPr>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0F41CDD" id="Tekstvak 707" o:spid="_x0000_s1028" type="#_x0000_t202" style="position:absolute;left:0;text-align:left;margin-left:388.1pt;margin-top:677.95pt;width:24.7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" filled="f" fillcolor="#0c9" stroked="f">
                <v:textbox>
                  <w:txbxContent>
                    <w:p w14:paraId="2EA2F8C8" w14:textId="77777777" w:rsidR="002B7A37" w:rsidRDefault="002B7A37" w:rsidP="002B7A37">
                      <w:pPr>
                        <w:rPr>
                          <w:sz w:val="32"/>
                          <w:szCs w:val="24"/>
                        </w:rPr>
                      </w:pPr>
                      <w:r>
                        <w:rPr>
                          <w:sz w:val="32"/>
                          <w:szCs w:val="24"/>
                        </w:rPr>
                        <w:t>-</w:t>
                      </w:r>
                    </w:p>
                  </w:txbxContent>
                </v:textbox>
              </v:shape>
            </w:pict>
          </mc:Fallback>
        </mc:AlternateContent>
      </w:r>
      <w:r>
        <w:rPr>
          <w:b/>
          <w:noProof/>
          <w:lang w:eastAsia="nl-NL"/>
        </w:rPr>
        <mc:AlternateContent>
          <mc:Choice Requires="wps">
            <w:drawing>
              <wp:anchor distT="0" distB="0" distL="114300" distR="114300" simplePos="0" relativeHeight="251660288" behindDoc="0" locked="0" layoutInCell="1" allowOverlap="1" wp14:anchorId="2125B64E" wp14:editId="3ECF88E5">
                <wp:simplePos x="0" y="0"/>
                <wp:positionH relativeFrom="column">
                  <wp:posOffset>1242695</wp:posOffset>
                </wp:positionH>
                <wp:positionV relativeFrom="paragraph">
                  <wp:posOffset>8611235</wp:posOffset>
                </wp:positionV>
                <wp:extent cx="342900" cy="327660"/>
                <wp:effectExtent l="0" t="0" r="0" b="0"/>
                <wp:wrapNone/>
                <wp:docPr id="706" name="Tekstvak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B893" w14:textId="77777777" w:rsidR="002B7A37" w:rsidRDefault="002B7A37" w:rsidP="002B7A37">
                            <w:pPr>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125B64E" id="Tekstvak 706" o:spid="_x0000_s1029" type="#_x0000_t202" style="position:absolute;left:0;text-align:left;margin-left:97.85pt;margin-top:678.05pt;width:27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" filled="f" fillcolor="#0c9" stroked="f">
                <v:textbox>
                  <w:txbxContent>
                    <w:p w14:paraId="4C2EB893" w14:textId="77777777" w:rsidR="002B7A37" w:rsidRDefault="002B7A37" w:rsidP="002B7A37">
                      <w:pPr>
                        <w:rPr>
                          <w:sz w:val="30"/>
                          <w:szCs w:val="24"/>
                        </w:rPr>
                      </w:pPr>
                      <w:r>
                        <w:rPr>
                          <w:sz w:val="30"/>
                          <w:szCs w:val="24"/>
                        </w:rPr>
                        <w:t>-</w:t>
                      </w:r>
                    </w:p>
                  </w:txbxContent>
                </v:textbox>
              </v:shape>
            </w:pict>
          </mc:Fallback>
        </mc:AlternateContent>
      </w:r>
      <w:r>
        <w:rPr>
          <w:b/>
          <w:noProof/>
          <w:lang w:eastAsia="nl-NL"/>
        </w:rPr>
        <mc:AlternateContent>
          <mc:Choice Requires="wps">
            <w:drawing>
              <wp:anchor distT="0" distB="0" distL="114300" distR="114300" simplePos="0" relativeHeight="251659264" behindDoc="0" locked="0" layoutInCell="1" allowOverlap="1" wp14:anchorId="3AC37E04" wp14:editId="78C61FE3">
                <wp:simplePos x="0" y="0"/>
                <wp:positionH relativeFrom="column">
                  <wp:posOffset>3719195</wp:posOffset>
                </wp:positionH>
                <wp:positionV relativeFrom="paragraph">
                  <wp:posOffset>8346440</wp:posOffset>
                </wp:positionV>
                <wp:extent cx="381000" cy="247650"/>
                <wp:effectExtent l="0" t="0" r="0" b="0"/>
                <wp:wrapNone/>
                <wp:docPr id="705" name="Tekstvak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BDD26" w14:textId="77777777" w:rsidR="002B7A37" w:rsidRDefault="002B7A37" w:rsidP="002B7A37">
                            <w:r>
                              <w:rPr>
                                <w:lang w:val="fr-FR"/>
                              </w:rPr>
                              <w:t>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7E04" id="Tekstvak 705" o:spid="_x0000_s1030" type="#_x0000_t202" style="position:absolute;left:0;text-align:left;margin-left:292.85pt;margin-top:657.2pt;width:3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" stroked="f">
                <v:textbox>
                  <w:txbxContent>
                    <w:p w14:paraId="3C6BDD26" w14:textId="77777777" w:rsidR="002B7A37" w:rsidRDefault="002B7A37" w:rsidP="002B7A37">
                      <w:r>
                        <w:rPr>
                          <w:lang w:val="fr-FR"/>
                        </w:rPr>
                        <w:t>Vb</w:t>
                      </w:r>
                    </w:p>
                  </w:txbxContent>
                </v:textbox>
              </v:shape>
            </w:pict>
          </mc:Fallback>
        </mc:AlternateContent>
      </w:r>
      <w:r>
        <w:rPr>
          <w:b/>
          <w:bCs/>
          <w:lang w:val="fr-FR"/>
        </w:rPr>
        <w:t>Toutefois, si la fonction de déconnexion de la haute tension est intégrée au SRSEE ou au système de conversion de l’énergie et si le rail haute tension du SRSEE ou le système de conversion bénéficient du degré de protection IPXXB à la suite du choc, les mesures peuvent être prises uniquement en aval du dispositif de déconnexion.</w:t>
      </w:r>
    </w:p>
    <w:p w14:paraId="788B5300" w14:textId="77777777" w:rsidR="002B7A37" w:rsidRPr="009479FF" w:rsidRDefault="002B7A37" w:rsidP="00B4466A">
      <w:pPr>
        <w:pStyle w:val="SingleTxtG"/>
        <w:ind w:left="2268"/>
        <w:rPr>
          <w:b/>
          <w:lang w:val="fr-FR"/>
        </w:rPr>
      </w:pPr>
      <w:r>
        <w:rPr>
          <w:b/>
          <w:bCs/>
          <w:lang w:val="fr-FR"/>
        </w:rPr>
        <w:t>Le voltmètre utilisé pour l’essai doit mesurer les valeurs du courant continu et avoir une résistance interne minimale de 10 MΩ.</w:t>
      </w:r>
    </w:p>
    <w:p w14:paraId="13FC2F99" w14:textId="77777777" w:rsidR="002B7A37" w:rsidRPr="009479FF" w:rsidRDefault="002B7A37" w:rsidP="008D4D90">
      <w:pPr>
        <w:pStyle w:val="SingleTxtG"/>
        <w:ind w:left="2268" w:hanging="1134"/>
        <w:rPr>
          <w:b/>
          <w:lang w:val="fr-FR"/>
        </w:rPr>
      </w:pPr>
      <w:r w:rsidRPr="00DC5D60">
        <w:rPr>
          <w:b/>
          <w:bCs/>
          <w:lang w:val="fr-FR"/>
        </w:rPr>
        <w:t>2.</w:t>
      </w:r>
      <w:r>
        <w:rPr>
          <w:lang w:val="fr-FR"/>
        </w:rPr>
        <w:tab/>
      </w:r>
      <w:r>
        <w:rPr>
          <w:b/>
          <w:bCs/>
          <w:lang w:val="fr-FR"/>
        </w:rPr>
        <w:t>Les instructions ci-après peuvent être appliquées pour mesurer la tension.</w:t>
      </w:r>
    </w:p>
    <w:p w14:paraId="4CBAB927" w14:textId="77777777" w:rsidR="002B7A37" w:rsidRPr="009479FF" w:rsidRDefault="002B7A37" w:rsidP="00B4466A">
      <w:pPr>
        <w:pStyle w:val="SingleTxtG"/>
        <w:ind w:left="2268"/>
        <w:rPr>
          <w:b/>
          <w:bCs/>
          <w:lang w:val="fr-FR"/>
        </w:rPr>
      </w:pPr>
      <w:r>
        <w:rPr>
          <w:b/>
          <w:bCs/>
          <w:lang w:val="fr-FR"/>
        </w:rPr>
        <w:t>À la suite du</w:t>
      </w:r>
      <w:r w:rsidRPr="00DC5D60">
        <w:rPr>
          <w:b/>
          <w:bCs/>
          <w:lang w:val="fr-FR"/>
        </w:rPr>
        <w:t xml:space="preserve"> choc, mesurer les tensions des rails haute tension (U</w:t>
      </w:r>
      <w:r w:rsidRPr="00DC5D60">
        <w:rPr>
          <w:b/>
          <w:bCs/>
          <w:vertAlign w:val="subscript"/>
          <w:lang w:val="fr-FR"/>
        </w:rPr>
        <w:t>b</w:t>
      </w:r>
      <w:r w:rsidRPr="00DC5D60">
        <w:rPr>
          <w:b/>
          <w:bCs/>
          <w:lang w:val="fr-FR"/>
        </w:rPr>
        <w:t>, U</w:t>
      </w:r>
      <w:r w:rsidRPr="00DC5D60">
        <w:rPr>
          <w:b/>
          <w:bCs/>
          <w:vertAlign w:val="subscript"/>
          <w:lang w:val="fr-FR"/>
        </w:rPr>
        <w:t>1</w:t>
      </w:r>
      <w:r w:rsidRPr="00DC5D60">
        <w:rPr>
          <w:b/>
          <w:bCs/>
          <w:lang w:val="fr-FR"/>
        </w:rPr>
        <w:t xml:space="preserve"> et U</w:t>
      </w:r>
      <w:r w:rsidRPr="00DC5D60">
        <w:rPr>
          <w:b/>
          <w:bCs/>
          <w:vertAlign w:val="subscript"/>
          <w:lang w:val="fr-FR"/>
        </w:rPr>
        <w:t>2</w:t>
      </w:r>
      <w:r w:rsidRPr="00DC5D60">
        <w:rPr>
          <w:b/>
          <w:bCs/>
          <w:lang w:val="fr-FR"/>
        </w:rPr>
        <w:t xml:space="preserve"> sur la figure 1 ci-après).</w:t>
      </w:r>
    </w:p>
    <w:p w14:paraId="325DEC54" w14:textId="77777777" w:rsidR="002B7A37" w:rsidRPr="009479FF" w:rsidRDefault="002B7A37" w:rsidP="00B4466A">
      <w:pPr>
        <w:pStyle w:val="SingleTxtG"/>
        <w:ind w:left="2268"/>
        <w:rPr>
          <w:b/>
          <w:lang w:val="fr-FR"/>
        </w:rPr>
      </w:pPr>
      <w:r>
        <w:rPr>
          <w:b/>
          <w:bCs/>
          <w:lang w:val="fr-FR"/>
        </w:rPr>
        <w:t>La tension doit être mesurée entre 10 et 60 s après le choc.</w:t>
      </w:r>
    </w:p>
    <w:p w14:paraId="58402037" w14:textId="77777777" w:rsidR="002B7A37" w:rsidRPr="009479FF" w:rsidRDefault="002B7A37" w:rsidP="00B4466A">
      <w:pPr>
        <w:pStyle w:val="SingleTxtG"/>
        <w:ind w:left="2268"/>
        <w:rPr>
          <w:b/>
          <w:lang w:val="fr-FR"/>
        </w:rPr>
      </w:pPr>
      <w:r>
        <w:rPr>
          <w:lang w:val="fr-FR"/>
        </w:rPr>
        <w:tab/>
      </w:r>
      <w:r>
        <w:rPr>
          <w:b/>
          <w:bCs/>
          <w:lang w:val="fr-FR"/>
        </w:rPr>
        <w:t>Cette procédure n’est pas applicable si l’essai est effectué alors que la chaîne de traction électrique n’est pas sous tension.</w:t>
      </w:r>
      <w:bookmarkStart w:id="7" w:name="_Toc355617346"/>
    </w:p>
    <w:p w14:paraId="2F20C5AF" w14:textId="77777777" w:rsidR="002B7A37" w:rsidRPr="009479FF" w:rsidRDefault="002B7A37" w:rsidP="002B7A37">
      <w:pPr>
        <w:suppressAutoHyphens w:val="0"/>
        <w:spacing w:line="240" w:lineRule="auto"/>
        <w:rPr>
          <w:b/>
          <w:lang w:val="fr-FR"/>
        </w:rPr>
      </w:pPr>
      <w:r w:rsidRPr="009479FF">
        <w:rPr>
          <w:b/>
          <w:lang w:val="fr-FR"/>
        </w:rPr>
        <w:br w:type="page"/>
      </w:r>
    </w:p>
    <w:p w14:paraId="6ECB7087" w14:textId="1F04D762" w:rsidR="002B7A37" w:rsidRDefault="002B7A37" w:rsidP="005E260D">
      <w:pPr>
        <w:pStyle w:val="Titre1"/>
        <w:spacing w:after="120"/>
        <w:ind w:right="1134"/>
        <w:rPr>
          <w:b/>
          <w:bCs/>
          <w:vertAlign w:val="subscript"/>
          <w:lang w:val="fr-FR"/>
        </w:rPr>
      </w:pPr>
      <w:r w:rsidRPr="00FD29BD">
        <w:rPr>
          <w:b/>
          <w:bCs/>
          <w:lang w:val="fr-FR"/>
        </w:rPr>
        <w:t>Figure 1</w:t>
      </w:r>
      <w:bookmarkEnd w:id="7"/>
      <w:r w:rsidR="005E260D">
        <w:rPr>
          <w:lang w:val="fr-FR"/>
        </w:rPr>
        <w:br/>
      </w:r>
      <w:r w:rsidRPr="003657E0">
        <w:rPr>
          <w:b/>
          <w:bCs/>
          <w:lang w:val="fr-FR"/>
        </w:rPr>
        <w:t>Mesure de U</w:t>
      </w:r>
      <w:r w:rsidRPr="003657E0">
        <w:rPr>
          <w:b/>
          <w:bCs/>
          <w:vertAlign w:val="subscript"/>
          <w:lang w:val="fr-FR"/>
        </w:rPr>
        <w:t>b</w:t>
      </w:r>
      <w:r w:rsidRPr="003657E0">
        <w:rPr>
          <w:b/>
          <w:bCs/>
          <w:lang w:val="fr-FR"/>
        </w:rPr>
        <w:t>, U</w:t>
      </w:r>
      <w:r w:rsidRPr="003657E0">
        <w:rPr>
          <w:b/>
          <w:bCs/>
          <w:vertAlign w:val="subscript"/>
          <w:lang w:val="fr-FR"/>
        </w:rPr>
        <w:t>1</w:t>
      </w:r>
      <w:r w:rsidRPr="003657E0">
        <w:rPr>
          <w:b/>
          <w:bCs/>
          <w:lang w:val="fr-FR"/>
        </w:rPr>
        <w:t xml:space="preserve"> et U</w:t>
      </w:r>
      <w:r w:rsidRPr="003657E0">
        <w:rPr>
          <w:b/>
          <w:bCs/>
          <w:vertAlign w:val="subscript"/>
          <w:lang w:val="fr-FR"/>
        </w:rPr>
        <w:t>2</w:t>
      </w:r>
    </w:p>
    <w:p w14:paraId="3F944659" w14:textId="06D0EF54" w:rsidR="005E260D" w:rsidRDefault="005E260D" w:rsidP="002B7A37">
      <w:pPr>
        <w:suppressAutoHyphens w:val="0"/>
        <w:spacing w:after="120" w:line="240" w:lineRule="auto"/>
        <w:ind w:left="1134" w:right="1134"/>
        <w:rPr>
          <w:b/>
          <w:bCs/>
          <w:vertAlign w:val="subscript"/>
          <w:lang w:val="fr-FR"/>
        </w:rPr>
      </w:pPr>
      <w:r>
        <w:rPr>
          <w:noProof/>
        </w:rPr>
        <w:drawing>
          <wp:inline distT="0" distB="0" distL="0" distR="0" wp14:anchorId="187A2636" wp14:editId="35E7760D">
            <wp:extent cx="4680000" cy="2959112"/>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2959112"/>
                    </a:xfrm>
                    <a:prstGeom prst="rect">
                      <a:avLst/>
                    </a:prstGeom>
                  </pic:spPr>
                </pic:pic>
              </a:graphicData>
            </a:graphic>
          </wp:inline>
        </w:drawing>
      </w:r>
    </w:p>
    <w:p w14:paraId="438A1198" w14:textId="77777777" w:rsidR="002B7A37" w:rsidRPr="009479FF" w:rsidRDefault="002B7A37" w:rsidP="005E260D">
      <w:pPr>
        <w:pStyle w:val="SingleTxtG"/>
        <w:spacing w:before="240"/>
        <w:ind w:left="2268" w:hanging="1134"/>
        <w:rPr>
          <w:b/>
          <w:lang w:val="fr-FR"/>
        </w:rPr>
      </w:pPr>
      <w:r w:rsidRPr="007C5593">
        <w:rPr>
          <w:b/>
          <w:bCs/>
          <w:lang w:val="fr-FR"/>
        </w:rPr>
        <w:t>3.</w:t>
      </w:r>
      <w:r>
        <w:rPr>
          <w:lang w:val="fr-FR"/>
        </w:rPr>
        <w:tab/>
      </w:r>
      <w:r>
        <w:rPr>
          <w:b/>
          <w:bCs/>
          <w:lang w:val="fr-FR"/>
        </w:rPr>
        <w:t>Procédure d’évaluation du fonctionnement avec un faible niveau d’énergie électrique</w:t>
      </w:r>
    </w:p>
    <w:p w14:paraId="22D1BAE1" w14:textId="1C323802" w:rsidR="002B7A37" w:rsidRPr="004721E7" w:rsidRDefault="002B7A37" w:rsidP="005E260D">
      <w:pPr>
        <w:pStyle w:val="SingleTxtG"/>
        <w:ind w:left="2268"/>
        <w:rPr>
          <w:b/>
          <w:bCs/>
          <w:lang w:val="fr-FR"/>
        </w:rPr>
      </w:pPr>
      <w:r>
        <w:rPr>
          <w:lang w:val="fr-FR"/>
        </w:rPr>
        <w:tab/>
      </w:r>
      <w:r w:rsidRPr="004721E7">
        <w:rPr>
          <w:b/>
          <w:bCs/>
          <w:lang w:val="fr-FR"/>
        </w:rPr>
        <w:t>Avant le choc, un commutateur S</w:t>
      </w:r>
      <w:r w:rsidRPr="004721E7">
        <w:rPr>
          <w:b/>
          <w:bCs/>
          <w:vertAlign w:val="subscript"/>
          <w:lang w:val="fr-FR"/>
        </w:rPr>
        <w:t>1</w:t>
      </w:r>
      <w:r w:rsidRPr="004721E7">
        <w:rPr>
          <w:b/>
          <w:bCs/>
          <w:lang w:val="fr-FR"/>
        </w:rPr>
        <w:t xml:space="preserve"> et une résistance de décharge connue R</w:t>
      </w:r>
      <w:r w:rsidRPr="004721E7">
        <w:rPr>
          <w:b/>
          <w:bCs/>
          <w:vertAlign w:val="subscript"/>
          <w:lang w:val="fr-FR"/>
        </w:rPr>
        <w:t>e</w:t>
      </w:r>
      <w:r w:rsidRPr="004721E7">
        <w:rPr>
          <w:b/>
          <w:bCs/>
          <w:lang w:val="fr-FR"/>
        </w:rPr>
        <w:t xml:space="preserve"> sont branchés en parallèle à la capacitance requise (voir </w:t>
      </w:r>
      <w:r>
        <w:rPr>
          <w:b/>
          <w:bCs/>
          <w:lang w:val="fr-FR"/>
        </w:rPr>
        <w:t xml:space="preserve">la </w:t>
      </w:r>
      <w:r w:rsidRPr="004721E7">
        <w:rPr>
          <w:b/>
          <w:bCs/>
          <w:lang w:val="fr-FR"/>
        </w:rPr>
        <w:t>fig</w:t>
      </w:r>
      <w:r>
        <w:rPr>
          <w:b/>
          <w:bCs/>
          <w:lang w:val="fr-FR"/>
        </w:rPr>
        <w:t>ure</w:t>
      </w:r>
      <w:r w:rsidRPr="004721E7">
        <w:rPr>
          <w:b/>
          <w:bCs/>
          <w:lang w:val="fr-FR"/>
        </w:rPr>
        <w:t xml:space="preserve"> 2 ci</w:t>
      </w:r>
      <w:r w:rsidR="005E260D">
        <w:rPr>
          <w:b/>
          <w:bCs/>
          <w:lang w:val="fr-FR"/>
        </w:rPr>
        <w:noBreakHyphen/>
      </w:r>
      <w:r w:rsidRPr="004721E7">
        <w:rPr>
          <w:b/>
          <w:bCs/>
          <w:lang w:val="fr-FR"/>
        </w:rPr>
        <w:t>après)</w:t>
      </w:r>
      <w:r>
        <w:rPr>
          <w:b/>
          <w:bCs/>
          <w:lang w:val="fr-FR"/>
        </w:rPr>
        <w:t>.</w:t>
      </w:r>
    </w:p>
    <w:p w14:paraId="62FB083A" w14:textId="10E910B8" w:rsidR="002B7A37" w:rsidRDefault="002B7A37" w:rsidP="008849D2">
      <w:pPr>
        <w:pStyle w:val="SingleTxtG"/>
        <w:ind w:left="2835" w:hanging="567"/>
        <w:rPr>
          <w:b/>
          <w:bCs/>
          <w:lang w:val="fr-FR"/>
        </w:rPr>
      </w:pPr>
      <w:r w:rsidRPr="004721E7">
        <w:rPr>
          <w:b/>
          <w:bCs/>
          <w:lang w:val="fr-FR"/>
        </w:rPr>
        <w:t>a)</w:t>
      </w:r>
      <w:r w:rsidRPr="004721E7">
        <w:rPr>
          <w:b/>
          <w:bCs/>
          <w:lang w:val="fr-FR"/>
        </w:rPr>
        <w:tab/>
        <w:t>Entre 10 et 60 s après le choc, fermer le commutateur S</w:t>
      </w:r>
      <w:r w:rsidRPr="004721E7">
        <w:rPr>
          <w:b/>
          <w:bCs/>
          <w:vertAlign w:val="subscript"/>
          <w:lang w:val="fr-FR"/>
        </w:rPr>
        <w:t>1</w:t>
      </w:r>
      <w:r>
        <w:rPr>
          <w:b/>
          <w:bCs/>
          <w:lang w:val="fr-FR"/>
        </w:rPr>
        <w:t>,</w:t>
      </w:r>
      <w:r w:rsidRPr="004721E7">
        <w:rPr>
          <w:b/>
          <w:bCs/>
          <w:lang w:val="fr-FR"/>
        </w:rPr>
        <w:t xml:space="preserve"> puis mesurer et consigner la tension U</w:t>
      </w:r>
      <w:r w:rsidRPr="004721E7">
        <w:rPr>
          <w:b/>
          <w:bCs/>
          <w:vertAlign w:val="subscript"/>
          <w:lang w:val="fr-FR"/>
        </w:rPr>
        <w:t>b</w:t>
      </w:r>
      <w:r w:rsidRPr="004721E7">
        <w:rPr>
          <w:b/>
          <w:bCs/>
          <w:lang w:val="fr-FR"/>
        </w:rPr>
        <w:t xml:space="preserve"> et l</w:t>
      </w:r>
      <w:r>
        <w:rPr>
          <w:b/>
          <w:bCs/>
          <w:lang w:val="fr-FR"/>
        </w:rPr>
        <w:t>’</w:t>
      </w:r>
      <w:r w:rsidRPr="004721E7">
        <w:rPr>
          <w:b/>
          <w:bCs/>
          <w:lang w:val="fr-FR"/>
        </w:rPr>
        <w:t>intensité I</w:t>
      </w:r>
      <w:r w:rsidRPr="004721E7">
        <w:rPr>
          <w:b/>
          <w:bCs/>
          <w:vertAlign w:val="subscript"/>
          <w:lang w:val="fr-FR"/>
        </w:rPr>
        <w:t>e</w:t>
      </w:r>
      <w:r w:rsidRPr="004721E7">
        <w:rPr>
          <w:b/>
          <w:bCs/>
          <w:lang w:val="fr-FR"/>
        </w:rPr>
        <w:t>. Le produit de la tension U</w:t>
      </w:r>
      <w:r w:rsidRPr="00BA4F4B">
        <w:rPr>
          <w:b/>
          <w:bCs/>
          <w:vertAlign w:val="subscript"/>
          <w:lang w:val="fr-FR"/>
        </w:rPr>
        <w:t>b</w:t>
      </w:r>
      <w:r w:rsidRPr="004721E7">
        <w:rPr>
          <w:b/>
          <w:bCs/>
          <w:lang w:val="fr-FR"/>
        </w:rPr>
        <w:t xml:space="preserve"> par l</w:t>
      </w:r>
      <w:r>
        <w:rPr>
          <w:b/>
          <w:bCs/>
          <w:lang w:val="fr-FR"/>
        </w:rPr>
        <w:t>’</w:t>
      </w:r>
      <w:r w:rsidRPr="004721E7">
        <w:rPr>
          <w:b/>
          <w:bCs/>
          <w:lang w:val="fr-FR"/>
        </w:rPr>
        <w:t>intensité I</w:t>
      </w:r>
      <w:r w:rsidRPr="00BA4F4B">
        <w:rPr>
          <w:b/>
          <w:bCs/>
          <w:vertAlign w:val="subscript"/>
          <w:lang w:val="fr-FR"/>
        </w:rPr>
        <w:t>e</w:t>
      </w:r>
      <w:r w:rsidRPr="004721E7">
        <w:rPr>
          <w:b/>
          <w:bCs/>
          <w:lang w:val="fr-FR"/>
        </w:rPr>
        <w:t xml:space="preserve"> est intégré pour la période qui s</w:t>
      </w:r>
      <w:r>
        <w:rPr>
          <w:b/>
          <w:bCs/>
          <w:lang w:val="fr-FR"/>
        </w:rPr>
        <w:t>’</w:t>
      </w:r>
      <w:r w:rsidRPr="004721E7">
        <w:rPr>
          <w:b/>
          <w:bCs/>
          <w:lang w:val="fr-FR"/>
        </w:rPr>
        <w:t>écoule entre le moment où l</w:t>
      </w:r>
      <w:r>
        <w:rPr>
          <w:b/>
          <w:bCs/>
          <w:lang w:val="fr-FR"/>
        </w:rPr>
        <w:t>’</w:t>
      </w:r>
      <w:r w:rsidRPr="004721E7">
        <w:rPr>
          <w:b/>
          <w:bCs/>
          <w:lang w:val="fr-FR"/>
        </w:rPr>
        <w:t>on ferme le commutateur S</w:t>
      </w:r>
      <w:r w:rsidRPr="00BA4F4B">
        <w:rPr>
          <w:b/>
          <w:bCs/>
          <w:vertAlign w:val="subscript"/>
          <w:lang w:val="fr-FR"/>
        </w:rPr>
        <w:t>1</w:t>
      </w:r>
      <w:r w:rsidRPr="004721E7">
        <w:rPr>
          <w:b/>
          <w:bCs/>
          <w:lang w:val="fr-FR"/>
        </w:rPr>
        <w:t xml:space="preserve"> (tc) et celui où la tension U</w:t>
      </w:r>
      <w:r w:rsidRPr="005E260D">
        <w:rPr>
          <w:b/>
          <w:bCs/>
          <w:vertAlign w:val="subscript"/>
          <w:lang w:val="fr-FR"/>
        </w:rPr>
        <w:t>b</w:t>
      </w:r>
      <w:r w:rsidRPr="004721E7">
        <w:rPr>
          <w:b/>
          <w:bCs/>
          <w:lang w:val="fr-FR"/>
        </w:rPr>
        <w:t xml:space="preserve"> redescend sous le seuil de la haute tension de 60 V CC (th).</w:t>
      </w:r>
      <w:r>
        <w:rPr>
          <w:lang w:val="fr-FR"/>
        </w:rPr>
        <w:t xml:space="preserve"> </w:t>
      </w:r>
      <w:r>
        <w:rPr>
          <w:b/>
          <w:bCs/>
          <w:lang w:val="fr-FR"/>
        </w:rPr>
        <w:t>L’intégration qui en résulte est égale à l’énergie totale (TE) en joules.</w:t>
      </w:r>
    </w:p>
    <w:p w14:paraId="537785A4" w14:textId="47889F55" w:rsidR="002B7A37" w:rsidRPr="003163CD" w:rsidRDefault="005E260D" w:rsidP="005E260D">
      <w:pPr>
        <w:pStyle w:val="SingleTxtG"/>
        <w:ind w:left="2835"/>
        <w:rPr>
          <w:b/>
          <w:bCs/>
          <w:iCs/>
        </w:rPr>
      </w:pPr>
      <w:r>
        <w:rPr>
          <w:noProof/>
        </w:rPr>
        <w:drawing>
          <wp:inline distT="0" distB="0" distL="0" distR="0" wp14:anchorId="2189A9F2" wp14:editId="5ADC1118">
            <wp:extent cx="878088" cy="433754"/>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4662" cy="491339"/>
                    </a:xfrm>
                    <a:prstGeom prst="rect">
                      <a:avLst/>
                    </a:prstGeom>
                  </pic:spPr>
                </pic:pic>
              </a:graphicData>
            </a:graphic>
          </wp:inline>
        </w:drawing>
      </w:r>
    </w:p>
    <w:p w14:paraId="2B4EC5FD" w14:textId="419107D8" w:rsidR="002B7A37" w:rsidRPr="00BA4F4B" w:rsidRDefault="002B7A37" w:rsidP="008849D2">
      <w:pPr>
        <w:pStyle w:val="SingleTxtG"/>
        <w:ind w:left="2835" w:hanging="567"/>
        <w:rPr>
          <w:b/>
          <w:bCs/>
          <w:lang w:val="fr-FR"/>
        </w:rPr>
      </w:pPr>
      <w:r w:rsidRPr="00BA4F4B">
        <w:rPr>
          <w:b/>
          <w:bCs/>
          <w:lang w:val="fr-FR"/>
        </w:rPr>
        <w:t>b)</w:t>
      </w:r>
      <w:r w:rsidRPr="00BA4F4B">
        <w:rPr>
          <w:b/>
          <w:bCs/>
          <w:lang w:val="fr-FR"/>
        </w:rPr>
        <w:tab/>
        <w:t>Si U</w:t>
      </w:r>
      <w:r w:rsidRPr="004501B1">
        <w:rPr>
          <w:b/>
          <w:bCs/>
          <w:vertAlign w:val="subscript"/>
          <w:lang w:val="fr-FR"/>
        </w:rPr>
        <w:t>b</w:t>
      </w:r>
      <w:r w:rsidRPr="00BA4F4B">
        <w:rPr>
          <w:b/>
          <w:bCs/>
          <w:lang w:val="fr-FR"/>
        </w:rPr>
        <w:t xml:space="preserve"> est mesuré entre 10 et 60 s après le choc et </w:t>
      </w:r>
      <w:r>
        <w:rPr>
          <w:b/>
          <w:bCs/>
          <w:lang w:val="fr-FR"/>
        </w:rPr>
        <w:t>si</w:t>
      </w:r>
      <w:r w:rsidRPr="00BA4F4B">
        <w:rPr>
          <w:b/>
          <w:bCs/>
          <w:lang w:val="fr-FR"/>
        </w:rPr>
        <w:t xml:space="preserve"> la capacitance des condensateurs X (C</w:t>
      </w:r>
      <w:r w:rsidRPr="004501B1">
        <w:rPr>
          <w:b/>
          <w:bCs/>
          <w:vertAlign w:val="subscript"/>
          <w:lang w:val="fr-FR"/>
        </w:rPr>
        <w:t>x</w:t>
      </w:r>
      <w:r w:rsidRPr="00BA4F4B">
        <w:rPr>
          <w:b/>
          <w:bCs/>
          <w:lang w:val="fr-FR"/>
        </w:rPr>
        <w:t xml:space="preserve">) </w:t>
      </w:r>
      <w:r>
        <w:rPr>
          <w:b/>
          <w:bCs/>
          <w:lang w:val="fr-FR"/>
        </w:rPr>
        <w:t>a</w:t>
      </w:r>
      <w:r w:rsidRPr="00BA4F4B">
        <w:rPr>
          <w:b/>
          <w:bCs/>
          <w:lang w:val="fr-FR"/>
        </w:rPr>
        <w:t xml:space="preserve"> </w:t>
      </w:r>
      <w:r>
        <w:rPr>
          <w:b/>
          <w:bCs/>
          <w:lang w:val="fr-FR"/>
        </w:rPr>
        <w:t xml:space="preserve">été </w:t>
      </w:r>
      <w:r w:rsidRPr="00BA4F4B">
        <w:rPr>
          <w:b/>
          <w:bCs/>
          <w:lang w:val="fr-FR"/>
        </w:rPr>
        <w:t>fixée par le constructeur, l</w:t>
      </w:r>
      <w:r>
        <w:rPr>
          <w:b/>
          <w:bCs/>
          <w:lang w:val="fr-FR"/>
        </w:rPr>
        <w:t>’</w:t>
      </w:r>
      <w:r w:rsidRPr="00BA4F4B">
        <w:rPr>
          <w:b/>
          <w:bCs/>
          <w:lang w:val="fr-FR"/>
        </w:rPr>
        <w:t xml:space="preserve">énergie totale </w:t>
      </w:r>
      <w:r>
        <w:rPr>
          <w:b/>
          <w:bCs/>
          <w:lang w:val="fr-FR"/>
        </w:rPr>
        <w:t xml:space="preserve">(TE) </w:t>
      </w:r>
      <w:r w:rsidRPr="00BA4F4B">
        <w:rPr>
          <w:b/>
          <w:bCs/>
          <w:lang w:val="fr-FR"/>
        </w:rPr>
        <w:t>s</w:t>
      </w:r>
      <w:r>
        <w:rPr>
          <w:b/>
          <w:bCs/>
          <w:lang w:val="fr-FR"/>
        </w:rPr>
        <w:t>’</w:t>
      </w:r>
      <w:r w:rsidRPr="00BA4F4B">
        <w:rPr>
          <w:b/>
          <w:bCs/>
          <w:lang w:val="fr-FR"/>
        </w:rPr>
        <w:t>obtient au moyen de la formule ci-après</w:t>
      </w:r>
      <w:r w:rsidR="00FD29BD">
        <w:rPr>
          <w:b/>
          <w:bCs/>
          <w:lang w:val="fr-FR"/>
        </w:rPr>
        <w:t> </w:t>
      </w:r>
      <w:r w:rsidRPr="00BA4F4B">
        <w:rPr>
          <w:b/>
          <w:bCs/>
          <w:lang w:val="fr-FR"/>
        </w:rPr>
        <w:t>:</w:t>
      </w:r>
    </w:p>
    <w:p w14:paraId="080E337C" w14:textId="75BAECF0" w:rsidR="002B7A37" w:rsidRPr="00BA4F4B" w:rsidRDefault="002B7A37" w:rsidP="00FD29BD">
      <w:pPr>
        <w:pStyle w:val="SingleTxtG"/>
        <w:ind w:left="2835"/>
        <w:rPr>
          <w:b/>
          <w:bCs/>
          <w:lang w:val="fr-FR"/>
        </w:rPr>
      </w:pPr>
      <w:r w:rsidRPr="00BA4F4B">
        <w:rPr>
          <w:b/>
          <w:bCs/>
          <w:lang w:val="fr-FR"/>
        </w:rPr>
        <w:tab/>
        <w:t>TE = 0,5 × C</w:t>
      </w:r>
      <w:r w:rsidRPr="004501B1">
        <w:rPr>
          <w:b/>
          <w:bCs/>
          <w:vertAlign w:val="subscript"/>
          <w:lang w:val="fr-FR"/>
        </w:rPr>
        <w:t>x</w:t>
      </w:r>
      <w:r w:rsidRPr="00BA4F4B">
        <w:rPr>
          <w:b/>
          <w:bCs/>
          <w:lang w:val="fr-FR"/>
        </w:rPr>
        <w:t xml:space="preserve"> × U</w:t>
      </w:r>
      <w:r w:rsidRPr="004501B1">
        <w:rPr>
          <w:b/>
          <w:bCs/>
          <w:vertAlign w:val="subscript"/>
          <w:lang w:val="fr-FR"/>
        </w:rPr>
        <w:t>b</w:t>
      </w:r>
      <w:r w:rsidRPr="004501B1">
        <w:rPr>
          <w:b/>
          <w:bCs/>
          <w:vertAlign w:val="superscript"/>
          <w:lang w:val="fr-FR"/>
        </w:rPr>
        <w:t>2</w:t>
      </w:r>
    </w:p>
    <w:p w14:paraId="23D9D4D8" w14:textId="409DE265" w:rsidR="002B7A37" w:rsidRPr="00BA4F4B" w:rsidRDefault="002B7A37" w:rsidP="008849D2">
      <w:pPr>
        <w:pStyle w:val="SingleTxtG"/>
        <w:ind w:left="2835" w:hanging="567"/>
        <w:rPr>
          <w:b/>
          <w:bCs/>
          <w:lang w:val="fr-FR"/>
        </w:rPr>
      </w:pPr>
      <w:r w:rsidRPr="00BA4F4B">
        <w:rPr>
          <w:b/>
          <w:bCs/>
          <w:lang w:val="fr-FR"/>
        </w:rPr>
        <w:t>c)</w:t>
      </w:r>
      <w:r w:rsidRPr="00BA4F4B">
        <w:rPr>
          <w:b/>
          <w:bCs/>
          <w:lang w:val="fr-FR"/>
        </w:rPr>
        <w:tab/>
        <w:t>Si U</w:t>
      </w:r>
      <w:r w:rsidRPr="004501B1">
        <w:rPr>
          <w:b/>
          <w:bCs/>
          <w:vertAlign w:val="subscript"/>
          <w:lang w:val="fr-FR"/>
        </w:rPr>
        <w:t>1</w:t>
      </w:r>
      <w:r w:rsidRPr="00BA4F4B">
        <w:rPr>
          <w:b/>
          <w:bCs/>
          <w:lang w:val="fr-FR"/>
        </w:rPr>
        <w:t xml:space="preserve"> et U</w:t>
      </w:r>
      <w:r w:rsidRPr="004501B1">
        <w:rPr>
          <w:b/>
          <w:bCs/>
          <w:vertAlign w:val="subscript"/>
          <w:lang w:val="fr-FR"/>
        </w:rPr>
        <w:t>2</w:t>
      </w:r>
      <w:r w:rsidRPr="00BA4F4B">
        <w:rPr>
          <w:b/>
          <w:bCs/>
          <w:lang w:val="fr-FR"/>
        </w:rPr>
        <w:t xml:space="preserve"> (voir </w:t>
      </w:r>
      <w:r>
        <w:rPr>
          <w:b/>
          <w:bCs/>
          <w:lang w:val="fr-FR"/>
        </w:rPr>
        <w:t xml:space="preserve">la </w:t>
      </w:r>
      <w:r w:rsidRPr="00BA4F4B">
        <w:rPr>
          <w:b/>
          <w:bCs/>
          <w:lang w:val="fr-FR"/>
        </w:rPr>
        <w:t>fig</w:t>
      </w:r>
      <w:r>
        <w:rPr>
          <w:b/>
          <w:bCs/>
          <w:lang w:val="fr-FR"/>
        </w:rPr>
        <w:t>ure</w:t>
      </w:r>
      <w:r w:rsidRPr="00BA4F4B">
        <w:rPr>
          <w:b/>
          <w:bCs/>
          <w:lang w:val="fr-FR"/>
        </w:rPr>
        <w:t xml:space="preserve"> 1 ci-dessus) sont mesurés entre 10 et 60 s</w:t>
      </w:r>
      <w:r>
        <w:rPr>
          <w:b/>
          <w:bCs/>
          <w:lang w:val="fr-FR"/>
        </w:rPr>
        <w:t xml:space="preserve"> </w:t>
      </w:r>
      <w:r w:rsidRPr="00BA4F4B">
        <w:rPr>
          <w:b/>
          <w:bCs/>
          <w:lang w:val="fr-FR"/>
        </w:rPr>
        <w:t xml:space="preserve">après le choc et </w:t>
      </w:r>
      <w:r>
        <w:rPr>
          <w:b/>
          <w:bCs/>
          <w:lang w:val="fr-FR"/>
        </w:rPr>
        <w:t>si</w:t>
      </w:r>
      <w:r w:rsidRPr="00BA4F4B">
        <w:rPr>
          <w:b/>
          <w:bCs/>
          <w:lang w:val="fr-FR"/>
        </w:rPr>
        <w:t xml:space="preserve"> la capacitance des condensateurs Y (C</w:t>
      </w:r>
      <w:r w:rsidRPr="004501B1">
        <w:rPr>
          <w:b/>
          <w:bCs/>
          <w:vertAlign w:val="subscript"/>
          <w:lang w:val="fr-FR"/>
        </w:rPr>
        <w:t>y1</w:t>
      </w:r>
      <w:r w:rsidRPr="00BA4F4B">
        <w:rPr>
          <w:b/>
          <w:bCs/>
          <w:lang w:val="fr-FR"/>
        </w:rPr>
        <w:t xml:space="preserve"> et C</w:t>
      </w:r>
      <w:r w:rsidRPr="004501B1">
        <w:rPr>
          <w:b/>
          <w:bCs/>
          <w:vertAlign w:val="subscript"/>
          <w:lang w:val="fr-FR"/>
        </w:rPr>
        <w:t>y2</w:t>
      </w:r>
      <w:r w:rsidRPr="00BA4F4B">
        <w:rPr>
          <w:b/>
          <w:bCs/>
          <w:lang w:val="fr-FR"/>
        </w:rPr>
        <w:t xml:space="preserve">) </w:t>
      </w:r>
      <w:r>
        <w:rPr>
          <w:b/>
          <w:bCs/>
          <w:lang w:val="fr-FR"/>
        </w:rPr>
        <w:t>a été</w:t>
      </w:r>
      <w:r w:rsidRPr="00BA4F4B">
        <w:rPr>
          <w:b/>
          <w:bCs/>
          <w:lang w:val="fr-FR"/>
        </w:rPr>
        <w:t xml:space="preserve"> fixée par le constructeur, l</w:t>
      </w:r>
      <w:r>
        <w:rPr>
          <w:b/>
          <w:bCs/>
          <w:lang w:val="fr-FR"/>
        </w:rPr>
        <w:t>’</w:t>
      </w:r>
      <w:r w:rsidRPr="00BA4F4B">
        <w:rPr>
          <w:b/>
          <w:bCs/>
          <w:lang w:val="fr-FR"/>
        </w:rPr>
        <w:t>énergie totale (TE</w:t>
      </w:r>
      <w:r w:rsidRPr="004501B1">
        <w:rPr>
          <w:b/>
          <w:bCs/>
          <w:vertAlign w:val="subscript"/>
          <w:lang w:val="fr-FR"/>
        </w:rPr>
        <w:t>y1</w:t>
      </w:r>
      <w:r w:rsidRPr="00BA4F4B">
        <w:rPr>
          <w:b/>
          <w:bCs/>
          <w:lang w:val="fr-FR"/>
        </w:rPr>
        <w:t xml:space="preserve"> et TE</w:t>
      </w:r>
      <w:r w:rsidRPr="004501B1">
        <w:rPr>
          <w:b/>
          <w:bCs/>
          <w:vertAlign w:val="subscript"/>
          <w:lang w:val="fr-FR"/>
        </w:rPr>
        <w:t>y2</w:t>
      </w:r>
      <w:r w:rsidRPr="00BA4F4B">
        <w:rPr>
          <w:b/>
          <w:bCs/>
          <w:lang w:val="fr-FR"/>
        </w:rPr>
        <w:t xml:space="preserve">) doit être calculée </w:t>
      </w:r>
      <w:r>
        <w:rPr>
          <w:b/>
          <w:bCs/>
          <w:lang w:val="fr-FR"/>
        </w:rPr>
        <w:t>au moyen des</w:t>
      </w:r>
      <w:r w:rsidRPr="00BA4F4B">
        <w:rPr>
          <w:b/>
          <w:bCs/>
          <w:lang w:val="fr-FR"/>
        </w:rPr>
        <w:t xml:space="preserve"> formule</w:t>
      </w:r>
      <w:r>
        <w:rPr>
          <w:b/>
          <w:bCs/>
          <w:lang w:val="fr-FR"/>
        </w:rPr>
        <w:t>s</w:t>
      </w:r>
      <w:r w:rsidRPr="00BA4F4B">
        <w:rPr>
          <w:b/>
          <w:bCs/>
          <w:lang w:val="fr-FR"/>
        </w:rPr>
        <w:t xml:space="preserve"> suivante</w:t>
      </w:r>
      <w:r>
        <w:rPr>
          <w:b/>
          <w:bCs/>
          <w:lang w:val="fr-FR"/>
        </w:rPr>
        <w:t>s</w:t>
      </w:r>
      <w:r w:rsidR="00FD29BD">
        <w:rPr>
          <w:b/>
          <w:bCs/>
          <w:lang w:val="fr-FR"/>
        </w:rPr>
        <w:t> </w:t>
      </w:r>
      <w:r w:rsidRPr="00BA4F4B">
        <w:rPr>
          <w:b/>
          <w:bCs/>
          <w:lang w:val="fr-FR"/>
        </w:rPr>
        <w:t>:</w:t>
      </w:r>
    </w:p>
    <w:p w14:paraId="76C7302B" w14:textId="77777777" w:rsidR="002B7A37" w:rsidRPr="003327D9" w:rsidRDefault="002B7A37" w:rsidP="00FD29BD">
      <w:pPr>
        <w:pStyle w:val="SingleTxtG"/>
        <w:ind w:left="2835"/>
        <w:rPr>
          <w:b/>
          <w:bCs/>
          <w:lang w:val="es-ES"/>
        </w:rPr>
      </w:pPr>
      <w:r w:rsidRPr="00BA4F4B">
        <w:rPr>
          <w:b/>
          <w:bCs/>
          <w:lang w:val="fr-FR"/>
        </w:rPr>
        <w:tab/>
      </w:r>
      <w:r w:rsidRPr="003327D9">
        <w:rPr>
          <w:b/>
          <w:bCs/>
          <w:lang w:val="es-ES"/>
        </w:rPr>
        <w:t>TE</w:t>
      </w:r>
      <w:r w:rsidRPr="003327D9">
        <w:rPr>
          <w:b/>
          <w:bCs/>
          <w:vertAlign w:val="subscript"/>
          <w:lang w:val="es-ES"/>
        </w:rPr>
        <w:t>y1</w:t>
      </w:r>
      <w:r w:rsidRPr="003327D9">
        <w:rPr>
          <w:b/>
          <w:bCs/>
          <w:lang w:val="es-ES"/>
        </w:rPr>
        <w:t xml:space="preserve"> = 0,5 × C</w:t>
      </w:r>
      <w:r w:rsidRPr="003327D9">
        <w:rPr>
          <w:b/>
          <w:bCs/>
          <w:vertAlign w:val="subscript"/>
          <w:lang w:val="es-ES"/>
        </w:rPr>
        <w:t>y1</w:t>
      </w:r>
      <w:r w:rsidRPr="003327D9">
        <w:rPr>
          <w:b/>
          <w:bCs/>
          <w:lang w:val="es-ES"/>
        </w:rPr>
        <w:t xml:space="preserve"> × U</w:t>
      </w:r>
      <w:r w:rsidRPr="003327D9">
        <w:rPr>
          <w:b/>
          <w:bCs/>
          <w:vertAlign w:val="subscript"/>
          <w:lang w:val="es-ES"/>
        </w:rPr>
        <w:t>1</w:t>
      </w:r>
      <w:r w:rsidRPr="003327D9">
        <w:rPr>
          <w:b/>
          <w:bCs/>
          <w:vertAlign w:val="superscript"/>
          <w:lang w:val="es-ES"/>
        </w:rPr>
        <w:t>2</w:t>
      </w:r>
    </w:p>
    <w:p w14:paraId="528FC952" w14:textId="77777777" w:rsidR="002B7A37" w:rsidRPr="003327D9" w:rsidRDefault="002B7A37" w:rsidP="00FD29BD">
      <w:pPr>
        <w:pStyle w:val="SingleTxtG"/>
        <w:ind w:left="2835"/>
        <w:rPr>
          <w:b/>
          <w:bCs/>
          <w:lang w:val="es-ES"/>
        </w:rPr>
      </w:pPr>
      <w:r w:rsidRPr="003327D9">
        <w:rPr>
          <w:b/>
          <w:bCs/>
          <w:lang w:val="es-ES"/>
        </w:rPr>
        <w:t>TE</w:t>
      </w:r>
      <w:r w:rsidRPr="003327D9">
        <w:rPr>
          <w:b/>
          <w:bCs/>
          <w:vertAlign w:val="subscript"/>
          <w:lang w:val="es-ES"/>
        </w:rPr>
        <w:t>y2</w:t>
      </w:r>
      <w:r w:rsidRPr="003327D9">
        <w:rPr>
          <w:b/>
          <w:bCs/>
          <w:lang w:val="es-ES"/>
        </w:rPr>
        <w:t xml:space="preserve"> = 0,5 × C</w:t>
      </w:r>
      <w:r w:rsidRPr="003327D9">
        <w:rPr>
          <w:b/>
          <w:bCs/>
          <w:vertAlign w:val="subscript"/>
          <w:lang w:val="es-ES"/>
        </w:rPr>
        <w:t>y2</w:t>
      </w:r>
      <w:r w:rsidRPr="003327D9">
        <w:rPr>
          <w:b/>
          <w:bCs/>
          <w:lang w:val="es-ES"/>
        </w:rPr>
        <w:t xml:space="preserve"> × U</w:t>
      </w:r>
      <w:r w:rsidRPr="003327D9">
        <w:rPr>
          <w:b/>
          <w:bCs/>
          <w:vertAlign w:val="subscript"/>
          <w:lang w:val="es-ES"/>
        </w:rPr>
        <w:t>2</w:t>
      </w:r>
      <w:r w:rsidRPr="003327D9">
        <w:rPr>
          <w:b/>
          <w:bCs/>
          <w:vertAlign w:val="superscript"/>
          <w:lang w:val="es-ES"/>
        </w:rPr>
        <w:t>2</w:t>
      </w:r>
    </w:p>
    <w:p w14:paraId="712B379C" w14:textId="77777777" w:rsidR="002B7A37" w:rsidRPr="009479FF" w:rsidRDefault="002B7A37" w:rsidP="00FD29BD">
      <w:pPr>
        <w:pStyle w:val="SingleTxtG"/>
        <w:ind w:left="2268"/>
        <w:rPr>
          <w:b/>
          <w:lang w:val="fr-FR"/>
        </w:rPr>
      </w:pPr>
      <w:r>
        <w:rPr>
          <w:b/>
          <w:bCs/>
          <w:lang w:val="fr-FR"/>
        </w:rPr>
        <w:t>Cette procédure n’est pas applicable si l’essai est effectué alors que la chaîne de traction électrique n’est pas sous tension.</w:t>
      </w:r>
    </w:p>
    <w:p w14:paraId="2201604C" w14:textId="77777777" w:rsidR="002B7A37" w:rsidRPr="009479FF" w:rsidRDefault="002B7A37" w:rsidP="002B7A37">
      <w:pPr>
        <w:suppressAutoHyphens w:val="0"/>
        <w:spacing w:line="240" w:lineRule="auto"/>
        <w:rPr>
          <w:b/>
          <w:lang w:val="fr-FR"/>
        </w:rPr>
      </w:pPr>
      <w:r w:rsidRPr="009479FF">
        <w:rPr>
          <w:b/>
          <w:lang w:val="fr-FR"/>
        </w:rPr>
        <w:br w:type="page"/>
      </w:r>
    </w:p>
    <w:p w14:paraId="601A370A" w14:textId="15A67ED6" w:rsidR="002B7A37" w:rsidRDefault="002B7A37" w:rsidP="00FD29BD">
      <w:pPr>
        <w:pStyle w:val="Titre1"/>
        <w:spacing w:after="120"/>
        <w:ind w:right="1134"/>
        <w:rPr>
          <w:b/>
          <w:bCs/>
          <w:spacing w:val="-2"/>
          <w:lang w:val="fr-FR"/>
        </w:rPr>
      </w:pPr>
      <w:r>
        <w:rPr>
          <w:b/>
          <w:bCs/>
          <w:lang w:val="fr-FR"/>
        </w:rPr>
        <w:t>Figure 2</w:t>
      </w:r>
      <w:r w:rsidR="00FD29BD">
        <w:rPr>
          <w:b/>
          <w:bCs/>
          <w:lang w:val="fr-FR"/>
        </w:rPr>
        <w:br/>
      </w:r>
      <w:r w:rsidRPr="00FD29BD">
        <w:rPr>
          <w:b/>
          <w:bCs/>
          <w:spacing w:val="-2"/>
          <w:lang w:val="fr-FR"/>
        </w:rPr>
        <w:t>Exemple de mesure de l’énergie du rail haute tension stockée dans les condensateurs X</w:t>
      </w:r>
    </w:p>
    <w:p w14:paraId="2F5C87B3" w14:textId="090504AE" w:rsidR="00FD29BD" w:rsidRPr="00FD29BD" w:rsidRDefault="00FD29BD" w:rsidP="00FD29BD">
      <w:pPr>
        <w:suppressAutoHyphens w:val="0"/>
        <w:spacing w:after="120" w:line="240" w:lineRule="auto"/>
        <w:ind w:left="1134" w:right="1134"/>
        <w:rPr>
          <w:lang w:val="fr-FR"/>
        </w:rPr>
      </w:pPr>
      <w:r>
        <w:rPr>
          <w:noProof/>
        </w:rPr>
        <w:drawing>
          <wp:inline distT="0" distB="0" distL="0" distR="0" wp14:anchorId="20913585" wp14:editId="2A7AACB7">
            <wp:extent cx="4680000" cy="2831890"/>
            <wp:effectExtent l="0" t="0" r="635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0000" cy="2831890"/>
                    </a:xfrm>
                    <a:prstGeom prst="rect">
                      <a:avLst/>
                    </a:prstGeom>
                  </pic:spPr>
                </pic:pic>
              </a:graphicData>
            </a:graphic>
          </wp:inline>
        </w:drawing>
      </w:r>
    </w:p>
    <w:p w14:paraId="3BBF39A6" w14:textId="77777777" w:rsidR="002B7A37" w:rsidRPr="009479FF" w:rsidRDefault="002B7A37" w:rsidP="00FD29BD">
      <w:pPr>
        <w:pStyle w:val="SingleTxtG"/>
        <w:spacing w:before="240"/>
        <w:ind w:left="2268" w:hanging="1134"/>
        <w:rPr>
          <w:b/>
          <w:lang w:val="fr-FR"/>
        </w:rPr>
      </w:pPr>
      <w:r w:rsidRPr="003657E0">
        <w:rPr>
          <w:b/>
          <w:bCs/>
          <w:lang w:val="fr-FR"/>
        </w:rPr>
        <w:t>4.</w:t>
      </w:r>
      <w:r>
        <w:rPr>
          <w:lang w:val="fr-FR"/>
        </w:rPr>
        <w:tab/>
      </w:r>
      <w:r>
        <w:rPr>
          <w:b/>
          <w:bCs/>
          <w:lang w:val="fr-FR"/>
        </w:rPr>
        <w:t>Protection physique</w:t>
      </w:r>
    </w:p>
    <w:p w14:paraId="32137B6F" w14:textId="77777777" w:rsidR="002B7A37" w:rsidRPr="009479FF" w:rsidRDefault="002B7A37" w:rsidP="00FD29BD">
      <w:pPr>
        <w:pStyle w:val="SingleTxtG"/>
        <w:ind w:left="2268"/>
        <w:rPr>
          <w:b/>
          <w:lang w:val="fr-FR"/>
        </w:rPr>
      </w:pPr>
      <w:r>
        <w:rPr>
          <w:b/>
          <w:bCs/>
          <w:lang w:val="fr-FR"/>
        </w:rPr>
        <w:t>Après l’essai de choc, ouvrir, démonter ou retirer toutes les pièces entourant les éléments à haute tension, sans l’aide d’outils.</w:t>
      </w:r>
      <w:r>
        <w:rPr>
          <w:lang w:val="fr-FR"/>
        </w:rPr>
        <w:t xml:space="preserve"> </w:t>
      </w:r>
      <w:r>
        <w:rPr>
          <w:b/>
          <w:bCs/>
          <w:lang w:val="fr-FR"/>
        </w:rPr>
        <w:t>Toutes les pièces restantes sont considérées comme faisant partie de la protection physique.</w:t>
      </w:r>
    </w:p>
    <w:p w14:paraId="30731AE8" w14:textId="404871BA" w:rsidR="002B7A37" w:rsidRPr="009479FF" w:rsidRDefault="002B7A37" w:rsidP="002D5231">
      <w:pPr>
        <w:pStyle w:val="SingleTxtG"/>
        <w:ind w:left="2268"/>
        <w:rPr>
          <w:b/>
          <w:lang w:val="fr-FR"/>
        </w:rPr>
      </w:pPr>
      <w:r>
        <w:rPr>
          <w:b/>
          <w:bCs/>
          <w:lang w:val="fr-FR"/>
        </w:rPr>
        <w:t xml:space="preserve">Placer le doigt d’épreuve articulé, décrit à la figure 3, dans tous les interstices ou toutes les ouvertures de la protection physique, avec une force de 10 N </w:t>
      </w:r>
      <w:r w:rsidR="006C769C">
        <w:rPr>
          <w:b/>
          <w:bCs/>
          <w:lang w:val="fr-FR"/>
        </w:rPr>
        <w:sym w:font="Symbol" w:char="F0B1"/>
      </w:r>
      <w:r>
        <w:rPr>
          <w:b/>
          <w:bCs/>
          <w:lang w:val="fr-FR"/>
        </w:rPr>
        <w:t xml:space="preserve"> 10 %, aux fins de l’évaluation de la sécurité électrique.</w:t>
      </w:r>
      <w:r>
        <w:rPr>
          <w:lang w:val="fr-FR"/>
        </w:rPr>
        <w:t xml:space="preserve"> </w:t>
      </w:r>
      <w:r>
        <w:rPr>
          <w:b/>
          <w:bCs/>
          <w:lang w:val="fr-FR"/>
        </w:rPr>
        <w:t>Si le doigt entre partiellement ou entièrement dans la protection physique, le placer dans toutes les positions indiquées ci-dessous.</w:t>
      </w:r>
    </w:p>
    <w:p w14:paraId="4ADBF7FE" w14:textId="77777777" w:rsidR="002B7A37" w:rsidRPr="009479FF" w:rsidRDefault="002B7A37" w:rsidP="002D5231">
      <w:pPr>
        <w:pStyle w:val="SingleTxtG"/>
        <w:ind w:left="2268"/>
        <w:rPr>
          <w:b/>
          <w:lang w:val="fr-FR"/>
        </w:rPr>
      </w:pPr>
      <w:r>
        <w:rPr>
          <w:b/>
          <w:bCs/>
          <w:lang w:val="fr-FR"/>
        </w:rPr>
        <w:t>À partir de la position alignée, les deux articulations du doigt d’épreuve sont repliées progressivement jusqu’à former un angle maximal de 90° par rapport à l’axe de la section adjacente du doigt et placées dans toutes les positions possibles.</w:t>
      </w:r>
    </w:p>
    <w:p w14:paraId="73C5B093" w14:textId="77777777" w:rsidR="002B7A37" w:rsidRPr="009479FF" w:rsidRDefault="002B7A37" w:rsidP="002D5231">
      <w:pPr>
        <w:pStyle w:val="SingleTxtG"/>
        <w:ind w:left="2268"/>
        <w:rPr>
          <w:b/>
          <w:lang w:val="fr-FR"/>
        </w:rPr>
      </w:pPr>
      <w:r>
        <w:rPr>
          <w:b/>
          <w:bCs/>
          <w:lang w:val="fr-FR"/>
        </w:rPr>
        <w:t>Les barrières internes de protection contre les chocs électriques sont considérées comme des parties intégrantes du carter de protection.</w:t>
      </w:r>
      <w:r>
        <w:rPr>
          <w:lang w:val="fr-FR"/>
        </w:rPr>
        <w:t xml:space="preserve"> </w:t>
      </w:r>
    </w:p>
    <w:p w14:paraId="0213E76D" w14:textId="27A4BCD0" w:rsidR="002B7A37" w:rsidRPr="009479FF" w:rsidRDefault="002B7A37" w:rsidP="002D5231">
      <w:pPr>
        <w:pStyle w:val="SingleTxtG"/>
        <w:ind w:left="2268"/>
        <w:rPr>
          <w:b/>
          <w:lang w:val="fr-FR"/>
        </w:rPr>
      </w:pPr>
      <w:r>
        <w:rPr>
          <w:b/>
          <w:bCs/>
          <w:lang w:val="fr-FR"/>
        </w:rPr>
        <w:t>S’il y a lieu, brancher en série une source électrique basse tension (entre 40</w:t>
      </w:r>
      <w:r w:rsidR="006C769C">
        <w:rPr>
          <w:b/>
          <w:bCs/>
          <w:lang w:val="fr-FR"/>
        </w:rPr>
        <w:t> </w:t>
      </w:r>
      <w:r>
        <w:rPr>
          <w:b/>
          <w:bCs/>
          <w:lang w:val="fr-FR"/>
        </w:rPr>
        <w:t>V et 50 V) et une lampe appropriée, entre le doigt d’épreuve articulé et les éléments à haute tension situés à l’intérieur de la barrière électrique ou du carter de protection.</w:t>
      </w:r>
    </w:p>
    <w:p w14:paraId="50A1E2FD" w14:textId="77777777" w:rsidR="002B7A37" w:rsidRPr="009479FF" w:rsidRDefault="002B7A37" w:rsidP="002B7A37">
      <w:pPr>
        <w:suppressAutoHyphens w:val="0"/>
        <w:spacing w:line="240" w:lineRule="auto"/>
        <w:rPr>
          <w:b/>
          <w:bCs/>
          <w:lang w:val="fr-FR"/>
        </w:rPr>
      </w:pPr>
      <w:r w:rsidRPr="009479FF">
        <w:rPr>
          <w:b/>
          <w:bCs/>
          <w:lang w:val="fr-FR"/>
        </w:rPr>
        <w:br w:type="page"/>
      </w:r>
    </w:p>
    <w:p w14:paraId="63D763B0" w14:textId="45EAB70B" w:rsidR="00450D83" w:rsidRDefault="002B7A37" w:rsidP="002D5231">
      <w:pPr>
        <w:pStyle w:val="Titre1"/>
        <w:spacing w:after="120"/>
        <w:ind w:right="1134"/>
        <w:rPr>
          <w:b/>
          <w:lang w:val="fr-FR"/>
        </w:rPr>
      </w:pPr>
      <w:r>
        <w:rPr>
          <w:b/>
          <w:bCs/>
          <w:lang w:val="fr-FR"/>
        </w:rPr>
        <w:t>Figure 3</w:t>
      </w:r>
      <w:r w:rsidR="006C769C">
        <w:rPr>
          <w:b/>
          <w:bCs/>
          <w:lang w:val="fr-FR"/>
        </w:rPr>
        <w:br/>
      </w:r>
      <w:r>
        <w:rPr>
          <w:b/>
          <w:bCs/>
          <w:lang w:val="fr-FR"/>
        </w:rPr>
        <w:t>Doigt d’épreuve articulé</w:t>
      </w:r>
    </w:p>
    <w:p w14:paraId="14F95B95" w14:textId="3CDF852F" w:rsidR="00450D83" w:rsidRDefault="002D5231" w:rsidP="002B7A37">
      <w:pPr>
        <w:spacing w:after="120"/>
        <w:ind w:left="1134" w:right="1134"/>
        <w:jc w:val="both"/>
        <w:rPr>
          <w:b/>
          <w:lang w:val="fr-FR"/>
        </w:rPr>
      </w:pPr>
      <w:r>
        <w:rPr>
          <w:noProof/>
        </w:rPr>
        <w:drawing>
          <wp:inline distT="0" distB="0" distL="0" distR="0" wp14:anchorId="660528CC" wp14:editId="37773601">
            <wp:extent cx="2988000" cy="3896115"/>
            <wp:effectExtent l="0" t="0" r="3175" b="0"/>
            <wp:docPr id="679" name="Imag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8000" cy="3896115"/>
                    </a:xfrm>
                    <a:prstGeom prst="rect">
                      <a:avLst/>
                    </a:prstGeom>
                  </pic:spPr>
                </pic:pic>
              </a:graphicData>
            </a:graphic>
          </wp:inline>
        </w:drawing>
      </w:r>
    </w:p>
    <w:p w14:paraId="567FDB0E" w14:textId="528E8C94" w:rsidR="002B7A37" w:rsidRPr="009479FF" w:rsidRDefault="002B7A37" w:rsidP="002D5231">
      <w:pPr>
        <w:pStyle w:val="SingleTxtG"/>
        <w:ind w:left="2268"/>
        <w:rPr>
          <w:b/>
          <w:bCs/>
          <w:lang w:val="fr-FR"/>
        </w:rPr>
      </w:pPr>
      <w:r w:rsidRPr="003C03AC">
        <w:rPr>
          <w:b/>
          <w:bCs/>
          <w:lang w:val="fr-FR"/>
        </w:rPr>
        <w:t>Matériau</w:t>
      </w:r>
      <w:r w:rsidR="002D5231">
        <w:rPr>
          <w:b/>
          <w:bCs/>
          <w:lang w:val="fr-FR"/>
        </w:rPr>
        <w:t> </w:t>
      </w:r>
      <w:r>
        <w:rPr>
          <w:b/>
          <w:bCs/>
          <w:lang w:val="fr-FR"/>
        </w:rPr>
        <w:t>: métal, sauf indication contraire.</w:t>
      </w:r>
    </w:p>
    <w:p w14:paraId="020399FB" w14:textId="4AC98D53" w:rsidR="002B7A37" w:rsidRPr="009479FF" w:rsidRDefault="002B7A37" w:rsidP="002D5231">
      <w:pPr>
        <w:pStyle w:val="SingleTxtG"/>
        <w:ind w:left="2268"/>
        <w:rPr>
          <w:b/>
          <w:bCs/>
          <w:lang w:val="fr-FR"/>
        </w:rPr>
      </w:pPr>
      <w:r>
        <w:rPr>
          <w:b/>
          <w:bCs/>
          <w:lang w:val="fr-FR"/>
        </w:rPr>
        <w:t>Dimensions linéaires indiquées en millimètres.</w:t>
      </w:r>
    </w:p>
    <w:p w14:paraId="5F36E941" w14:textId="2D01850D" w:rsidR="002B7A37" w:rsidRPr="009479FF" w:rsidRDefault="002B7A37" w:rsidP="002D5231">
      <w:pPr>
        <w:pStyle w:val="SingleTxtG"/>
        <w:ind w:left="2268"/>
        <w:rPr>
          <w:b/>
          <w:bCs/>
          <w:lang w:val="fr-FR"/>
        </w:rPr>
      </w:pPr>
      <w:r>
        <w:rPr>
          <w:b/>
          <w:bCs/>
          <w:lang w:val="fr-FR"/>
        </w:rPr>
        <w:t>Tolérances pour les dimensions, à défaut de tolérance indiquée</w:t>
      </w:r>
      <w:r w:rsidR="002D5231">
        <w:rPr>
          <w:b/>
          <w:bCs/>
          <w:lang w:val="fr-FR"/>
        </w:rPr>
        <w:t> </w:t>
      </w:r>
      <w:r>
        <w:rPr>
          <w:b/>
          <w:bCs/>
          <w:lang w:val="fr-FR"/>
        </w:rPr>
        <w:t>:</w:t>
      </w:r>
    </w:p>
    <w:p w14:paraId="589F4FDC" w14:textId="58C200DC" w:rsidR="002B7A37" w:rsidRPr="009479FF" w:rsidRDefault="002B7A37" w:rsidP="002D5231">
      <w:pPr>
        <w:pStyle w:val="SingleTxtG"/>
        <w:ind w:left="2268"/>
        <w:rPr>
          <w:b/>
          <w:bCs/>
          <w:lang w:val="fr-FR"/>
        </w:rPr>
      </w:pPr>
      <w:r w:rsidRPr="003C03AC">
        <w:rPr>
          <w:b/>
          <w:bCs/>
          <w:lang w:val="fr-FR"/>
        </w:rPr>
        <w:t>a)</w:t>
      </w:r>
      <w:r>
        <w:rPr>
          <w:lang w:val="fr-FR"/>
        </w:rPr>
        <w:tab/>
      </w:r>
      <w:r w:rsidR="002D5231" w:rsidRPr="002430B9">
        <w:rPr>
          <w:b/>
          <w:bCs/>
          <w:lang w:val="fr-FR"/>
        </w:rPr>
        <w:t>S</w:t>
      </w:r>
      <w:r>
        <w:rPr>
          <w:b/>
          <w:bCs/>
          <w:lang w:val="fr-FR"/>
        </w:rPr>
        <w:t>ur les angles</w:t>
      </w:r>
      <w:r w:rsidR="002D5231">
        <w:rPr>
          <w:b/>
          <w:bCs/>
          <w:lang w:val="fr-FR"/>
        </w:rPr>
        <w:t> </w:t>
      </w:r>
      <w:r>
        <w:rPr>
          <w:b/>
          <w:bCs/>
          <w:lang w:val="fr-FR"/>
        </w:rPr>
        <w:t>: +0/-10 s</w:t>
      </w:r>
      <w:r w:rsidR="002D5231">
        <w:rPr>
          <w:b/>
          <w:bCs/>
          <w:lang w:val="fr-FR"/>
        </w:rPr>
        <w:t> </w:t>
      </w:r>
      <w:r>
        <w:rPr>
          <w:b/>
          <w:bCs/>
          <w:lang w:val="fr-FR"/>
        </w:rPr>
        <w:t>;</w:t>
      </w:r>
    </w:p>
    <w:p w14:paraId="72C79551" w14:textId="35DE6CB5" w:rsidR="002B7A37" w:rsidRPr="009479FF" w:rsidRDefault="002B7A37" w:rsidP="002D5231">
      <w:pPr>
        <w:pStyle w:val="SingleTxtG"/>
        <w:ind w:left="2268"/>
        <w:rPr>
          <w:b/>
          <w:bCs/>
          <w:lang w:val="fr-FR"/>
        </w:rPr>
      </w:pPr>
      <w:r w:rsidRPr="003C03AC">
        <w:rPr>
          <w:b/>
          <w:bCs/>
          <w:lang w:val="fr-FR"/>
        </w:rPr>
        <w:t>b)</w:t>
      </w:r>
      <w:r>
        <w:rPr>
          <w:lang w:val="fr-FR"/>
        </w:rPr>
        <w:tab/>
      </w:r>
      <w:r w:rsidR="002D5231">
        <w:rPr>
          <w:b/>
          <w:bCs/>
          <w:lang w:val="fr-FR"/>
        </w:rPr>
        <w:t>S</w:t>
      </w:r>
      <w:r>
        <w:rPr>
          <w:b/>
          <w:bCs/>
          <w:lang w:val="fr-FR"/>
        </w:rPr>
        <w:t>ur les dimensions linéaires</w:t>
      </w:r>
      <w:r w:rsidR="002D5231">
        <w:rPr>
          <w:b/>
          <w:bCs/>
          <w:lang w:val="fr-FR"/>
        </w:rPr>
        <w:t> </w:t>
      </w:r>
      <w:r>
        <w:rPr>
          <w:b/>
          <w:bCs/>
          <w:lang w:val="fr-FR"/>
        </w:rPr>
        <w:t>:</w:t>
      </w:r>
    </w:p>
    <w:p w14:paraId="6DB841EE" w14:textId="2BC593E2" w:rsidR="002B7A37" w:rsidRPr="009479FF" w:rsidRDefault="002B7A37" w:rsidP="002D5231">
      <w:pPr>
        <w:pStyle w:val="SingleTxtG"/>
        <w:ind w:left="2835"/>
        <w:rPr>
          <w:b/>
          <w:bCs/>
          <w:lang w:val="fr-FR"/>
        </w:rPr>
      </w:pPr>
      <w:r>
        <w:rPr>
          <w:b/>
          <w:bCs/>
          <w:lang w:val="fr-FR"/>
        </w:rPr>
        <w:tab/>
      </w:r>
      <w:r w:rsidRPr="003C03AC">
        <w:rPr>
          <w:b/>
          <w:bCs/>
          <w:lang w:val="fr-FR"/>
        </w:rPr>
        <w:t>i)</w:t>
      </w:r>
      <w:r>
        <w:rPr>
          <w:b/>
          <w:bCs/>
          <w:lang w:val="fr-FR"/>
        </w:rPr>
        <w:tab/>
        <w:t>jusqu’à 25 mm</w:t>
      </w:r>
      <w:r w:rsidR="002D5231">
        <w:rPr>
          <w:b/>
          <w:bCs/>
          <w:lang w:val="fr-FR"/>
        </w:rPr>
        <w:t> </w:t>
      </w:r>
      <w:r>
        <w:rPr>
          <w:b/>
          <w:bCs/>
          <w:lang w:val="fr-FR"/>
        </w:rPr>
        <w:t>: +0/-0,05</w:t>
      </w:r>
      <w:r w:rsidR="002D5231">
        <w:rPr>
          <w:b/>
          <w:bCs/>
          <w:lang w:val="fr-FR"/>
        </w:rPr>
        <w:t> </w:t>
      </w:r>
      <w:r>
        <w:rPr>
          <w:b/>
          <w:bCs/>
          <w:lang w:val="fr-FR"/>
        </w:rPr>
        <w:t>;</w:t>
      </w:r>
    </w:p>
    <w:p w14:paraId="50C62AE4" w14:textId="6ABBB826" w:rsidR="002B7A37" w:rsidRPr="009479FF" w:rsidRDefault="002B7A37" w:rsidP="002D5231">
      <w:pPr>
        <w:pStyle w:val="SingleTxtG"/>
        <w:ind w:left="2835"/>
        <w:rPr>
          <w:b/>
          <w:bCs/>
          <w:lang w:val="fr-FR"/>
        </w:rPr>
      </w:pPr>
      <w:r>
        <w:rPr>
          <w:b/>
          <w:bCs/>
          <w:lang w:val="fr-FR"/>
        </w:rPr>
        <w:tab/>
      </w:r>
      <w:r w:rsidRPr="003C03AC">
        <w:rPr>
          <w:b/>
          <w:bCs/>
          <w:lang w:val="fr-FR"/>
        </w:rPr>
        <w:t>ii)</w:t>
      </w:r>
      <w:r>
        <w:rPr>
          <w:b/>
          <w:bCs/>
          <w:lang w:val="fr-FR"/>
        </w:rPr>
        <w:tab/>
        <w:t>au-dessus de 25 mm</w:t>
      </w:r>
      <w:r w:rsidR="002D5231">
        <w:rPr>
          <w:b/>
          <w:bCs/>
          <w:lang w:val="fr-FR"/>
        </w:rPr>
        <w:t> </w:t>
      </w:r>
      <w:r>
        <w:rPr>
          <w:b/>
          <w:bCs/>
          <w:lang w:val="fr-FR"/>
        </w:rPr>
        <w:t xml:space="preserve">: </w:t>
      </w:r>
      <w:r w:rsidR="002D5231">
        <w:rPr>
          <w:b/>
          <w:bCs/>
          <w:lang w:val="fr-FR"/>
        </w:rPr>
        <w:sym w:font="Symbol" w:char="F0B1"/>
      </w:r>
      <w:r>
        <w:rPr>
          <w:b/>
          <w:bCs/>
          <w:lang w:val="fr-FR"/>
        </w:rPr>
        <w:t>0,2.</w:t>
      </w:r>
    </w:p>
    <w:p w14:paraId="5D68482A" w14:textId="77777777" w:rsidR="002B7A37" w:rsidRPr="009479FF" w:rsidRDefault="002B7A37" w:rsidP="002D5231">
      <w:pPr>
        <w:pStyle w:val="SingleTxtG"/>
        <w:ind w:left="2268"/>
        <w:rPr>
          <w:b/>
          <w:bCs/>
          <w:lang w:val="fr-FR"/>
        </w:rPr>
      </w:pPr>
      <w:r>
        <w:rPr>
          <w:b/>
          <w:bCs/>
          <w:lang w:val="fr-FR"/>
        </w:rPr>
        <w:t>Les deux articulations doivent permettre un mouvement de 90° dans le même plan et dans la même direction, avec une tolérance comprise entre 0 et +10°.</w:t>
      </w:r>
    </w:p>
    <w:p w14:paraId="04A55D36" w14:textId="77777777" w:rsidR="002B7A37" w:rsidRPr="009479FF" w:rsidRDefault="002B7A37" w:rsidP="002D5231">
      <w:pPr>
        <w:pStyle w:val="SingleTxtG"/>
        <w:ind w:left="2268"/>
        <w:rPr>
          <w:b/>
          <w:lang w:val="fr-FR"/>
        </w:rPr>
      </w:pPr>
      <w:r>
        <w:rPr>
          <w:b/>
          <w:bCs/>
          <w:lang w:val="fr-FR"/>
        </w:rPr>
        <w:t>Les prescriptions énoncées au paragraphe 5.2.8.1.3 du présent Règlement sont satisfaites si le doigt d’épreuve articulé décrit à la figure 3 ne peut entrer en contact avec les éléments à haute tension.</w:t>
      </w:r>
    </w:p>
    <w:p w14:paraId="56F58DF3" w14:textId="77777777" w:rsidR="002B7A37" w:rsidRPr="009479FF" w:rsidRDefault="002B7A37" w:rsidP="002D5231">
      <w:pPr>
        <w:pStyle w:val="SingleTxtG"/>
        <w:ind w:left="2268"/>
        <w:rPr>
          <w:b/>
          <w:lang w:val="fr-FR"/>
        </w:rPr>
      </w:pPr>
      <w:r>
        <w:rPr>
          <w:b/>
          <w:bCs/>
          <w:lang w:val="fr-FR"/>
        </w:rPr>
        <w:t>Au besoin, on peut utiliser un miroir ou un fibroscope pour voir si le doigt d’épreuve articulé entre en contact avec les rails haute tension.</w:t>
      </w:r>
    </w:p>
    <w:p w14:paraId="255378FF" w14:textId="77777777" w:rsidR="002B7A37" w:rsidRPr="009479FF" w:rsidRDefault="002B7A37" w:rsidP="002D5231">
      <w:pPr>
        <w:pStyle w:val="SingleTxtG"/>
        <w:ind w:left="2268"/>
        <w:rPr>
          <w:b/>
          <w:lang w:val="fr-FR"/>
        </w:rPr>
      </w:pPr>
      <w:r>
        <w:rPr>
          <w:b/>
          <w:bCs/>
          <w:lang w:val="fr-FR"/>
        </w:rPr>
        <w:t>Si pour confirmer la protection on a recours à un circuit test entre le doigt d’épreuve articulé et les éléments à haute tension, la lampe témoin ne doit pas s’allumer.</w:t>
      </w:r>
    </w:p>
    <w:p w14:paraId="0E55A0B0" w14:textId="77777777" w:rsidR="002B7A37" w:rsidRPr="009479FF" w:rsidRDefault="002B7A37" w:rsidP="002D5231">
      <w:pPr>
        <w:pStyle w:val="SingleTxtG"/>
        <w:ind w:left="2268" w:hanging="1134"/>
        <w:rPr>
          <w:b/>
          <w:lang w:val="fr-FR"/>
        </w:rPr>
      </w:pPr>
      <w:r w:rsidRPr="00DA1C6A">
        <w:rPr>
          <w:b/>
          <w:bCs/>
          <w:lang w:val="fr-FR"/>
        </w:rPr>
        <w:t>4.1</w:t>
      </w:r>
      <w:r>
        <w:rPr>
          <w:lang w:val="fr-FR"/>
        </w:rPr>
        <w:tab/>
      </w:r>
      <w:r>
        <w:rPr>
          <w:b/>
          <w:bCs/>
          <w:lang w:val="fr-FR"/>
        </w:rPr>
        <w:t>Méthode d’essai pour la mesure de la résistance électrique</w:t>
      </w:r>
    </w:p>
    <w:p w14:paraId="06022F72" w14:textId="77777777" w:rsidR="002B7A37" w:rsidRPr="009479FF" w:rsidRDefault="002B7A37" w:rsidP="008849D2">
      <w:pPr>
        <w:pStyle w:val="SingleTxtG"/>
        <w:ind w:left="2835" w:hanging="567"/>
        <w:rPr>
          <w:b/>
          <w:lang w:val="fr-FR"/>
        </w:rPr>
      </w:pPr>
      <w:r w:rsidRPr="00DA1C6A">
        <w:rPr>
          <w:b/>
          <w:bCs/>
          <w:lang w:val="fr-FR"/>
        </w:rPr>
        <w:t>a)</w:t>
      </w:r>
      <w:r>
        <w:rPr>
          <w:lang w:val="fr-FR"/>
        </w:rPr>
        <w:tab/>
      </w:r>
      <w:r>
        <w:rPr>
          <w:b/>
          <w:bCs/>
          <w:lang w:val="fr-FR"/>
        </w:rPr>
        <w:t>Méthode d’essai avec un mégohmmètre</w:t>
      </w:r>
    </w:p>
    <w:p w14:paraId="1CE2E209" w14:textId="331C939D" w:rsidR="002B7A37" w:rsidRPr="009479FF" w:rsidRDefault="002B7A37" w:rsidP="002D5231">
      <w:pPr>
        <w:pStyle w:val="SingleTxtG"/>
        <w:ind w:left="2835"/>
        <w:rPr>
          <w:b/>
          <w:lang w:val="fr-FR"/>
        </w:rPr>
      </w:pPr>
      <w:r>
        <w:rPr>
          <w:lang w:val="fr-FR"/>
        </w:rPr>
        <w:tab/>
      </w:r>
      <w:r>
        <w:rPr>
          <w:b/>
          <w:bCs/>
          <w:lang w:val="fr-FR"/>
        </w:rPr>
        <w:t xml:space="preserve">Le mégohmmètre est relié aux points de mesure (en règle générale, la masse électrique et </w:t>
      </w:r>
      <w:r w:rsidRPr="003E17C2">
        <w:rPr>
          <w:b/>
          <w:bCs/>
          <w:lang w:val="fr-FR"/>
        </w:rPr>
        <w:t>le carter de protection conducteur ou la barrière de protection électrique conductrice</w:t>
      </w:r>
      <w:r>
        <w:rPr>
          <w:b/>
          <w:bCs/>
          <w:lang w:val="fr-FR"/>
        </w:rPr>
        <w:t>). On mesure la résistance à l’aide d’un mégohmmètre satisfaisant aux critères suivants</w:t>
      </w:r>
      <w:r w:rsidR="002D5231">
        <w:rPr>
          <w:b/>
          <w:bCs/>
          <w:lang w:val="fr-FR"/>
        </w:rPr>
        <w:t> </w:t>
      </w:r>
      <w:r>
        <w:rPr>
          <w:b/>
          <w:bCs/>
          <w:lang w:val="fr-FR"/>
        </w:rPr>
        <w:t>:</w:t>
      </w:r>
    </w:p>
    <w:p w14:paraId="470640E5" w14:textId="591E8D72" w:rsidR="002B7A37" w:rsidRPr="009479FF" w:rsidRDefault="002B7A37" w:rsidP="002D5231">
      <w:pPr>
        <w:pStyle w:val="SingleTxtG"/>
        <w:ind w:left="2835"/>
        <w:rPr>
          <w:b/>
          <w:bCs/>
          <w:lang w:val="fr-FR"/>
        </w:rPr>
      </w:pPr>
      <w:r w:rsidRPr="003E17C2">
        <w:rPr>
          <w:b/>
          <w:bCs/>
          <w:lang w:val="fr-FR"/>
        </w:rPr>
        <w:t>i)</w:t>
      </w:r>
      <w:r>
        <w:rPr>
          <w:lang w:val="fr-FR"/>
        </w:rPr>
        <w:tab/>
      </w:r>
      <w:r>
        <w:rPr>
          <w:b/>
          <w:bCs/>
          <w:lang w:val="fr-FR"/>
        </w:rPr>
        <w:t>Mégohmmètre</w:t>
      </w:r>
      <w:r w:rsidR="002D5231">
        <w:rPr>
          <w:b/>
          <w:bCs/>
          <w:lang w:val="fr-FR"/>
        </w:rPr>
        <w:t> </w:t>
      </w:r>
      <w:r>
        <w:rPr>
          <w:b/>
          <w:bCs/>
          <w:lang w:val="fr-FR"/>
        </w:rPr>
        <w:t>: mesure du courant</w:t>
      </w:r>
      <w:r w:rsidR="002D5231">
        <w:rPr>
          <w:b/>
          <w:bCs/>
          <w:lang w:val="fr-FR"/>
        </w:rPr>
        <w:t> </w:t>
      </w:r>
      <w:r>
        <w:rPr>
          <w:b/>
          <w:bCs/>
          <w:lang w:val="fr-FR"/>
        </w:rPr>
        <w:t>: au moins 0,2 A</w:t>
      </w:r>
      <w:r w:rsidR="002D5231">
        <w:rPr>
          <w:b/>
          <w:bCs/>
          <w:lang w:val="fr-FR"/>
        </w:rPr>
        <w:t> </w:t>
      </w:r>
      <w:r>
        <w:rPr>
          <w:b/>
          <w:bCs/>
          <w:lang w:val="fr-FR"/>
        </w:rPr>
        <w:t>;</w:t>
      </w:r>
    </w:p>
    <w:p w14:paraId="55F471EC" w14:textId="12243AB8" w:rsidR="002B7A37" w:rsidRPr="009479FF" w:rsidRDefault="002B7A37" w:rsidP="002D5231">
      <w:pPr>
        <w:pStyle w:val="SingleTxtG"/>
        <w:ind w:left="2835"/>
        <w:rPr>
          <w:b/>
          <w:bCs/>
          <w:lang w:val="fr-FR"/>
        </w:rPr>
      </w:pPr>
      <w:r w:rsidRPr="003E17C2">
        <w:rPr>
          <w:b/>
          <w:bCs/>
          <w:lang w:val="fr-FR"/>
        </w:rPr>
        <w:t>ii)</w:t>
      </w:r>
      <w:r>
        <w:rPr>
          <w:lang w:val="fr-FR"/>
        </w:rPr>
        <w:tab/>
      </w:r>
      <w:r>
        <w:rPr>
          <w:b/>
          <w:bCs/>
          <w:lang w:val="fr-FR"/>
        </w:rPr>
        <w:t>Résolution</w:t>
      </w:r>
      <w:r w:rsidR="002D5231">
        <w:rPr>
          <w:b/>
          <w:bCs/>
          <w:lang w:val="fr-FR"/>
        </w:rPr>
        <w:t> </w:t>
      </w:r>
      <w:r>
        <w:rPr>
          <w:b/>
          <w:bCs/>
          <w:lang w:val="fr-FR"/>
        </w:rPr>
        <w:t>: 0,01 Ω ou moins</w:t>
      </w:r>
      <w:r w:rsidR="002D5231">
        <w:rPr>
          <w:b/>
          <w:bCs/>
          <w:lang w:val="fr-FR"/>
        </w:rPr>
        <w:t> </w:t>
      </w:r>
      <w:r>
        <w:rPr>
          <w:b/>
          <w:bCs/>
          <w:lang w:val="fr-FR"/>
        </w:rPr>
        <w:t>;</w:t>
      </w:r>
    </w:p>
    <w:p w14:paraId="1DC357AF" w14:textId="77777777" w:rsidR="002B7A37" w:rsidRPr="009479FF" w:rsidRDefault="002B7A37" w:rsidP="002D5231">
      <w:pPr>
        <w:pStyle w:val="SingleTxtG"/>
        <w:ind w:left="2835"/>
        <w:rPr>
          <w:b/>
          <w:bCs/>
          <w:lang w:val="fr-FR"/>
        </w:rPr>
      </w:pPr>
      <w:r w:rsidRPr="003E17C2">
        <w:rPr>
          <w:b/>
          <w:bCs/>
          <w:lang w:val="fr-FR"/>
        </w:rPr>
        <w:t>iii)</w:t>
      </w:r>
      <w:r>
        <w:rPr>
          <w:lang w:val="fr-FR"/>
        </w:rPr>
        <w:tab/>
      </w:r>
      <w:r>
        <w:rPr>
          <w:b/>
          <w:bCs/>
          <w:lang w:val="fr-FR"/>
        </w:rPr>
        <w:t>La résistance R doit être inférieure à 0,1 Ω.</w:t>
      </w:r>
    </w:p>
    <w:p w14:paraId="6A078C18" w14:textId="77777777" w:rsidR="002B7A37" w:rsidRPr="009479FF" w:rsidRDefault="002B7A37" w:rsidP="008849D2">
      <w:pPr>
        <w:pStyle w:val="SingleTxtG"/>
        <w:ind w:left="2835" w:hanging="567"/>
        <w:rPr>
          <w:b/>
          <w:bCs/>
          <w:lang w:val="fr-FR"/>
        </w:rPr>
      </w:pPr>
      <w:r w:rsidRPr="003E17C2">
        <w:rPr>
          <w:b/>
          <w:bCs/>
          <w:lang w:val="fr-FR"/>
        </w:rPr>
        <w:t>b)</w:t>
      </w:r>
      <w:r>
        <w:rPr>
          <w:lang w:val="fr-FR"/>
        </w:rPr>
        <w:tab/>
      </w:r>
      <w:r>
        <w:rPr>
          <w:b/>
          <w:bCs/>
          <w:lang w:val="fr-FR"/>
        </w:rPr>
        <w:t>Méthode d’essai avec une source de courant continu, un voltmètre et un ampèremètre</w:t>
      </w:r>
    </w:p>
    <w:p w14:paraId="3E966569" w14:textId="77777777" w:rsidR="002B7A37" w:rsidRPr="009479FF" w:rsidRDefault="002B7A37" w:rsidP="002D5231">
      <w:pPr>
        <w:pStyle w:val="SingleTxtG"/>
        <w:ind w:left="2835"/>
        <w:rPr>
          <w:b/>
          <w:bCs/>
          <w:lang w:val="fr-FR"/>
        </w:rPr>
      </w:pPr>
      <w:r>
        <w:rPr>
          <w:lang w:val="fr-FR"/>
        </w:rPr>
        <w:tab/>
      </w:r>
      <w:r>
        <w:rPr>
          <w:b/>
          <w:bCs/>
          <w:lang w:val="fr-FR"/>
        </w:rPr>
        <w:t xml:space="preserve">La source de courant continu, le voltmètre et l’ampèremètre sont reliés aux points de mesure (en règle générale, la masse électrique et </w:t>
      </w:r>
      <w:r w:rsidRPr="003E17C2">
        <w:rPr>
          <w:b/>
          <w:bCs/>
          <w:lang w:val="fr-FR"/>
        </w:rPr>
        <w:t>le carter de protection conducteur ou la barrière de protection électrique conductrice</w:t>
      </w:r>
      <w:r>
        <w:rPr>
          <w:b/>
          <w:bCs/>
          <w:lang w:val="fr-FR"/>
        </w:rPr>
        <w:t>).</w:t>
      </w:r>
    </w:p>
    <w:p w14:paraId="2ABD4E2E" w14:textId="77777777" w:rsidR="002B7A37" w:rsidRPr="009479FF" w:rsidRDefault="002B7A37" w:rsidP="002D5231">
      <w:pPr>
        <w:pStyle w:val="SingleTxtG"/>
        <w:ind w:left="2835"/>
        <w:rPr>
          <w:b/>
          <w:bCs/>
          <w:lang w:val="fr-FR"/>
        </w:rPr>
      </w:pPr>
      <w:r>
        <w:rPr>
          <w:b/>
          <w:bCs/>
          <w:lang w:val="fr-FR"/>
        </w:rPr>
        <w:t>On règle la tension de la source de courant continu de manière à obtenir une intensité de 0,2 A au minimum.</w:t>
      </w:r>
    </w:p>
    <w:p w14:paraId="3B6CF6CE" w14:textId="77777777" w:rsidR="002B7A37" w:rsidRPr="009479FF" w:rsidRDefault="002B7A37" w:rsidP="002D5231">
      <w:pPr>
        <w:pStyle w:val="SingleTxtG"/>
        <w:ind w:left="2835"/>
        <w:rPr>
          <w:b/>
          <w:bCs/>
          <w:lang w:val="fr-FR"/>
        </w:rPr>
      </w:pPr>
      <w:r>
        <w:rPr>
          <w:b/>
          <w:bCs/>
          <w:lang w:val="fr-FR"/>
        </w:rPr>
        <w:t>On mesure l’intensité I et la tension U.</w:t>
      </w:r>
    </w:p>
    <w:p w14:paraId="5E450A3C" w14:textId="6647A7CA" w:rsidR="002B7A37" w:rsidRPr="009479FF" w:rsidRDefault="002B7A37" w:rsidP="002D5231">
      <w:pPr>
        <w:pStyle w:val="SingleTxtG"/>
        <w:ind w:left="2835"/>
        <w:rPr>
          <w:b/>
          <w:bCs/>
          <w:lang w:val="fr-FR"/>
        </w:rPr>
      </w:pPr>
      <w:r>
        <w:rPr>
          <w:b/>
          <w:bCs/>
          <w:lang w:val="fr-FR"/>
        </w:rPr>
        <w:t>On calcule la résistance R au moyen de la formule suivante</w:t>
      </w:r>
      <w:r w:rsidR="005A2287">
        <w:rPr>
          <w:b/>
          <w:bCs/>
          <w:lang w:val="fr-FR"/>
        </w:rPr>
        <w:t> </w:t>
      </w:r>
      <w:r>
        <w:rPr>
          <w:b/>
          <w:bCs/>
          <w:lang w:val="fr-FR"/>
        </w:rPr>
        <w:t>:</w:t>
      </w:r>
    </w:p>
    <w:p w14:paraId="19A691FE" w14:textId="77777777" w:rsidR="002B7A37" w:rsidRPr="009479FF" w:rsidRDefault="002B7A37" w:rsidP="002B7A37">
      <w:pPr>
        <w:spacing w:after="120"/>
        <w:ind w:left="2835" w:right="1134" w:firstLine="705"/>
        <w:jc w:val="both"/>
        <w:rPr>
          <w:b/>
          <w:bCs/>
          <w:lang w:val="fr-FR"/>
        </w:rPr>
      </w:pPr>
      <w:r>
        <w:rPr>
          <w:b/>
          <w:bCs/>
          <w:lang w:val="fr-FR"/>
        </w:rPr>
        <w:t>R = U / I</w:t>
      </w:r>
    </w:p>
    <w:p w14:paraId="263B69DC" w14:textId="77777777" w:rsidR="002B7A37" w:rsidRPr="009479FF" w:rsidRDefault="002B7A37" w:rsidP="002D5231">
      <w:pPr>
        <w:pStyle w:val="SingleTxtG"/>
        <w:ind w:left="2835"/>
        <w:rPr>
          <w:b/>
          <w:bCs/>
          <w:lang w:val="fr-FR"/>
        </w:rPr>
      </w:pPr>
      <w:r>
        <w:rPr>
          <w:b/>
          <w:bCs/>
          <w:lang w:val="fr-FR"/>
        </w:rPr>
        <w:t>La résistance R doit être inférieure à 0,1 Ω.</w:t>
      </w:r>
    </w:p>
    <w:p w14:paraId="5058D352" w14:textId="337B5E1B" w:rsidR="002B7A37" w:rsidRPr="009479FF" w:rsidRDefault="002B7A37" w:rsidP="002D5231">
      <w:pPr>
        <w:pStyle w:val="SingleTxtG"/>
        <w:ind w:left="2835"/>
        <w:rPr>
          <w:b/>
          <w:bCs/>
          <w:lang w:val="fr-FR"/>
        </w:rPr>
      </w:pPr>
      <w:r w:rsidRPr="003E17C2">
        <w:rPr>
          <w:b/>
          <w:bCs/>
          <w:i/>
          <w:iCs/>
          <w:lang w:val="fr-FR"/>
        </w:rPr>
        <w:t>Note</w:t>
      </w:r>
      <w:r w:rsidR="005A2287">
        <w:rPr>
          <w:b/>
          <w:bCs/>
          <w:i/>
          <w:iCs/>
          <w:lang w:val="fr-FR"/>
        </w:rPr>
        <w:t> </w:t>
      </w:r>
      <w:r w:rsidRPr="003E17C2">
        <w:rPr>
          <w:b/>
          <w:bCs/>
          <w:i/>
          <w:iCs/>
          <w:lang w:val="fr-FR"/>
        </w:rPr>
        <w:t>:</w:t>
      </w:r>
      <w:r w:rsidRPr="003E17C2">
        <w:rPr>
          <w:b/>
          <w:bCs/>
          <w:lang w:val="fr-FR"/>
        </w:rPr>
        <w:t xml:space="preserve"> Si l</w:t>
      </w:r>
      <w:r>
        <w:rPr>
          <w:b/>
          <w:bCs/>
          <w:lang w:val="fr-FR"/>
        </w:rPr>
        <w:t>’</w:t>
      </w:r>
      <w:r w:rsidRPr="003E17C2">
        <w:rPr>
          <w:b/>
          <w:bCs/>
          <w:lang w:val="fr-FR"/>
        </w:rPr>
        <w:t>on utilise des fils conducteurs pour mesurer la tension et l</w:t>
      </w:r>
      <w:r>
        <w:rPr>
          <w:b/>
          <w:bCs/>
          <w:lang w:val="fr-FR"/>
        </w:rPr>
        <w:t>’</w:t>
      </w:r>
      <w:r w:rsidRPr="003E17C2">
        <w:rPr>
          <w:b/>
          <w:bCs/>
          <w:lang w:val="fr-FR"/>
        </w:rPr>
        <w:t>intensité, chacun d</w:t>
      </w:r>
      <w:r>
        <w:rPr>
          <w:b/>
          <w:bCs/>
          <w:lang w:val="fr-FR"/>
        </w:rPr>
        <w:t>’</w:t>
      </w:r>
      <w:r w:rsidRPr="003E17C2">
        <w:rPr>
          <w:b/>
          <w:bCs/>
          <w:lang w:val="fr-FR"/>
        </w:rPr>
        <w:t>eux doit être raccordé de manière indépendante à la barrière de protection électrique</w:t>
      </w:r>
      <w:r>
        <w:rPr>
          <w:b/>
          <w:bCs/>
          <w:lang w:val="fr-FR"/>
        </w:rPr>
        <w:t xml:space="preserve">, au carter et à </w:t>
      </w:r>
      <w:r w:rsidRPr="003E17C2">
        <w:rPr>
          <w:b/>
          <w:bCs/>
          <w:lang w:val="fr-FR"/>
        </w:rPr>
        <w:t>la masse électrique.</w:t>
      </w:r>
      <w:r>
        <w:rPr>
          <w:lang w:val="fr-FR"/>
        </w:rPr>
        <w:t xml:space="preserve"> </w:t>
      </w:r>
      <w:r>
        <w:rPr>
          <w:b/>
          <w:bCs/>
          <w:lang w:val="fr-FR"/>
        </w:rPr>
        <w:t>La borne peut être utilisée pour la mesure de la tension et de l’intensité.</w:t>
      </w:r>
    </w:p>
    <w:p w14:paraId="7AAFC5AE" w14:textId="123C6B7E" w:rsidR="002B7A37" w:rsidRPr="009479FF" w:rsidRDefault="002B7A37" w:rsidP="002D5231">
      <w:pPr>
        <w:pStyle w:val="SingleTxtG"/>
        <w:ind w:left="2835"/>
        <w:rPr>
          <w:b/>
          <w:bCs/>
          <w:lang w:val="fr-FR"/>
        </w:rPr>
      </w:pPr>
      <w:r>
        <w:rPr>
          <w:lang w:val="fr-FR"/>
        </w:rPr>
        <w:tab/>
      </w:r>
      <w:r>
        <w:rPr>
          <w:b/>
          <w:bCs/>
          <w:lang w:val="fr-FR"/>
        </w:rPr>
        <w:t>Figure ci-dessous</w:t>
      </w:r>
      <w:r w:rsidR="005A2287">
        <w:rPr>
          <w:b/>
          <w:bCs/>
          <w:lang w:val="fr-FR"/>
        </w:rPr>
        <w:t> </w:t>
      </w:r>
      <w:r>
        <w:rPr>
          <w:b/>
          <w:bCs/>
          <w:lang w:val="fr-FR"/>
        </w:rPr>
        <w:t>: exemple de méthode d’essai avec une source de courant continu, un voltmètre et un ampèremètre.</w:t>
      </w:r>
    </w:p>
    <w:p w14:paraId="576B3580" w14:textId="4AC35BC3" w:rsidR="002B7A37" w:rsidRDefault="002B7A37" w:rsidP="005A2287">
      <w:pPr>
        <w:pStyle w:val="Titre1"/>
        <w:spacing w:after="120"/>
        <w:ind w:right="1134"/>
        <w:rPr>
          <w:b/>
          <w:bCs/>
          <w:lang w:val="fr-FR"/>
        </w:rPr>
      </w:pPr>
      <w:r>
        <w:rPr>
          <w:b/>
          <w:bCs/>
          <w:lang w:val="fr-FR"/>
        </w:rPr>
        <w:t>Figure 4</w:t>
      </w:r>
      <w:r w:rsidR="005A2287">
        <w:rPr>
          <w:b/>
          <w:bCs/>
          <w:lang w:val="fr-FR"/>
        </w:rPr>
        <w:br/>
      </w:r>
      <w:r>
        <w:rPr>
          <w:b/>
          <w:bCs/>
          <w:lang w:val="fr-FR"/>
        </w:rPr>
        <w:t>Exemple de méthode d’essai avec une source de courant continu</w:t>
      </w:r>
    </w:p>
    <w:p w14:paraId="7AF9883A" w14:textId="00E841AB" w:rsidR="002B7A37" w:rsidRDefault="005A2287" w:rsidP="005A2287">
      <w:pPr>
        <w:suppressAutoHyphens w:val="0"/>
        <w:spacing w:after="120" w:line="240" w:lineRule="auto"/>
        <w:ind w:left="1134" w:right="1134"/>
      </w:pPr>
      <w:r>
        <w:rPr>
          <w:noProof/>
        </w:rPr>
        <w:drawing>
          <wp:inline distT="0" distB="0" distL="0" distR="0" wp14:anchorId="5B029963" wp14:editId="738CA942">
            <wp:extent cx="4680000" cy="1271973"/>
            <wp:effectExtent l="0" t="0" r="6350" b="4445"/>
            <wp:docPr id="680" name="Imag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0000" cy="1271973"/>
                    </a:xfrm>
                    <a:prstGeom prst="rect">
                      <a:avLst/>
                    </a:prstGeom>
                  </pic:spPr>
                </pic:pic>
              </a:graphicData>
            </a:graphic>
          </wp:inline>
        </w:drawing>
      </w:r>
    </w:p>
    <w:p w14:paraId="51EC17C6" w14:textId="77777777" w:rsidR="002B7A37" w:rsidRPr="009479FF" w:rsidRDefault="002B7A37" w:rsidP="005A2287">
      <w:pPr>
        <w:pStyle w:val="SingleTxtG"/>
        <w:spacing w:before="240"/>
        <w:ind w:left="2268" w:hanging="1134"/>
        <w:rPr>
          <w:b/>
          <w:lang w:val="fr-FR"/>
        </w:rPr>
      </w:pPr>
      <w:r w:rsidRPr="006A71FF">
        <w:rPr>
          <w:b/>
          <w:bCs/>
          <w:lang w:val="fr-FR"/>
        </w:rPr>
        <w:t>5.</w:t>
      </w:r>
      <w:r>
        <w:rPr>
          <w:lang w:val="fr-FR"/>
        </w:rPr>
        <w:tab/>
      </w:r>
      <w:r>
        <w:rPr>
          <w:b/>
          <w:bCs/>
          <w:lang w:val="fr-FR"/>
        </w:rPr>
        <w:t>Résistance d’isolement</w:t>
      </w:r>
    </w:p>
    <w:p w14:paraId="6958E6C3" w14:textId="4B6B2EC7" w:rsidR="002B7A37" w:rsidRPr="009479FF" w:rsidRDefault="002B7A37" w:rsidP="005A2287">
      <w:pPr>
        <w:pStyle w:val="SingleTxtG"/>
        <w:ind w:left="2268" w:hanging="1134"/>
        <w:rPr>
          <w:b/>
          <w:bCs/>
          <w:lang w:val="fr-FR"/>
        </w:rPr>
      </w:pPr>
      <w:r w:rsidRPr="006A71FF">
        <w:rPr>
          <w:b/>
          <w:bCs/>
          <w:lang w:val="fr-FR"/>
        </w:rPr>
        <w:t>5.1</w:t>
      </w:r>
      <w:r>
        <w:rPr>
          <w:lang w:val="fr-FR"/>
        </w:rPr>
        <w:tab/>
      </w:r>
      <w:r w:rsidRPr="006A71FF">
        <w:rPr>
          <w:b/>
          <w:bCs/>
          <w:lang w:val="fr-FR"/>
        </w:rPr>
        <w:t>Instructions</w:t>
      </w:r>
      <w:r>
        <w:rPr>
          <w:lang w:val="fr-FR"/>
        </w:rPr>
        <w:t xml:space="preserve"> </w:t>
      </w:r>
      <w:r>
        <w:rPr>
          <w:b/>
          <w:bCs/>
          <w:lang w:val="fr-FR"/>
        </w:rPr>
        <w:t>générales</w:t>
      </w:r>
    </w:p>
    <w:p w14:paraId="1299ACE5" w14:textId="77777777" w:rsidR="002B7A37" w:rsidRPr="009479FF" w:rsidRDefault="002B7A37" w:rsidP="005A2287">
      <w:pPr>
        <w:pStyle w:val="SingleTxtG"/>
        <w:ind w:left="2268"/>
        <w:rPr>
          <w:b/>
          <w:bCs/>
          <w:lang w:val="fr-FR"/>
        </w:rPr>
      </w:pPr>
      <w:r>
        <w:rPr>
          <w:lang w:val="fr-FR"/>
        </w:rPr>
        <w:tab/>
      </w:r>
      <w:r>
        <w:rPr>
          <w:b/>
          <w:bCs/>
          <w:lang w:val="fr-FR"/>
        </w:rPr>
        <w:t>La résistance d’isolement pour chaque rail haute tension du véhicule est mesurée, ou doit être déterminée en calculant les valeurs correspondant à chaque partie ou unité du rail.</w:t>
      </w:r>
    </w:p>
    <w:p w14:paraId="2C8A8FCE" w14:textId="77777777" w:rsidR="002B7A37" w:rsidRPr="009479FF" w:rsidRDefault="002B7A37" w:rsidP="005A2287">
      <w:pPr>
        <w:pStyle w:val="SingleTxtG"/>
        <w:ind w:left="2268"/>
        <w:rPr>
          <w:b/>
          <w:bCs/>
          <w:lang w:val="fr-FR"/>
        </w:rPr>
      </w:pPr>
      <w:r>
        <w:rPr>
          <w:lang w:val="fr-FR"/>
        </w:rPr>
        <w:tab/>
      </w:r>
      <w:r>
        <w:rPr>
          <w:b/>
          <w:bCs/>
          <w:lang w:val="fr-FR"/>
        </w:rPr>
        <w:t>Toutes les mesures destinées au calcul des tensions et de l’isolement électrique doivent se faire au moins 10 s après le choc.</w:t>
      </w:r>
    </w:p>
    <w:p w14:paraId="5ABB97AB" w14:textId="77777777" w:rsidR="002B7A37" w:rsidRPr="009479FF" w:rsidRDefault="002B7A37" w:rsidP="005A2287">
      <w:pPr>
        <w:pStyle w:val="SingleTxtG"/>
        <w:ind w:left="2268" w:hanging="1134"/>
        <w:rPr>
          <w:b/>
          <w:bCs/>
          <w:lang w:val="fr-FR"/>
        </w:rPr>
      </w:pPr>
      <w:r w:rsidRPr="002E435D">
        <w:rPr>
          <w:b/>
          <w:bCs/>
          <w:lang w:val="fr-FR"/>
        </w:rPr>
        <w:t>5.2</w:t>
      </w:r>
      <w:r>
        <w:rPr>
          <w:lang w:val="fr-FR"/>
        </w:rPr>
        <w:tab/>
      </w:r>
      <w:r>
        <w:rPr>
          <w:b/>
          <w:bCs/>
          <w:lang w:val="fr-FR"/>
        </w:rPr>
        <w:t>Méthode de mesure</w:t>
      </w:r>
    </w:p>
    <w:p w14:paraId="69B6600C" w14:textId="77777777" w:rsidR="002B7A37" w:rsidRPr="009479FF" w:rsidRDefault="002B7A37" w:rsidP="005A2287">
      <w:pPr>
        <w:pStyle w:val="SingleTxtG"/>
        <w:ind w:left="2268"/>
        <w:rPr>
          <w:b/>
          <w:bCs/>
          <w:lang w:val="fr-FR"/>
        </w:rPr>
      </w:pPr>
      <w:r>
        <w:rPr>
          <w:lang w:val="fr-FR"/>
        </w:rPr>
        <w:tab/>
      </w:r>
      <w:r>
        <w:rPr>
          <w:b/>
          <w:bCs/>
          <w:lang w:val="fr-FR"/>
        </w:rPr>
        <w:t>La mesure de la résistance d’isolement se fait au moyen d’une méthode appropriée choisie parmi celles mentionnées aux paragraphes 5.2.1 à 5.2.2 de la présente annexe, en fonction de la charge électrique des éléments sous tension ou de la résistance d’isolement.</w:t>
      </w:r>
      <w:r>
        <w:rPr>
          <w:lang w:val="fr-FR"/>
        </w:rPr>
        <w:t xml:space="preserve"> </w:t>
      </w:r>
    </w:p>
    <w:p w14:paraId="148F9FE7" w14:textId="77777777" w:rsidR="002B7A37" w:rsidRPr="009479FF" w:rsidRDefault="002B7A37" w:rsidP="005A2287">
      <w:pPr>
        <w:pStyle w:val="SingleTxtG"/>
        <w:ind w:left="2268"/>
        <w:rPr>
          <w:b/>
          <w:bCs/>
          <w:lang w:val="fr-FR"/>
        </w:rPr>
      </w:pPr>
      <w:r>
        <w:rPr>
          <w:lang w:val="fr-FR"/>
        </w:rPr>
        <w:tab/>
      </w:r>
      <w:r>
        <w:rPr>
          <w:b/>
          <w:bCs/>
          <w:lang w:val="fr-FR"/>
        </w:rPr>
        <w:t>La gamme de tension du circuit électrique à mesurer est déterminée à l’avance, à l’aide de schémas du circuit.</w:t>
      </w:r>
      <w:r>
        <w:rPr>
          <w:lang w:val="fr-FR"/>
        </w:rPr>
        <w:t xml:space="preserve"> </w:t>
      </w:r>
      <w:r>
        <w:rPr>
          <w:b/>
          <w:bCs/>
          <w:lang w:val="fr-FR"/>
        </w:rPr>
        <w:t>Si les rails haute tension sont galvaniquement isolés les uns des autres, la résistance d’isolement doit être mesurée pour chaque circuit.</w:t>
      </w:r>
    </w:p>
    <w:p w14:paraId="64F617D7" w14:textId="77777777" w:rsidR="002B7A37" w:rsidRPr="009479FF" w:rsidRDefault="002B7A37" w:rsidP="005A2287">
      <w:pPr>
        <w:pStyle w:val="SingleTxtG"/>
        <w:ind w:left="2268"/>
        <w:rPr>
          <w:b/>
          <w:bCs/>
          <w:lang w:val="fr-FR"/>
        </w:rPr>
      </w:pPr>
      <w:r>
        <w:rPr>
          <w:lang w:val="fr-FR"/>
        </w:rPr>
        <w:tab/>
      </w:r>
      <w:r>
        <w:rPr>
          <w:b/>
          <w:bCs/>
          <w:lang w:val="fr-FR"/>
        </w:rPr>
        <w:t>En outre, des modifications visant à permettre la mesure de la résistance d’isolement peuvent être effectuées, telles que l’enlèvement du carter de protection, pour avoir accès aux éléments sous tension, la pose de câbles de mesure et la modification du logiciel.</w:t>
      </w:r>
    </w:p>
    <w:p w14:paraId="4FFD726A" w14:textId="1D4836A7" w:rsidR="002B7A37" w:rsidRPr="009479FF" w:rsidRDefault="002B7A37" w:rsidP="005A2287">
      <w:pPr>
        <w:pStyle w:val="SingleTxtG"/>
        <w:ind w:left="2268"/>
        <w:rPr>
          <w:b/>
          <w:bCs/>
          <w:lang w:val="fr-FR"/>
        </w:rPr>
      </w:pPr>
      <w:r>
        <w:rPr>
          <w:lang w:val="fr-FR"/>
        </w:rPr>
        <w:tab/>
      </w:r>
      <w:r w:rsidRPr="00050D40">
        <w:rPr>
          <w:b/>
          <w:bCs/>
          <w:lang w:val="fr-FR"/>
        </w:rPr>
        <w:t xml:space="preserve">Dans les cas où les valeurs mesurées ne sont pas stables du fait du fonctionnement du </w:t>
      </w:r>
      <w:r>
        <w:rPr>
          <w:b/>
          <w:bCs/>
          <w:lang w:val="fr-FR"/>
        </w:rPr>
        <w:t>dispositif</w:t>
      </w:r>
      <w:r w:rsidRPr="00050D40">
        <w:rPr>
          <w:b/>
          <w:bCs/>
          <w:lang w:val="fr-FR"/>
        </w:rPr>
        <w:t xml:space="preserve"> </w:t>
      </w:r>
      <w:r>
        <w:rPr>
          <w:b/>
          <w:bCs/>
          <w:lang w:val="fr-FR"/>
        </w:rPr>
        <w:t xml:space="preserve">embarqué </w:t>
      </w:r>
      <w:r w:rsidRPr="00050D40">
        <w:rPr>
          <w:b/>
          <w:bCs/>
          <w:lang w:val="fr-FR"/>
        </w:rPr>
        <w:t xml:space="preserve">de </w:t>
      </w:r>
      <w:r>
        <w:rPr>
          <w:b/>
          <w:bCs/>
          <w:lang w:val="fr-FR"/>
        </w:rPr>
        <w:t>surveillance</w:t>
      </w:r>
      <w:r w:rsidRPr="00050D40">
        <w:rPr>
          <w:b/>
          <w:bCs/>
          <w:lang w:val="fr-FR"/>
        </w:rPr>
        <w:t xml:space="preserve"> de la résistance d</w:t>
      </w:r>
      <w:r>
        <w:rPr>
          <w:b/>
          <w:bCs/>
          <w:lang w:val="fr-FR"/>
        </w:rPr>
        <w:t>’</w:t>
      </w:r>
      <w:r w:rsidRPr="00050D40">
        <w:rPr>
          <w:b/>
          <w:bCs/>
          <w:lang w:val="fr-FR"/>
        </w:rPr>
        <w:t>isolement, il est permis d</w:t>
      </w:r>
      <w:r>
        <w:rPr>
          <w:b/>
          <w:bCs/>
          <w:lang w:val="fr-FR"/>
        </w:rPr>
        <w:t>’</w:t>
      </w:r>
      <w:r w:rsidRPr="00050D40">
        <w:rPr>
          <w:b/>
          <w:bCs/>
          <w:lang w:val="fr-FR"/>
        </w:rPr>
        <w:t xml:space="preserve">effectuer les modifications nécessaires pour exécuter la mesure, </w:t>
      </w:r>
      <w:r>
        <w:rPr>
          <w:b/>
          <w:bCs/>
          <w:lang w:val="fr-FR"/>
        </w:rPr>
        <w:t xml:space="preserve">à savoir </w:t>
      </w:r>
      <w:r w:rsidRPr="00050D40">
        <w:rPr>
          <w:b/>
          <w:bCs/>
          <w:lang w:val="fr-FR"/>
        </w:rPr>
        <w:t>interrompre le fonctionnement du dispositif en question ou le désinstaller</w:t>
      </w:r>
      <w:r>
        <w:rPr>
          <w:b/>
          <w:bCs/>
          <w:lang w:val="fr-FR"/>
        </w:rPr>
        <w:t>. Si l’on enlève</w:t>
      </w:r>
      <w:r w:rsidRPr="00E1691B">
        <w:rPr>
          <w:b/>
          <w:bCs/>
          <w:lang w:val="fr-FR"/>
        </w:rPr>
        <w:t xml:space="preserve"> le dispositif, il doit être démontré, </w:t>
      </w:r>
      <w:r>
        <w:rPr>
          <w:b/>
          <w:bCs/>
          <w:lang w:val="fr-FR"/>
        </w:rPr>
        <w:t>à l’aide</w:t>
      </w:r>
      <w:r w:rsidRPr="00E1691B">
        <w:rPr>
          <w:b/>
          <w:bCs/>
          <w:lang w:val="fr-FR"/>
        </w:rPr>
        <w:t xml:space="preserve"> de schémas, que cette opération ne modifie pas la résistance d</w:t>
      </w:r>
      <w:r>
        <w:rPr>
          <w:b/>
          <w:bCs/>
          <w:lang w:val="fr-FR"/>
        </w:rPr>
        <w:t>’</w:t>
      </w:r>
      <w:r w:rsidRPr="00E1691B">
        <w:rPr>
          <w:b/>
          <w:bCs/>
          <w:lang w:val="fr-FR"/>
        </w:rPr>
        <w:t>isolement entre les éléments sous tension et la masse électrique.</w:t>
      </w:r>
    </w:p>
    <w:p w14:paraId="491B2825" w14:textId="77777777" w:rsidR="002B7A37" w:rsidRPr="009479FF" w:rsidRDefault="002B7A37" w:rsidP="005A2287">
      <w:pPr>
        <w:pStyle w:val="SingleTxtG"/>
        <w:ind w:left="2268"/>
        <w:rPr>
          <w:b/>
          <w:bCs/>
          <w:lang w:val="fr-FR"/>
        </w:rPr>
      </w:pPr>
      <w:r>
        <w:rPr>
          <w:lang w:val="fr-FR"/>
        </w:rPr>
        <w:tab/>
      </w:r>
      <w:r>
        <w:rPr>
          <w:b/>
          <w:bCs/>
          <w:lang w:val="fr-FR"/>
        </w:rPr>
        <w:t>Les modifications effectuées ne doivent pas avoir d’incidences sur les résultats de l’essai.</w:t>
      </w:r>
    </w:p>
    <w:p w14:paraId="31DFF2E7" w14:textId="77777777" w:rsidR="002B7A37" w:rsidRPr="009479FF" w:rsidRDefault="002B7A37" w:rsidP="005A2287">
      <w:pPr>
        <w:pStyle w:val="SingleTxtG"/>
        <w:ind w:left="2268"/>
        <w:rPr>
          <w:b/>
          <w:bCs/>
          <w:lang w:val="fr-FR"/>
        </w:rPr>
      </w:pPr>
      <w:r>
        <w:rPr>
          <w:lang w:val="fr-FR"/>
        </w:rPr>
        <w:tab/>
        <w:t>S</w:t>
      </w:r>
      <w:r>
        <w:rPr>
          <w:b/>
          <w:bCs/>
          <w:lang w:val="fr-FR"/>
        </w:rPr>
        <w:t>i l’on emploie cette méthode de confirmation, qui peut nécessiter une alimentation directe du circuit à haute tension, de très grandes précautions doivent être prises pour éviter les courts-circuits ou les risques de décharge électrique.</w:t>
      </w:r>
    </w:p>
    <w:p w14:paraId="77764B20" w14:textId="77777777" w:rsidR="002B7A37" w:rsidRPr="009479FF" w:rsidRDefault="002B7A37" w:rsidP="005A2287">
      <w:pPr>
        <w:pStyle w:val="SingleTxtG"/>
        <w:ind w:left="2268" w:hanging="1134"/>
        <w:rPr>
          <w:b/>
          <w:bCs/>
          <w:lang w:val="fr-FR"/>
        </w:rPr>
      </w:pPr>
      <w:r w:rsidRPr="00E1691B">
        <w:rPr>
          <w:b/>
          <w:bCs/>
          <w:lang w:val="fr-FR"/>
        </w:rPr>
        <w:t>5.2.1</w:t>
      </w:r>
      <w:r>
        <w:rPr>
          <w:lang w:val="fr-FR"/>
        </w:rPr>
        <w:tab/>
      </w:r>
      <w:r>
        <w:rPr>
          <w:b/>
          <w:bCs/>
          <w:lang w:val="fr-FR"/>
        </w:rPr>
        <w:t>Mesure par utilisation d’une tension continue d’une source extérieure</w:t>
      </w:r>
    </w:p>
    <w:p w14:paraId="102D0835" w14:textId="77777777" w:rsidR="002B7A37" w:rsidRPr="009479FF" w:rsidRDefault="002B7A37" w:rsidP="005A2287">
      <w:pPr>
        <w:pStyle w:val="SingleTxtG"/>
        <w:ind w:left="2268" w:hanging="1134"/>
        <w:rPr>
          <w:b/>
          <w:bCs/>
          <w:lang w:val="fr-FR"/>
        </w:rPr>
      </w:pPr>
      <w:r w:rsidRPr="00753771">
        <w:rPr>
          <w:b/>
          <w:bCs/>
          <w:lang w:val="fr-FR"/>
        </w:rPr>
        <w:t>5.2.1.1</w:t>
      </w:r>
      <w:r>
        <w:rPr>
          <w:lang w:val="fr-FR"/>
        </w:rPr>
        <w:tab/>
      </w:r>
      <w:r>
        <w:rPr>
          <w:b/>
          <w:bCs/>
          <w:lang w:val="fr-FR"/>
        </w:rPr>
        <w:t>Appareil de mesure</w:t>
      </w:r>
    </w:p>
    <w:p w14:paraId="2AA09D37" w14:textId="77777777" w:rsidR="002B7A37" w:rsidRPr="009479FF" w:rsidRDefault="002B7A37" w:rsidP="005A2287">
      <w:pPr>
        <w:pStyle w:val="SingleTxtG"/>
        <w:ind w:left="2268"/>
        <w:rPr>
          <w:b/>
          <w:bCs/>
          <w:lang w:val="fr-FR"/>
        </w:rPr>
      </w:pPr>
      <w:r>
        <w:rPr>
          <w:lang w:val="fr-FR"/>
        </w:rPr>
        <w:tab/>
      </w:r>
      <w:r>
        <w:rPr>
          <w:b/>
          <w:bCs/>
          <w:lang w:val="fr-FR"/>
        </w:rPr>
        <w:t>On utilise un instrument d’essai de résistance d’isolement pouvant appliquer une tension continue supérieure à la tension de fonctionnement du rail haute tension.</w:t>
      </w:r>
    </w:p>
    <w:p w14:paraId="6EBC1727" w14:textId="77777777" w:rsidR="002B7A37" w:rsidRPr="009479FF" w:rsidRDefault="002B7A37" w:rsidP="005A2287">
      <w:pPr>
        <w:pStyle w:val="SingleTxtG"/>
        <w:ind w:left="2268" w:hanging="1134"/>
        <w:rPr>
          <w:b/>
          <w:bCs/>
          <w:lang w:val="fr-FR"/>
        </w:rPr>
      </w:pPr>
      <w:r w:rsidRPr="00753771">
        <w:rPr>
          <w:b/>
          <w:bCs/>
          <w:lang w:val="fr-FR"/>
        </w:rPr>
        <w:t>5.2.1.2</w:t>
      </w:r>
      <w:r>
        <w:rPr>
          <w:lang w:val="fr-FR"/>
        </w:rPr>
        <w:tab/>
      </w:r>
      <w:r>
        <w:rPr>
          <w:b/>
          <w:bCs/>
          <w:lang w:val="fr-FR"/>
        </w:rPr>
        <w:t>Méthode</w:t>
      </w:r>
    </w:p>
    <w:p w14:paraId="40D11AA5" w14:textId="77777777" w:rsidR="002B7A37" w:rsidRPr="009479FF" w:rsidRDefault="002B7A37" w:rsidP="005A2287">
      <w:pPr>
        <w:pStyle w:val="SingleTxtG"/>
        <w:ind w:left="2268"/>
        <w:rPr>
          <w:b/>
          <w:bCs/>
          <w:lang w:val="fr-FR"/>
        </w:rPr>
      </w:pPr>
      <w:r>
        <w:rPr>
          <w:lang w:val="fr-FR"/>
        </w:rPr>
        <w:tab/>
      </w:r>
      <w:r>
        <w:rPr>
          <w:b/>
          <w:bCs/>
          <w:lang w:val="fr-FR"/>
        </w:rPr>
        <w:t>Un instrument d’essai de résistance d’isolement est raccordé entre les éléments sous tension et la masse électrique.</w:t>
      </w:r>
      <w:r>
        <w:rPr>
          <w:lang w:val="fr-FR"/>
        </w:rPr>
        <w:t xml:space="preserve"> </w:t>
      </w:r>
      <w:r>
        <w:rPr>
          <w:b/>
          <w:bCs/>
          <w:lang w:val="fr-FR"/>
        </w:rPr>
        <w:t>La résistance d’isolement est alors mesurée par application d’une tension continue au moins égale à la moitié de la tension de fonctionnement du rail haute tension.</w:t>
      </w:r>
    </w:p>
    <w:p w14:paraId="30F7FFF0" w14:textId="77777777" w:rsidR="002B7A37" w:rsidRPr="009479FF" w:rsidRDefault="002B7A37" w:rsidP="005A2287">
      <w:pPr>
        <w:pStyle w:val="SingleTxtG"/>
        <w:ind w:left="2268"/>
        <w:rPr>
          <w:b/>
          <w:bCs/>
          <w:lang w:val="fr-FR"/>
        </w:rPr>
      </w:pPr>
      <w:r>
        <w:rPr>
          <w:lang w:val="fr-FR"/>
        </w:rPr>
        <w:tab/>
      </w:r>
      <w:r>
        <w:rPr>
          <w:b/>
          <w:bCs/>
          <w:lang w:val="fr-FR"/>
        </w:rPr>
        <w:t>Si le système a plusieurs plages de tension (par exemple en raison de la présence d’un convertisseur d’appoint) dans un circuit galvaniquement relié, et si certains des composants ne peuvent pas supporter la tension de fonctionnement du circuit complet, la résistance d’isolement entre ces composants et la masse électrique peut être mesurée séparément par application d’au moins la moitié de la tension de fonctionnement propre de ceux-ci, ces composants étant déconnectés.</w:t>
      </w:r>
    </w:p>
    <w:p w14:paraId="3522656B" w14:textId="77777777" w:rsidR="002B7A37" w:rsidRPr="009479FF" w:rsidRDefault="002B7A37" w:rsidP="005A2287">
      <w:pPr>
        <w:pStyle w:val="SingleTxtG"/>
        <w:ind w:left="2268" w:hanging="1134"/>
        <w:rPr>
          <w:b/>
          <w:bCs/>
          <w:lang w:val="fr-FR"/>
        </w:rPr>
      </w:pPr>
      <w:r w:rsidRPr="008577FD">
        <w:rPr>
          <w:b/>
          <w:bCs/>
          <w:lang w:val="fr-FR"/>
        </w:rPr>
        <w:t>5.2.2</w:t>
      </w:r>
      <w:r>
        <w:rPr>
          <w:lang w:val="fr-FR"/>
        </w:rPr>
        <w:tab/>
      </w:r>
      <w:r>
        <w:rPr>
          <w:b/>
          <w:bCs/>
          <w:lang w:val="fr-FR"/>
        </w:rPr>
        <w:t>Mesure par utilisation du SRSEE du véhicule comme source de tension continue</w:t>
      </w:r>
    </w:p>
    <w:p w14:paraId="03997B70" w14:textId="77777777" w:rsidR="002B7A37" w:rsidRPr="009479FF" w:rsidRDefault="002B7A37" w:rsidP="005A2287">
      <w:pPr>
        <w:pStyle w:val="SingleTxtG"/>
        <w:ind w:left="2268" w:hanging="1134"/>
        <w:rPr>
          <w:b/>
          <w:bCs/>
          <w:lang w:val="fr-FR"/>
        </w:rPr>
      </w:pPr>
      <w:r w:rsidRPr="008577FD">
        <w:rPr>
          <w:b/>
          <w:bCs/>
          <w:lang w:val="fr-FR"/>
        </w:rPr>
        <w:t>5.2.2.1</w:t>
      </w:r>
      <w:r>
        <w:rPr>
          <w:lang w:val="fr-FR"/>
        </w:rPr>
        <w:tab/>
      </w:r>
      <w:r>
        <w:rPr>
          <w:b/>
          <w:bCs/>
          <w:lang w:val="fr-FR"/>
        </w:rPr>
        <w:t>Conditions d’essai</w:t>
      </w:r>
    </w:p>
    <w:p w14:paraId="322128B1" w14:textId="77777777" w:rsidR="002B7A37" w:rsidRPr="009479FF" w:rsidRDefault="002B7A37" w:rsidP="005A2287">
      <w:pPr>
        <w:pStyle w:val="SingleTxtG"/>
        <w:ind w:left="2268"/>
        <w:rPr>
          <w:b/>
          <w:bCs/>
          <w:lang w:val="fr-FR"/>
        </w:rPr>
      </w:pPr>
      <w:r>
        <w:rPr>
          <w:lang w:val="fr-FR"/>
        </w:rPr>
        <w:tab/>
      </w:r>
      <w:r>
        <w:rPr>
          <w:b/>
          <w:bCs/>
          <w:lang w:val="fr-FR"/>
        </w:rPr>
        <w:t>Le rail haute tension est mis sous tension par le SRSEE et/ou le système convertisseur</w:t>
      </w:r>
      <w:r w:rsidRPr="008577FD">
        <w:rPr>
          <w:b/>
          <w:bCs/>
          <w:lang w:val="fr-FR"/>
        </w:rPr>
        <w:t xml:space="preserve"> </w:t>
      </w:r>
      <w:r>
        <w:rPr>
          <w:b/>
          <w:bCs/>
          <w:lang w:val="fr-FR"/>
        </w:rPr>
        <w:t>du véhicule. Durant l’essai, la tension du SRSEE et/ou du système convertisseur doit être au moins égale à la tension de fonctionnement nominale spécifiée par le constructeur du véhicule.</w:t>
      </w:r>
    </w:p>
    <w:p w14:paraId="3D22E033" w14:textId="77777777" w:rsidR="002B7A37" w:rsidRPr="009479FF" w:rsidRDefault="002B7A37" w:rsidP="005A2287">
      <w:pPr>
        <w:pStyle w:val="SingleTxtG"/>
        <w:ind w:left="2268" w:hanging="1134"/>
        <w:rPr>
          <w:b/>
          <w:bCs/>
          <w:lang w:val="fr-FR"/>
        </w:rPr>
      </w:pPr>
      <w:r w:rsidRPr="008577FD">
        <w:rPr>
          <w:b/>
          <w:bCs/>
          <w:lang w:val="fr-FR"/>
        </w:rPr>
        <w:t>5.2.2.2</w:t>
      </w:r>
      <w:r>
        <w:rPr>
          <w:lang w:val="fr-FR"/>
        </w:rPr>
        <w:tab/>
      </w:r>
      <w:r>
        <w:rPr>
          <w:b/>
          <w:bCs/>
          <w:lang w:val="fr-FR"/>
        </w:rPr>
        <w:t>Appareil de mesure</w:t>
      </w:r>
    </w:p>
    <w:p w14:paraId="7DFFCC74" w14:textId="77777777" w:rsidR="002B7A37" w:rsidRPr="009479FF" w:rsidRDefault="002B7A37" w:rsidP="005A2287">
      <w:pPr>
        <w:pStyle w:val="SingleTxtG"/>
        <w:ind w:left="2268"/>
        <w:rPr>
          <w:b/>
          <w:bCs/>
          <w:lang w:val="fr-FR"/>
        </w:rPr>
      </w:pPr>
      <w:r>
        <w:rPr>
          <w:lang w:val="fr-FR"/>
        </w:rPr>
        <w:tab/>
      </w:r>
      <w:r>
        <w:rPr>
          <w:b/>
          <w:bCs/>
          <w:lang w:val="fr-FR"/>
        </w:rPr>
        <w:t>Le voltmètre utilisé pour l’essai doit mesurer les valeurs du courant continu et avoir une résistance interne minimale de 10 MΩ.</w:t>
      </w:r>
    </w:p>
    <w:p w14:paraId="59538CBA" w14:textId="77777777" w:rsidR="002B7A37" w:rsidRPr="009479FF" w:rsidRDefault="002B7A37" w:rsidP="00340C0E">
      <w:pPr>
        <w:pStyle w:val="SingleTxtG"/>
        <w:keepNext/>
        <w:ind w:left="2268" w:hanging="1134"/>
        <w:rPr>
          <w:b/>
          <w:bCs/>
          <w:lang w:val="fr-FR"/>
        </w:rPr>
      </w:pPr>
      <w:r w:rsidRPr="008577FD">
        <w:rPr>
          <w:b/>
          <w:bCs/>
          <w:lang w:val="fr-FR"/>
        </w:rPr>
        <w:t>5.2.2.3.</w:t>
      </w:r>
      <w:r>
        <w:rPr>
          <w:lang w:val="fr-FR"/>
        </w:rPr>
        <w:tab/>
      </w:r>
      <w:r>
        <w:rPr>
          <w:b/>
          <w:bCs/>
          <w:lang w:val="fr-FR"/>
        </w:rPr>
        <w:t>Méthode</w:t>
      </w:r>
    </w:p>
    <w:p w14:paraId="754AAEE2" w14:textId="77777777" w:rsidR="002B7A37" w:rsidRPr="009479FF" w:rsidRDefault="002B7A37" w:rsidP="00340C0E">
      <w:pPr>
        <w:pStyle w:val="SingleTxtG"/>
        <w:keepNext/>
        <w:ind w:left="2268" w:hanging="1134"/>
        <w:rPr>
          <w:b/>
          <w:bCs/>
          <w:lang w:val="fr-FR"/>
        </w:rPr>
      </w:pPr>
      <w:r w:rsidRPr="008577FD">
        <w:rPr>
          <w:b/>
          <w:bCs/>
          <w:lang w:val="fr-FR"/>
        </w:rPr>
        <w:t>5.2.2.3.1</w:t>
      </w:r>
      <w:r>
        <w:rPr>
          <w:lang w:val="fr-FR"/>
        </w:rPr>
        <w:tab/>
      </w:r>
      <w:r>
        <w:rPr>
          <w:b/>
          <w:bCs/>
          <w:lang w:val="fr-FR"/>
        </w:rPr>
        <w:t>Première étape</w:t>
      </w:r>
    </w:p>
    <w:p w14:paraId="4D2402D8" w14:textId="77777777" w:rsidR="002B7A37" w:rsidRPr="008577FD" w:rsidRDefault="002B7A37" w:rsidP="005A2287">
      <w:pPr>
        <w:pStyle w:val="SingleTxtG"/>
        <w:ind w:left="2268"/>
        <w:rPr>
          <w:b/>
          <w:bCs/>
          <w:lang w:val="fr-FR"/>
        </w:rPr>
      </w:pPr>
      <w:r w:rsidRPr="008577FD">
        <w:rPr>
          <w:b/>
          <w:bCs/>
          <w:lang w:val="fr-FR"/>
        </w:rPr>
        <w:tab/>
        <w:t>La tension est mesurée comme indiqué à la figure 1. La tension du rail haute tension (U</w:t>
      </w:r>
      <w:r w:rsidRPr="008577FD">
        <w:rPr>
          <w:b/>
          <w:bCs/>
          <w:vertAlign w:val="subscript"/>
          <w:lang w:val="fr-FR"/>
        </w:rPr>
        <w:t>b</w:t>
      </w:r>
      <w:r w:rsidRPr="008577FD">
        <w:rPr>
          <w:b/>
          <w:bCs/>
          <w:lang w:val="fr-FR"/>
        </w:rPr>
        <w:t>) est consignée. U</w:t>
      </w:r>
      <w:r w:rsidRPr="008577FD">
        <w:rPr>
          <w:b/>
          <w:bCs/>
          <w:vertAlign w:val="subscript"/>
          <w:lang w:val="fr-FR"/>
        </w:rPr>
        <w:t>b</w:t>
      </w:r>
      <w:r w:rsidRPr="008577FD">
        <w:rPr>
          <w:b/>
          <w:bCs/>
          <w:lang w:val="fr-FR"/>
        </w:rPr>
        <w:t xml:space="preserve"> doit être égale ou supérieure à la tension de fonctionnement nominale du SRSEE et/ou du système convertisseur, telle qu</w:t>
      </w:r>
      <w:r>
        <w:rPr>
          <w:b/>
          <w:bCs/>
          <w:lang w:val="fr-FR"/>
        </w:rPr>
        <w:t>’</w:t>
      </w:r>
      <w:r w:rsidRPr="008577FD">
        <w:rPr>
          <w:b/>
          <w:bCs/>
          <w:lang w:val="fr-FR"/>
        </w:rPr>
        <w:t>indiquée par le constructeur du véhicule.</w:t>
      </w:r>
    </w:p>
    <w:p w14:paraId="798E044A" w14:textId="77777777" w:rsidR="002B7A37" w:rsidRPr="009479FF" w:rsidRDefault="002B7A37" w:rsidP="005A2287">
      <w:pPr>
        <w:pStyle w:val="SingleTxtG"/>
        <w:ind w:left="2268" w:hanging="1134"/>
        <w:rPr>
          <w:b/>
          <w:bCs/>
          <w:lang w:val="fr-FR"/>
        </w:rPr>
      </w:pPr>
      <w:r w:rsidRPr="008577FD">
        <w:rPr>
          <w:b/>
          <w:bCs/>
          <w:lang w:val="fr-FR"/>
        </w:rPr>
        <w:t>5.2.2.3.2</w:t>
      </w:r>
      <w:r>
        <w:rPr>
          <w:lang w:val="fr-FR"/>
        </w:rPr>
        <w:tab/>
      </w:r>
      <w:r>
        <w:rPr>
          <w:b/>
          <w:bCs/>
          <w:lang w:val="fr-FR"/>
        </w:rPr>
        <w:t>Deuxième étape</w:t>
      </w:r>
    </w:p>
    <w:p w14:paraId="58477355" w14:textId="77777777" w:rsidR="002B7A37" w:rsidRPr="008577FD" w:rsidRDefault="002B7A37" w:rsidP="005A2287">
      <w:pPr>
        <w:pStyle w:val="SingleTxtG"/>
        <w:ind w:left="2268"/>
        <w:rPr>
          <w:b/>
          <w:bCs/>
          <w:lang w:val="fr-FR"/>
        </w:rPr>
      </w:pPr>
      <w:r>
        <w:rPr>
          <w:lang w:val="fr-FR"/>
        </w:rPr>
        <w:tab/>
      </w:r>
      <w:r w:rsidRPr="008577FD">
        <w:rPr>
          <w:b/>
          <w:bCs/>
          <w:lang w:val="fr-FR"/>
        </w:rPr>
        <w:t>La tension (U</w:t>
      </w:r>
      <w:r w:rsidRPr="008577FD">
        <w:rPr>
          <w:b/>
          <w:bCs/>
          <w:vertAlign w:val="subscript"/>
          <w:lang w:val="fr-FR"/>
        </w:rPr>
        <w:t>1</w:t>
      </w:r>
      <w:r w:rsidRPr="008577FD">
        <w:rPr>
          <w:b/>
          <w:bCs/>
          <w:lang w:val="fr-FR"/>
        </w:rPr>
        <w:t xml:space="preserve">) entre le pôle négatif du rail haute tension et la masse électrique est mesurée et consignée (voir </w:t>
      </w:r>
      <w:r>
        <w:rPr>
          <w:b/>
          <w:bCs/>
          <w:lang w:val="fr-FR"/>
        </w:rPr>
        <w:t xml:space="preserve">la </w:t>
      </w:r>
      <w:r w:rsidRPr="008577FD">
        <w:rPr>
          <w:b/>
          <w:bCs/>
          <w:lang w:val="fr-FR"/>
        </w:rPr>
        <w:t>fig</w:t>
      </w:r>
      <w:r>
        <w:rPr>
          <w:b/>
          <w:bCs/>
          <w:lang w:val="fr-FR"/>
        </w:rPr>
        <w:t>ure</w:t>
      </w:r>
      <w:r w:rsidRPr="008577FD">
        <w:rPr>
          <w:b/>
          <w:bCs/>
          <w:lang w:val="fr-FR"/>
        </w:rPr>
        <w:t xml:space="preserve"> 1).</w:t>
      </w:r>
    </w:p>
    <w:p w14:paraId="482065CF" w14:textId="77777777" w:rsidR="002B7A37" w:rsidRPr="009479FF" w:rsidRDefault="002B7A37" w:rsidP="005A2287">
      <w:pPr>
        <w:pStyle w:val="SingleTxtG"/>
        <w:ind w:left="2268" w:hanging="1134"/>
        <w:rPr>
          <w:b/>
          <w:bCs/>
          <w:lang w:val="fr-FR"/>
        </w:rPr>
      </w:pPr>
      <w:r w:rsidRPr="008577FD">
        <w:rPr>
          <w:b/>
          <w:bCs/>
          <w:lang w:val="fr-FR"/>
        </w:rPr>
        <w:t>5.2.2.3.3</w:t>
      </w:r>
      <w:r>
        <w:rPr>
          <w:lang w:val="fr-FR"/>
        </w:rPr>
        <w:tab/>
      </w:r>
      <w:r>
        <w:rPr>
          <w:b/>
          <w:bCs/>
          <w:lang w:val="fr-FR"/>
        </w:rPr>
        <w:t>Troisième étape</w:t>
      </w:r>
    </w:p>
    <w:p w14:paraId="1DEE9F8D" w14:textId="77777777" w:rsidR="002B7A37" w:rsidRPr="008577FD" w:rsidRDefault="002B7A37" w:rsidP="005A2287">
      <w:pPr>
        <w:pStyle w:val="SingleTxtG"/>
        <w:ind w:left="2268"/>
        <w:rPr>
          <w:b/>
          <w:bCs/>
          <w:lang w:val="fr-FR"/>
        </w:rPr>
      </w:pPr>
      <w:r w:rsidRPr="008577FD">
        <w:rPr>
          <w:b/>
          <w:bCs/>
          <w:lang w:val="fr-FR"/>
        </w:rPr>
        <w:tab/>
        <w:t>La tension (U</w:t>
      </w:r>
      <w:r w:rsidRPr="008577FD">
        <w:rPr>
          <w:b/>
          <w:bCs/>
          <w:vertAlign w:val="subscript"/>
          <w:lang w:val="fr-FR"/>
        </w:rPr>
        <w:t>2</w:t>
      </w:r>
      <w:r w:rsidRPr="008577FD">
        <w:rPr>
          <w:b/>
          <w:bCs/>
          <w:lang w:val="fr-FR"/>
        </w:rPr>
        <w:t>) entre le pôle positif du rail haute tension et la masse électrique est mesurée et consignée (voir</w:t>
      </w:r>
      <w:r>
        <w:rPr>
          <w:b/>
          <w:bCs/>
          <w:lang w:val="fr-FR"/>
        </w:rPr>
        <w:t xml:space="preserve"> la</w:t>
      </w:r>
      <w:r w:rsidRPr="008577FD">
        <w:rPr>
          <w:b/>
          <w:bCs/>
          <w:lang w:val="fr-FR"/>
        </w:rPr>
        <w:t xml:space="preserve"> fig</w:t>
      </w:r>
      <w:r>
        <w:rPr>
          <w:b/>
          <w:bCs/>
          <w:lang w:val="fr-FR"/>
        </w:rPr>
        <w:t>ure</w:t>
      </w:r>
      <w:r w:rsidRPr="008577FD">
        <w:rPr>
          <w:b/>
          <w:bCs/>
          <w:lang w:val="fr-FR"/>
        </w:rPr>
        <w:t xml:space="preserve"> 1).</w:t>
      </w:r>
    </w:p>
    <w:p w14:paraId="666BA688" w14:textId="77777777" w:rsidR="002B7A37" w:rsidRPr="009479FF" w:rsidRDefault="002B7A37" w:rsidP="005A2287">
      <w:pPr>
        <w:pStyle w:val="SingleTxtG"/>
        <w:ind w:left="2268" w:hanging="1134"/>
        <w:rPr>
          <w:b/>
          <w:bCs/>
          <w:lang w:val="fr-FR"/>
        </w:rPr>
      </w:pPr>
      <w:r w:rsidRPr="008577FD">
        <w:rPr>
          <w:b/>
          <w:bCs/>
          <w:lang w:val="fr-FR"/>
        </w:rPr>
        <w:t>5.2.2.3.4</w:t>
      </w:r>
      <w:r>
        <w:rPr>
          <w:lang w:val="fr-FR"/>
        </w:rPr>
        <w:tab/>
      </w:r>
      <w:r>
        <w:rPr>
          <w:b/>
          <w:bCs/>
          <w:lang w:val="fr-FR"/>
        </w:rPr>
        <w:t>Quatrième étape</w:t>
      </w:r>
    </w:p>
    <w:p w14:paraId="4AE0A618" w14:textId="54CA1E28" w:rsidR="002B7A37" w:rsidRPr="00280005" w:rsidRDefault="002B7A37" w:rsidP="005A2287">
      <w:pPr>
        <w:pStyle w:val="SingleTxtG"/>
        <w:ind w:left="2268"/>
        <w:rPr>
          <w:b/>
          <w:bCs/>
          <w:lang w:val="fr-FR"/>
        </w:rPr>
      </w:pPr>
      <w:r w:rsidRPr="00280005">
        <w:rPr>
          <w:b/>
          <w:bCs/>
          <w:lang w:val="fr-FR"/>
        </w:rPr>
        <w:tab/>
        <w:t>Si U</w:t>
      </w:r>
      <w:r w:rsidRPr="00280005">
        <w:rPr>
          <w:b/>
          <w:bCs/>
          <w:vertAlign w:val="subscript"/>
          <w:lang w:val="fr-FR"/>
        </w:rPr>
        <w:t>1</w:t>
      </w:r>
      <w:r w:rsidRPr="00280005">
        <w:rPr>
          <w:b/>
          <w:bCs/>
          <w:lang w:val="fr-FR"/>
        </w:rPr>
        <w:t xml:space="preserve"> est égale ou supérieure à U</w:t>
      </w:r>
      <w:r w:rsidRPr="00280005">
        <w:rPr>
          <w:b/>
          <w:bCs/>
          <w:vertAlign w:val="subscript"/>
          <w:lang w:val="fr-FR"/>
        </w:rPr>
        <w:t>2</w:t>
      </w:r>
      <w:r w:rsidRPr="00280005">
        <w:rPr>
          <w:b/>
          <w:bCs/>
          <w:lang w:val="fr-FR"/>
        </w:rPr>
        <w:t>, une résistance normalisée connue (R</w:t>
      </w:r>
      <w:r w:rsidR="00CB2941" w:rsidRPr="00CB2941">
        <w:rPr>
          <w:b/>
          <w:bCs/>
        </w:rPr>
        <w:t>o</w:t>
      </w:r>
      <w:r w:rsidRPr="00280005">
        <w:rPr>
          <w:b/>
          <w:bCs/>
          <w:lang w:val="fr-FR"/>
        </w:rPr>
        <w:t>) est insérée entre le pôle négatif du rail haute tension et la masse électrique. La résistance R</w:t>
      </w:r>
      <w:r>
        <w:rPr>
          <w:b/>
          <w:bCs/>
          <w:lang w:val="fr-FR"/>
        </w:rPr>
        <w:t>o</w:t>
      </w:r>
      <w:r w:rsidRPr="00280005">
        <w:rPr>
          <w:b/>
          <w:bCs/>
          <w:lang w:val="fr-FR"/>
        </w:rPr>
        <w:t xml:space="preserve"> étant en place, la tension (U</w:t>
      </w:r>
      <w:r w:rsidRPr="00280005">
        <w:rPr>
          <w:b/>
          <w:bCs/>
          <w:vertAlign w:val="subscript"/>
          <w:lang w:val="fr-FR"/>
        </w:rPr>
        <w:t>1</w:t>
      </w:r>
      <w:r>
        <w:rPr>
          <w:b/>
          <w:bCs/>
          <w:lang w:val="fr-FR"/>
        </w:rPr>
        <w:t>’</w:t>
      </w:r>
      <w:r w:rsidRPr="00280005">
        <w:rPr>
          <w:b/>
          <w:bCs/>
          <w:lang w:val="fr-FR"/>
        </w:rPr>
        <w:t>) entre le pôle négatif du rail haute tension et la masse électrique est mesurée (voir la figure 5).</w:t>
      </w:r>
    </w:p>
    <w:p w14:paraId="2750B5C5" w14:textId="51F2F4FF" w:rsidR="002B7A37" w:rsidRPr="009479FF" w:rsidRDefault="002B7A37" w:rsidP="005A2287">
      <w:pPr>
        <w:pStyle w:val="SingleTxtG"/>
        <w:ind w:left="2268"/>
        <w:rPr>
          <w:b/>
          <w:bCs/>
          <w:lang w:val="fr-FR"/>
        </w:rPr>
      </w:pPr>
      <w:r>
        <w:rPr>
          <w:lang w:val="fr-FR"/>
        </w:rPr>
        <w:tab/>
      </w:r>
      <w:r>
        <w:rPr>
          <w:b/>
          <w:bCs/>
          <w:lang w:val="fr-FR"/>
        </w:rPr>
        <w:t>L’isolement électrique (R</w:t>
      </w:r>
      <w:r w:rsidRPr="00280005">
        <w:rPr>
          <w:b/>
          <w:bCs/>
          <w:lang w:val="fr-FR"/>
        </w:rPr>
        <w:t>i</w:t>
      </w:r>
      <w:r>
        <w:rPr>
          <w:b/>
          <w:bCs/>
          <w:lang w:val="fr-FR"/>
        </w:rPr>
        <w:t>) est calculé en appliquant la formule suivante</w:t>
      </w:r>
      <w:r w:rsidR="00340C0E">
        <w:rPr>
          <w:b/>
          <w:bCs/>
          <w:lang w:val="fr-FR"/>
        </w:rPr>
        <w:t> </w:t>
      </w:r>
      <w:r>
        <w:rPr>
          <w:b/>
          <w:bCs/>
          <w:lang w:val="fr-FR"/>
        </w:rPr>
        <w:t>:</w:t>
      </w:r>
    </w:p>
    <w:p w14:paraId="5E5A123E" w14:textId="446C69EA" w:rsidR="002B7A37" w:rsidRPr="003327D9" w:rsidRDefault="002B7A37" w:rsidP="00340C0E">
      <w:pPr>
        <w:pStyle w:val="SingleTxtG"/>
        <w:ind w:left="2835"/>
        <w:rPr>
          <w:b/>
          <w:bCs/>
          <w:lang w:val="es-ES"/>
        </w:rPr>
      </w:pPr>
      <w:r w:rsidRPr="00280005">
        <w:rPr>
          <w:b/>
          <w:bCs/>
          <w:lang w:val="fr-FR"/>
        </w:rPr>
        <w:tab/>
      </w:r>
      <w:r w:rsidRPr="003327D9">
        <w:rPr>
          <w:b/>
          <w:bCs/>
          <w:lang w:val="es-ES"/>
        </w:rPr>
        <w:t>Ri = Ro*U</w:t>
      </w:r>
      <w:r w:rsidRPr="003327D9">
        <w:rPr>
          <w:b/>
          <w:bCs/>
          <w:vertAlign w:val="subscript"/>
          <w:lang w:val="es-ES"/>
        </w:rPr>
        <w:t>b</w:t>
      </w:r>
      <w:r w:rsidRPr="003327D9">
        <w:rPr>
          <w:b/>
          <w:bCs/>
          <w:lang w:val="es-ES"/>
        </w:rPr>
        <w:t>*(1/U</w:t>
      </w:r>
      <w:r w:rsidRPr="003327D9">
        <w:rPr>
          <w:b/>
          <w:bCs/>
          <w:vertAlign w:val="subscript"/>
          <w:lang w:val="es-ES"/>
        </w:rPr>
        <w:t>1</w:t>
      </w:r>
      <w:r>
        <w:rPr>
          <w:b/>
          <w:bCs/>
          <w:lang w:val="es-ES"/>
        </w:rPr>
        <w:t>’</w:t>
      </w:r>
      <w:r w:rsidRPr="003327D9">
        <w:rPr>
          <w:b/>
          <w:bCs/>
          <w:lang w:val="es-ES"/>
        </w:rPr>
        <w:t xml:space="preserve"> – 1/U</w:t>
      </w:r>
      <w:r w:rsidRPr="003327D9">
        <w:rPr>
          <w:b/>
          <w:bCs/>
          <w:vertAlign w:val="subscript"/>
          <w:lang w:val="es-ES"/>
        </w:rPr>
        <w:t>1</w:t>
      </w:r>
      <w:r w:rsidRPr="003327D9">
        <w:rPr>
          <w:b/>
          <w:bCs/>
          <w:lang w:val="es-ES"/>
        </w:rPr>
        <w:t>)</w:t>
      </w:r>
    </w:p>
    <w:p w14:paraId="40209932" w14:textId="0247E075" w:rsidR="002B7A37" w:rsidRDefault="002B7A37" w:rsidP="00340C0E">
      <w:pPr>
        <w:pStyle w:val="Titre1"/>
        <w:spacing w:after="120"/>
        <w:ind w:right="1134"/>
        <w:rPr>
          <w:b/>
          <w:bCs/>
          <w:lang w:val="es-ES"/>
        </w:rPr>
      </w:pPr>
      <w:r w:rsidRPr="003327D9">
        <w:rPr>
          <w:b/>
          <w:bCs/>
          <w:lang w:val="es-ES"/>
        </w:rPr>
        <w:t>Figure 5</w:t>
      </w:r>
      <w:r w:rsidRPr="003327D9">
        <w:rPr>
          <w:lang w:val="es-ES"/>
        </w:rPr>
        <w:t xml:space="preserve"> </w:t>
      </w:r>
      <w:r w:rsidR="00340C0E">
        <w:rPr>
          <w:lang w:val="es-ES"/>
        </w:rPr>
        <w:br/>
      </w:r>
      <w:r w:rsidRPr="00340C0E">
        <w:rPr>
          <w:b/>
          <w:bCs/>
          <w:lang w:val="es-ES"/>
        </w:rPr>
        <w:t>Mesure de U</w:t>
      </w:r>
      <w:r w:rsidRPr="00340C0E">
        <w:rPr>
          <w:b/>
          <w:bCs/>
          <w:vertAlign w:val="subscript"/>
          <w:lang w:val="es-ES"/>
        </w:rPr>
        <w:t>1</w:t>
      </w:r>
      <w:r w:rsidRPr="00340C0E">
        <w:rPr>
          <w:b/>
          <w:bCs/>
          <w:lang w:val="es-ES"/>
        </w:rPr>
        <w:t>’</w:t>
      </w:r>
    </w:p>
    <w:p w14:paraId="1A7A94DD" w14:textId="3A0D2F85" w:rsidR="00CB2941" w:rsidRDefault="00CB2941" w:rsidP="00CB2941">
      <w:pPr>
        <w:suppressAutoHyphens w:val="0"/>
        <w:spacing w:after="120" w:line="240" w:lineRule="auto"/>
        <w:ind w:left="1134" w:right="1134"/>
        <w:rPr>
          <w:lang w:val="es-ES"/>
        </w:rPr>
      </w:pPr>
      <w:r>
        <w:rPr>
          <w:noProof/>
        </w:rPr>
        <w:drawing>
          <wp:inline distT="0" distB="0" distL="0" distR="0" wp14:anchorId="26E4D0F8" wp14:editId="31F0768D">
            <wp:extent cx="4680000" cy="3118867"/>
            <wp:effectExtent l="0" t="0" r="6350" b="5715"/>
            <wp:docPr id="681" name="Imag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0000" cy="3118867"/>
                    </a:xfrm>
                    <a:prstGeom prst="rect">
                      <a:avLst/>
                    </a:prstGeom>
                  </pic:spPr>
                </pic:pic>
              </a:graphicData>
            </a:graphic>
          </wp:inline>
        </w:drawing>
      </w:r>
    </w:p>
    <w:p w14:paraId="67A8B3AF" w14:textId="79967123" w:rsidR="002B7A37" w:rsidRPr="00B81033" w:rsidRDefault="002B7A37" w:rsidP="00CB2941">
      <w:pPr>
        <w:pStyle w:val="SingleTxtG"/>
        <w:spacing w:before="240"/>
        <w:ind w:left="2268"/>
        <w:rPr>
          <w:b/>
          <w:bCs/>
          <w:lang w:val="fr-FR"/>
        </w:rPr>
      </w:pPr>
      <w:r w:rsidRPr="00B81033">
        <w:rPr>
          <w:b/>
          <w:bCs/>
          <w:lang w:val="fr-FR"/>
        </w:rPr>
        <w:t>Si U</w:t>
      </w:r>
      <w:r w:rsidRPr="00B81033">
        <w:rPr>
          <w:b/>
          <w:bCs/>
          <w:vertAlign w:val="subscript"/>
          <w:lang w:val="fr-FR"/>
        </w:rPr>
        <w:t>2</w:t>
      </w:r>
      <w:r w:rsidRPr="00B81033">
        <w:rPr>
          <w:b/>
          <w:bCs/>
          <w:lang w:val="fr-FR"/>
        </w:rPr>
        <w:t xml:space="preserve"> est supérieure à U</w:t>
      </w:r>
      <w:r w:rsidRPr="00B81033">
        <w:rPr>
          <w:b/>
          <w:bCs/>
          <w:vertAlign w:val="subscript"/>
          <w:lang w:val="fr-FR"/>
        </w:rPr>
        <w:t>1</w:t>
      </w:r>
      <w:r w:rsidRPr="00B81033">
        <w:rPr>
          <w:b/>
          <w:bCs/>
          <w:lang w:val="fr-FR"/>
        </w:rPr>
        <w:t>, on insère une résistance normalisée connue (R</w:t>
      </w:r>
      <w:r w:rsidR="00CB2941" w:rsidRPr="00CB2941">
        <w:rPr>
          <w:b/>
          <w:bCs/>
        </w:rPr>
        <w:t>o</w:t>
      </w:r>
      <w:r w:rsidRPr="00B81033">
        <w:rPr>
          <w:b/>
          <w:bCs/>
          <w:lang w:val="fr-FR"/>
        </w:rPr>
        <w:t>) entre le pôle positif du rail haute tension et la masse électrique. La résistance R</w:t>
      </w:r>
      <w:r>
        <w:rPr>
          <w:b/>
          <w:bCs/>
          <w:lang w:val="fr-FR"/>
        </w:rPr>
        <w:t>o</w:t>
      </w:r>
      <w:r w:rsidRPr="00B81033">
        <w:rPr>
          <w:b/>
          <w:bCs/>
          <w:lang w:val="fr-FR"/>
        </w:rPr>
        <w:t xml:space="preserve"> étant en place, la tension (U</w:t>
      </w:r>
      <w:r w:rsidRPr="00B81033">
        <w:rPr>
          <w:b/>
          <w:bCs/>
          <w:vertAlign w:val="subscript"/>
          <w:lang w:val="fr-FR"/>
        </w:rPr>
        <w:t>2</w:t>
      </w:r>
      <w:r>
        <w:rPr>
          <w:b/>
          <w:bCs/>
          <w:lang w:val="fr-FR"/>
        </w:rPr>
        <w:t>’</w:t>
      </w:r>
      <w:r w:rsidRPr="00B81033">
        <w:rPr>
          <w:b/>
          <w:bCs/>
          <w:lang w:val="fr-FR"/>
        </w:rPr>
        <w:t xml:space="preserve">) entre le pôle positif du rail haute tension et la masse électrique est mesurée (voir </w:t>
      </w:r>
      <w:r>
        <w:rPr>
          <w:b/>
          <w:bCs/>
          <w:lang w:val="fr-FR"/>
        </w:rPr>
        <w:t xml:space="preserve">la </w:t>
      </w:r>
      <w:r w:rsidRPr="00B81033">
        <w:rPr>
          <w:b/>
          <w:bCs/>
          <w:lang w:val="fr-FR"/>
        </w:rPr>
        <w:t>fig</w:t>
      </w:r>
      <w:r>
        <w:rPr>
          <w:b/>
          <w:bCs/>
          <w:lang w:val="fr-FR"/>
        </w:rPr>
        <w:t>ure</w:t>
      </w:r>
      <w:r w:rsidRPr="00B81033">
        <w:rPr>
          <w:b/>
          <w:bCs/>
          <w:lang w:val="fr-FR"/>
        </w:rPr>
        <w:t xml:space="preserve"> 6 ci</w:t>
      </w:r>
      <w:r w:rsidR="00CB2941">
        <w:rPr>
          <w:b/>
          <w:bCs/>
          <w:lang w:val="fr-FR"/>
        </w:rPr>
        <w:noBreakHyphen/>
      </w:r>
      <w:r w:rsidRPr="00B81033">
        <w:rPr>
          <w:b/>
          <w:bCs/>
          <w:lang w:val="fr-FR"/>
        </w:rPr>
        <w:t>dessous). L</w:t>
      </w:r>
      <w:r>
        <w:rPr>
          <w:b/>
          <w:bCs/>
          <w:lang w:val="fr-FR"/>
        </w:rPr>
        <w:t>’</w:t>
      </w:r>
      <w:r w:rsidRPr="00B81033">
        <w:rPr>
          <w:b/>
          <w:bCs/>
          <w:lang w:val="fr-FR"/>
        </w:rPr>
        <w:t xml:space="preserve">isolement électrique (Ri) est calculé </w:t>
      </w:r>
      <w:r>
        <w:rPr>
          <w:b/>
          <w:bCs/>
          <w:lang w:val="fr-FR"/>
        </w:rPr>
        <w:t xml:space="preserve">en appliquant </w:t>
      </w:r>
      <w:r w:rsidRPr="00B81033">
        <w:rPr>
          <w:b/>
          <w:bCs/>
          <w:lang w:val="fr-FR"/>
        </w:rPr>
        <w:t>la formule suivante</w:t>
      </w:r>
      <w:r w:rsidR="00CB2941">
        <w:rPr>
          <w:b/>
          <w:bCs/>
          <w:lang w:val="fr-FR"/>
        </w:rPr>
        <w:t> </w:t>
      </w:r>
      <w:r w:rsidRPr="00B81033">
        <w:rPr>
          <w:b/>
          <w:bCs/>
          <w:lang w:val="fr-FR"/>
        </w:rPr>
        <w:t>:</w:t>
      </w:r>
    </w:p>
    <w:p w14:paraId="4E023D2E" w14:textId="77777777" w:rsidR="002B7A37" w:rsidRPr="003327D9" w:rsidRDefault="002B7A37" w:rsidP="00CB2941">
      <w:pPr>
        <w:pStyle w:val="SingleTxtG"/>
        <w:ind w:left="2835"/>
        <w:rPr>
          <w:b/>
          <w:bCs/>
          <w:lang w:val="es-ES"/>
        </w:rPr>
      </w:pPr>
      <w:r w:rsidRPr="003327D9">
        <w:rPr>
          <w:b/>
          <w:bCs/>
          <w:lang w:val="es-ES"/>
        </w:rPr>
        <w:t>Ri = Ro*U</w:t>
      </w:r>
      <w:r w:rsidRPr="003327D9">
        <w:rPr>
          <w:b/>
          <w:bCs/>
          <w:vertAlign w:val="subscript"/>
          <w:lang w:val="es-ES"/>
        </w:rPr>
        <w:t>b</w:t>
      </w:r>
      <w:r w:rsidRPr="003327D9">
        <w:rPr>
          <w:b/>
          <w:bCs/>
          <w:lang w:val="es-ES"/>
        </w:rPr>
        <w:t>*(1/U</w:t>
      </w:r>
      <w:r w:rsidRPr="003327D9">
        <w:rPr>
          <w:b/>
          <w:bCs/>
          <w:vertAlign w:val="subscript"/>
          <w:lang w:val="es-ES"/>
        </w:rPr>
        <w:t>2</w:t>
      </w:r>
      <w:r>
        <w:rPr>
          <w:b/>
          <w:bCs/>
          <w:lang w:val="es-ES"/>
        </w:rPr>
        <w:t>’</w:t>
      </w:r>
      <w:r w:rsidRPr="003327D9">
        <w:rPr>
          <w:b/>
          <w:bCs/>
          <w:lang w:val="es-ES"/>
        </w:rPr>
        <w:t xml:space="preserve"> – 1/U</w:t>
      </w:r>
      <w:r w:rsidRPr="003327D9">
        <w:rPr>
          <w:b/>
          <w:bCs/>
          <w:vertAlign w:val="subscript"/>
          <w:lang w:val="es-ES"/>
        </w:rPr>
        <w:t>2</w:t>
      </w:r>
      <w:r w:rsidRPr="003327D9">
        <w:rPr>
          <w:b/>
          <w:bCs/>
          <w:lang w:val="es-ES"/>
        </w:rPr>
        <w:t>)</w:t>
      </w:r>
    </w:p>
    <w:p w14:paraId="46F1EA2C" w14:textId="77777777" w:rsidR="002B7A37" w:rsidRPr="003327D9" w:rsidRDefault="002B7A37" w:rsidP="002B7A37">
      <w:pPr>
        <w:suppressAutoHyphens w:val="0"/>
        <w:spacing w:line="240" w:lineRule="auto"/>
        <w:rPr>
          <w:b/>
          <w:lang w:val="es-ES"/>
        </w:rPr>
      </w:pPr>
      <w:r w:rsidRPr="003327D9">
        <w:rPr>
          <w:b/>
          <w:lang w:val="es-ES"/>
        </w:rPr>
        <w:br w:type="page"/>
      </w:r>
    </w:p>
    <w:p w14:paraId="3889EDC1" w14:textId="555E8C6D" w:rsidR="002B7A37" w:rsidRDefault="002B7A37" w:rsidP="00CB2941">
      <w:pPr>
        <w:pStyle w:val="Titre1"/>
        <w:spacing w:after="120"/>
        <w:ind w:right="1134"/>
        <w:rPr>
          <w:b/>
          <w:bCs/>
          <w:lang w:val="fr-FR"/>
        </w:rPr>
      </w:pPr>
      <w:r w:rsidRPr="003327D9">
        <w:rPr>
          <w:b/>
          <w:bCs/>
          <w:lang w:val="es-ES"/>
        </w:rPr>
        <w:t>Figure 6</w:t>
      </w:r>
      <w:r w:rsidRPr="003327D9">
        <w:rPr>
          <w:lang w:val="es-ES"/>
        </w:rPr>
        <w:t xml:space="preserve"> </w:t>
      </w:r>
      <w:r w:rsidR="00CB2941">
        <w:rPr>
          <w:lang w:val="es-ES"/>
        </w:rPr>
        <w:br/>
      </w:r>
      <w:r w:rsidRPr="00280005">
        <w:rPr>
          <w:b/>
          <w:bCs/>
          <w:lang w:val="fr-FR"/>
        </w:rPr>
        <w:t>Mesure de U</w:t>
      </w:r>
      <w:r>
        <w:rPr>
          <w:b/>
          <w:bCs/>
          <w:vertAlign w:val="subscript"/>
          <w:lang w:val="fr-FR"/>
        </w:rPr>
        <w:t>2</w:t>
      </w:r>
      <w:r>
        <w:rPr>
          <w:b/>
          <w:bCs/>
          <w:lang w:val="fr-FR"/>
        </w:rPr>
        <w:t>’</w:t>
      </w:r>
    </w:p>
    <w:p w14:paraId="273E13AE" w14:textId="187C0667" w:rsidR="00597111" w:rsidRPr="00597111" w:rsidRDefault="00597111" w:rsidP="00597111">
      <w:pPr>
        <w:suppressAutoHyphens w:val="0"/>
        <w:spacing w:after="120" w:line="240" w:lineRule="auto"/>
        <w:ind w:left="1134" w:right="1134"/>
        <w:rPr>
          <w:lang w:val="fr-FR"/>
        </w:rPr>
      </w:pPr>
      <w:r>
        <w:rPr>
          <w:noProof/>
        </w:rPr>
        <w:drawing>
          <wp:inline distT="0" distB="0" distL="0" distR="0" wp14:anchorId="690E5E61" wp14:editId="53469211">
            <wp:extent cx="4680000" cy="3107213"/>
            <wp:effectExtent l="0" t="0" r="6350" b="0"/>
            <wp:docPr id="682" name="Imag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80000" cy="3107213"/>
                    </a:xfrm>
                    <a:prstGeom prst="rect">
                      <a:avLst/>
                    </a:prstGeom>
                  </pic:spPr>
                </pic:pic>
              </a:graphicData>
            </a:graphic>
          </wp:inline>
        </w:drawing>
      </w:r>
    </w:p>
    <w:p w14:paraId="4E75C8C6" w14:textId="77777777" w:rsidR="002B7A37" w:rsidRPr="009479FF" w:rsidRDefault="002B7A37" w:rsidP="00597111">
      <w:pPr>
        <w:pStyle w:val="SingleTxtG"/>
        <w:spacing w:before="240"/>
        <w:ind w:left="2268" w:hanging="1134"/>
        <w:rPr>
          <w:b/>
          <w:bCs/>
          <w:lang w:val="fr-FR"/>
        </w:rPr>
      </w:pPr>
      <w:r w:rsidRPr="007B6FA0">
        <w:rPr>
          <w:b/>
          <w:bCs/>
          <w:lang w:val="fr-FR"/>
        </w:rPr>
        <w:t>5.2.2.3.5</w:t>
      </w:r>
      <w:r>
        <w:rPr>
          <w:lang w:val="fr-FR"/>
        </w:rPr>
        <w:tab/>
      </w:r>
      <w:r>
        <w:rPr>
          <w:b/>
          <w:bCs/>
          <w:lang w:val="fr-FR"/>
        </w:rPr>
        <w:t>Cinquième étape</w:t>
      </w:r>
    </w:p>
    <w:p w14:paraId="17A438B6" w14:textId="77777777" w:rsidR="002B7A37" w:rsidRPr="009479FF" w:rsidRDefault="002B7A37" w:rsidP="005A2287">
      <w:pPr>
        <w:pStyle w:val="SingleTxtG"/>
        <w:ind w:left="2268"/>
        <w:rPr>
          <w:b/>
          <w:bCs/>
          <w:lang w:val="fr-FR"/>
        </w:rPr>
      </w:pPr>
      <w:r>
        <w:rPr>
          <w:b/>
          <w:bCs/>
          <w:lang w:val="fr-FR"/>
        </w:rPr>
        <w:t>La valeur d’isolement électrique Ri (en Ω) divisée par la tension de fonctionnement du rail haute tension (en V) donne la résistance d’isolement (en Ω/V).</w:t>
      </w:r>
    </w:p>
    <w:p w14:paraId="12205D5C" w14:textId="6162BE20" w:rsidR="002B7A37" w:rsidRPr="007B6FA0" w:rsidRDefault="002B7A37" w:rsidP="005A2287">
      <w:pPr>
        <w:pStyle w:val="SingleTxtG"/>
        <w:ind w:left="2268"/>
        <w:rPr>
          <w:b/>
          <w:bCs/>
          <w:lang w:val="fr-FR"/>
        </w:rPr>
      </w:pPr>
      <w:r w:rsidRPr="007B6FA0">
        <w:rPr>
          <w:b/>
          <w:bCs/>
          <w:i/>
          <w:iCs/>
          <w:lang w:val="fr-FR"/>
        </w:rPr>
        <w:t>Note</w:t>
      </w:r>
      <w:r w:rsidR="00597111">
        <w:rPr>
          <w:b/>
          <w:bCs/>
          <w:i/>
          <w:iCs/>
          <w:lang w:val="fr-FR"/>
        </w:rPr>
        <w:t> </w:t>
      </w:r>
      <w:r w:rsidRPr="00597111">
        <w:rPr>
          <w:b/>
          <w:bCs/>
          <w:lang w:val="fr-FR"/>
        </w:rPr>
        <w:t>:</w:t>
      </w:r>
      <w:r w:rsidRPr="007B6FA0">
        <w:rPr>
          <w:b/>
          <w:bCs/>
          <w:lang w:val="fr-FR"/>
        </w:rPr>
        <w:t xml:space="preserve"> La résistance normalisée connue R</w:t>
      </w:r>
      <w:r>
        <w:rPr>
          <w:b/>
          <w:bCs/>
          <w:lang w:val="fr-FR"/>
        </w:rPr>
        <w:t>o</w:t>
      </w:r>
      <w:r w:rsidRPr="007B6FA0">
        <w:rPr>
          <w:b/>
          <w:bCs/>
          <w:lang w:val="fr-FR"/>
        </w:rPr>
        <w:t xml:space="preserve"> (en Ω) </w:t>
      </w:r>
      <w:r>
        <w:rPr>
          <w:b/>
          <w:bCs/>
          <w:lang w:val="fr-FR"/>
        </w:rPr>
        <w:t xml:space="preserve">devrait </w:t>
      </w:r>
      <w:r w:rsidRPr="007B6FA0">
        <w:rPr>
          <w:b/>
          <w:bCs/>
          <w:lang w:val="fr-FR"/>
        </w:rPr>
        <w:t>correspond</w:t>
      </w:r>
      <w:r>
        <w:rPr>
          <w:b/>
          <w:bCs/>
          <w:lang w:val="fr-FR"/>
        </w:rPr>
        <w:t>re</w:t>
      </w:r>
      <w:r w:rsidRPr="007B6FA0">
        <w:rPr>
          <w:b/>
          <w:bCs/>
          <w:lang w:val="fr-FR"/>
        </w:rPr>
        <w:t xml:space="preserve"> à la valeur de la résistance d</w:t>
      </w:r>
      <w:r>
        <w:rPr>
          <w:b/>
          <w:bCs/>
          <w:lang w:val="fr-FR"/>
        </w:rPr>
        <w:t>’</w:t>
      </w:r>
      <w:r w:rsidRPr="007B6FA0">
        <w:rPr>
          <w:b/>
          <w:bCs/>
          <w:lang w:val="fr-FR"/>
        </w:rPr>
        <w:t>isolement minimale requise (en Ω/V) multipliée par la tension de fonctionnement du véhicule plus ou moins 20 % (en V). R</w:t>
      </w:r>
      <w:r>
        <w:rPr>
          <w:b/>
          <w:bCs/>
          <w:lang w:val="fr-FR"/>
        </w:rPr>
        <w:t>o</w:t>
      </w:r>
      <w:r w:rsidRPr="007B6FA0">
        <w:rPr>
          <w:b/>
          <w:bCs/>
          <w:lang w:val="fr-FR"/>
        </w:rPr>
        <w:t xml:space="preserve"> ne </w:t>
      </w:r>
      <w:r>
        <w:rPr>
          <w:b/>
          <w:bCs/>
          <w:lang w:val="fr-FR"/>
        </w:rPr>
        <w:t>doit</w:t>
      </w:r>
      <w:r w:rsidRPr="007B6FA0">
        <w:rPr>
          <w:b/>
          <w:bCs/>
          <w:lang w:val="fr-FR"/>
        </w:rPr>
        <w:t xml:space="preserve"> pas nécessairement être </w:t>
      </w:r>
      <w:r>
        <w:rPr>
          <w:b/>
          <w:bCs/>
          <w:lang w:val="fr-FR"/>
        </w:rPr>
        <w:t xml:space="preserve">strictement </w:t>
      </w:r>
      <w:r w:rsidRPr="007B6FA0">
        <w:rPr>
          <w:b/>
          <w:bCs/>
          <w:lang w:val="fr-FR"/>
        </w:rPr>
        <w:t>égale à cette valeur</w:t>
      </w:r>
      <w:r>
        <w:rPr>
          <w:b/>
          <w:bCs/>
          <w:lang w:val="fr-FR"/>
        </w:rPr>
        <w:t>,</w:t>
      </w:r>
      <w:r w:rsidRPr="007B6FA0">
        <w:rPr>
          <w:b/>
          <w:bCs/>
          <w:lang w:val="fr-FR"/>
        </w:rPr>
        <w:t xml:space="preserve"> car les équations restent valables pour toute valeur de R</w:t>
      </w:r>
      <w:r>
        <w:rPr>
          <w:b/>
          <w:bCs/>
          <w:lang w:val="fr-FR"/>
        </w:rPr>
        <w:t>o</w:t>
      </w:r>
      <w:r w:rsidR="00597111">
        <w:rPr>
          <w:b/>
          <w:bCs/>
          <w:lang w:val="fr-FR"/>
        </w:rPr>
        <w:t> </w:t>
      </w:r>
      <w:r w:rsidRPr="007B6FA0">
        <w:rPr>
          <w:b/>
          <w:bCs/>
          <w:lang w:val="fr-FR"/>
        </w:rPr>
        <w:t>; cependant, une valeur de Ro située dans cette plage devrait permettre de mesurer la tension avec une résolution satisfaisante.</w:t>
      </w:r>
    </w:p>
    <w:p w14:paraId="7EAA5195" w14:textId="77777777" w:rsidR="002B7A37" w:rsidRPr="009479FF" w:rsidRDefault="002B7A37" w:rsidP="005A2287">
      <w:pPr>
        <w:pStyle w:val="SingleTxtG"/>
        <w:ind w:left="2268" w:hanging="1134"/>
        <w:rPr>
          <w:b/>
          <w:lang w:val="fr-FR"/>
        </w:rPr>
      </w:pPr>
      <w:r w:rsidRPr="007B6FA0">
        <w:rPr>
          <w:b/>
          <w:bCs/>
          <w:lang w:val="fr-FR"/>
        </w:rPr>
        <w:t>6.</w:t>
      </w:r>
      <w:r>
        <w:rPr>
          <w:lang w:val="fr-FR"/>
        </w:rPr>
        <w:tab/>
      </w:r>
      <w:r>
        <w:rPr>
          <w:b/>
          <w:bCs/>
          <w:lang w:val="fr-FR"/>
        </w:rPr>
        <w:t>Fuite d’électrolyte</w:t>
      </w:r>
    </w:p>
    <w:p w14:paraId="6708C60D" w14:textId="77777777" w:rsidR="002B7A37" w:rsidRPr="009479FF" w:rsidRDefault="002B7A37" w:rsidP="005A2287">
      <w:pPr>
        <w:pStyle w:val="SingleTxtG"/>
        <w:ind w:left="2268"/>
        <w:rPr>
          <w:b/>
          <w:lang w:val="fr-FR"/>
        </w:rPr>
      </w:pPr>
      <w:r>
        <w:rPr>
          <w:b/>
          <w:bCs/>
          <w:lang w:val="fr-FR"/>
        </w:rPr>
        <w:t>Au besoin, appliquer un revêtement approprié sur l’enveloppe servant de protection physique afin de détecter toute fuite d’électrolyte du SRSEE à la suite de l’essai de choc.</w:t>
      </w:r>
      <w:r>
        <w:rPr>
          <w:lang w:val="fr-FR"/>
        </w:rPr>
        <w:t xml:space="preserve"> </w:t>
      </w:r>
      <w:r>
        <w:rPr>
          <w:b/>
          <w:bCs/>
          <w:lang w:val="fr-FR"/>
        </w:rPr>
        <w:t>À moins que le constructeur ne fournisse les moyens de distinguer l’électrolyte d’autres liquides, toute fuite de liquide doit être considérée comme une fuite d’électrolyte.</w:t>
      </w:r>
    </w:p>
    <w:p w14:paraId="56A2C38D" w14:textId="77777777" w:rsidR="002B7A37" w:rsidRPr="009479FF" w:rsidRDefault="002B7A37" w:rsidP="005A2287">
      <w:pPr>
        <w:pStyle w:val="SingleTxtG"/>
        <w:ind w:left="2268" w:hanging="1134"/>
        <w:rPr>
          <w:b/>
          <w:lang w:val="fr-FR"/>
        </w:rPr>
      </w:pPr>
      <w:r w:rsidRPr="007B6FA0">
        <w:rPr>
          <w:b/>
          <w:bCs/>
          <w:lang w:val="fr-FR"/>
        </w:rPr>
        <w:t>7.</w:t>
      </w:r>
      <w:r>
        <w:rPr>
          <w:lang w:val="fr-FR"/>
        </w:rPr>
        <w:tab/>
      </w:r>
      <w:r>
        <w:rPr>
          <w:b/>
          <w:bCs/>
          <w:lang w:val="fr-FR"/>
        </w:rPr>
        <w:t>Maintien en place du SRSEE</w:t>
      </w:r>
      <w:r>
        <w:rPr>
          <w:lang w:val="fr-FR"/>
        </w:rPr>
        <w:t xml:space="preserve"> </w:t>
      </w:r>
    </w:p>
    <w:p w14:paraId="3D34E877" w14:textId="77777777" w:rsidR="002B7A37" w:rsidRPr="009479FF" w:rsidRDefault="002B7A37" w:rsidP="005A2287">
      <w:pPr>
        <w:pStyle w:val="SingleTxtG"/>
        <w:ind w:left="2268"/>
        <w:rPr>
          <w:b/>
          <w:lang w:val="fr-FR"/>
        </w:rPr>
      </w:pPr>
      <w:r w:rsidRPr="0010558A">
        <w:rPr>
          <w:b/>
          <w:bCs/>
          <w:lang w:val="fr-FR"/>
        </w:rPr>
        <w:t>Le respect des prescriptions est déterminé par inspection visuelle</w:t>
      </w:r>
      <w:r>
        <w:rPr>
          <w:lang w:val="fr-FR"/>
        </w:rPr>
        <w:t>. ».</w:t>
      </w:r>
    </w:p>
    <w:p w14:paraId="31C6FAD1" w14:textId="77777777" w:rsidR="002B7A37" w:rsidRPr="0010558A" w:rsidRDefault="002B7A37" w:rsidP="00597111">
      <w:pPr>
        <w:pStyle w:val="HChG"/>
        <w:rPr>
          <w:lang w:val="fr-FR"/>
        </w:rPr>
      </w:pPr>
      <w:r w:rsidRPr="0010558A">
        <w:rPr>
          <w:lang w:val="fr-FR"/>
        </w:rPr>
        <w:tab/>
        <w:t>II.</w:t>
      </w:r>
      <w:r w:rsidRPr="0010558A">
        <w:rPr>
          <w:lang w:val="fr-FR"/>
        </w:rPr>
        <w:tab/>
        <w:t>Justification</w:t>
      </w:r>
    </w:p>
    <w:p w14:paraId="3990F8BF" w14:textId="29C75C8B" w:rsidR="002B7A37" w:rsidRPr="009479FF" w:rsidRDefault="002B7A37" w:rsidP="00597111">
      <w:pPr>
        <w:pStyle w:val="SingleTxtG"/>
        <w:rPr>
          <w:lang w:val="fr-FR"/>
        </w:rPr>
      </w:pPr>
      <w:r>
        <w:rPr>
          <w:lang w:val="fr-FR"/>
        </w:rPr>
        <w:t>1.</w:t>
      </w:r>
      <w:r>
        <w:rPr>
          <w:lang w:val="fr-FR"/>
        </w:rPr>
        <w:tab/>
        <w:t xml:space="preserve">Les dispositions techniques du Règlement technique mondial (RTM) ONU </w:t>
      </w:r>
      <w:r w:rsidR="00597111" w:rsidRPr="00597111">
        <w:rPr>
          <w:rFonts w:eastAsia="MS Mincho"/>
          <w:lang w:val="fr-FR"/>
        </w:rPr>
        <w:t>n</w:t>
      </w:r>
      <w:r w:rsidR="00597111" w:rsidRPr="00597111">
        <w:rPr>
          <w:rFonts w:eastAsia="MS Mincho"/>
          <w:vertAlign w:val="superscript"/>
          <w:lang w:val="fr-FR"/>
        </w:rPr>
        <w:t>o</w:t>
      </w:r>
      <w:r>
        <w:rPr>
          <w:lang w:val="fr-FR"/>
        </w:rPr>
        <w:t xml:space="preserve"> 20 sont adoptées pour intégration dans le Règlement ONU </w:t>
      </w:r>
      <w:r w:rsidR="00597111" w:rsidRPr="00597111">
        <w:rPr>
          <w:rFonts w:eastAsia="MS Mincho"/>
          <w:lang w:val="fr-FR"/>
        </w:rPr>
        <w:t>n</w:t>
      </w:r>
      <w:r w:rsidR="00597111" w:rsidRPr="00597111">
        <w:rPr>
          <w:rFonts w:eastAsia="MS Mincho"/>
          <w:vertAlign w:val="superscript"/>
          <w:lang w:val="fr-FR"/>
        </w:rPr>
        <w:t>o</w:t>
      </w:r>
      <w:r>
        <w:rPr>
          <w:lang w:val="fr-FR"/>
        </w:rPr>
        <w:t xml:space="preserve"> 135 en ce qui concerne la sécurité électrique à la suite d’un choc.</w:t>
      </w:r>
    </w:p>
    <w:p w14:paraId="09A3828B" w14:textId="77777777" w:rsidR="002B7A37" w:rsidRPr="009479FF" w:rsidRDefault="002B7A37" w:rsidP="00597111">
      <w:pPr>
        <w:pStyle w:val="SingleTxtG"/>
        <w:rPr>
          <w:lang w:val="fr-FR"/>
        </w:rPr>
      </w:pPr>
      <w:r>
        <w:rPr>
          <w:lang w:val="fr-FR"/>
        </w:rPr>
        <w:t>2.</w:t>
      </w:r>
      <w:r>
        <w:rPr>
          <w:lang w:val="fr-FR"/>
        </w:rPr>
        <w:tab/>
        <w:t>Les dispositions administratives sont adaptées pour tenir compte de la troisième révision de l’Accord de 1958.</w:t>
      </w:r>
    </w:p>
    <w:p w14:paraId="60D3C917" w14:textId="77777777" w:rsidR="002B7A37" w:rsidRPr="009479FF" w:rsidRDefault="002B7A37" w:rsidP="00597111">
      <w:pPr>
        <w:pStyle w:val="SingleTxtG"/>
        <w:rPr>
          <w:lang w:val="fr-FR"/>
        </w:rPr>
      </w:pPr>
      <w:r w:rsidRPr="00F876CE">
        <w:rPr>
          <w:lang w:val="fr-FR"/>
        </w:rPr>
        <w:t>3.</w:t>
      </w:r>
      <w:r w:rsidRPr="00F876CE">
        <w:rPr>
          <w:lang w:val="fr-FR"/>
        </w:rPr>
        <w:tab/>
        <w:t xml:space="preserve">Les </w:t>
      </w:r>
      <w:r>
        <w:rPr>
          <w:lang w:val="fr-FR"/>
        </w:rPr>
        <w:t>prescriptions</w:t>
      </w:r>
      <w:r w:rsidRPr="00F876CE">
        <w:rPr>
          <w:lang w:val="fr-FR"/>
        </w:rPr>
        <w:t xml:space="preserve"> techniques modifiées par la série 02 d</w:t>
      </w:r>
      <w:r>
        <w:rPr>
          <w:lang w:val="fr-FR"/>
        </w:rPr>
        <w:t>’</w:t>
      </w:r>
      <w:r w:rsidRPr="00F876CE">
        <w:rPr>
          <w:lang w:val="fr-FR"/>
        </w:rPr>
        <w:t>amendements n</w:t>
      </w:r>
      <w:r>
        <w:rPr>
          <w:lang w:val="fr-FR"/>
        </w:rPr>
        <w:t>’o</w:t>
      </w:r>
      <w:r w:rsidRPr="00F876CE">
        <w:rPr>
          <w:lang w:val="fr-FR"/>
        </w:rPr>
        <w:t xml:space="preserve">nt pas </w:t>
      </w:r>
      <w:r>
        <w:rPr>
          <w:lang w:val="fr-FR"/>
        </w:rPr>
        <w:t>d’incidences sur les caractéristiques</w:t>
      </w:r>
      <w:r w:rsidRPr="00F876CE">
        <w:rPr>
          <w:lang w:val="fr-FR"/>
        </w:rPr>
        <w:t xml:space="preserve"> des véhicules non électrifiés. </w:t>
      </w:r>
      <w:r>
        <w:rPr>
          <w:lang w:val="fr-FR"/>
        </w:rPr>
        <w:t>Il n’est donc pas nécessaire de distinguer les dispositions transitoires relatives aux véhicules électriques de celles relatives aux véhicules non électriques, de sorte que les dispositions types figurant dans les directives générales (ECE/TRANS/WP.29/1044/Rev.3) peuvent être appliquées.</w:t>
      </w:r>
    </w:p>
    <w:p w14:paraId="37D652D8" w14:textId="652557F9" w:rsidR="002B7A37" w:rsidRPr="009479FF" w:rsidRDefault="002B7A37" w:rsidP="000B7147">
      <w:pPr>
        <w:pStyle w:val="SingleTxtG"/>
        <w:rPr>
          <w:lang w:val="fr-FR"/>
        </w:rPr>
      </w:pPr>
      <w:r>
        <w:rPr>
          <w:lang w:val="fr-FR"/>
        </w:rPr>
        <w:t>4.</w:t>
      </w:r>
      <w:r>
        <w:rPr>
          <w:lang w:val="fr-FR"/>
        </w:rPr>
        <w:tab/>
        <w:t>Paragraphe 11.8 : La formulation proposée au paragraphe 11.8 est théoriquement conforme à la disposition type V.8 des directives générales. Toutefois, il n’est pas possible de déterminer avec certitude si «</w:t>
      </w:r>
      <w:r w:rsidR="000B7147">
        <w:rPr>
          <w:lang w:val="fr-FR"/>
        </w:rPr>
        <w:t> </w:t>
      </w:r>
      <w:r>
        <w:rPr>
          <w:lang w:val="fr-FR"/>
        </w:rPr>
        <w:t>the preceding series</w:t>
      </w:r>
      <w:r w:rsidR="000B7147">
        <w:rPr>
          <w:lang w:val="fr-FR"/>
        </w:rPr>
        <w:t> </w:t>
      </w:r>
      <w:r>
        <w:rPr>
          <w:lang w:val="fr-FR"/>
        </w:rPr>
        <w:t>» est au singulier ou au pluriel dans la version anglaise. Sachant que le sens devrait être celui de «</w:t>
      </w:r>
      <w:r w:rsidR="000B7147">
        <w:rPr>
          <w:lang w:val="fr-FR"/>
        </w:rPr>
        <w:t> </w:t>
      </w:r>
      <w:r>
        <w:rPr>
          <w:lang w:val="fr-FR"/>
        </w:rPr>
        <w:t>any of the preceding series</w:t>
      </w:r>
      <w:r w:rsidR="000B7147">
        <w:rPr>
          <w:lang w:val="fr-FR"/>
        </w:rPr>
        <w:t> </w:t>
      </w:r>
      <w:r>
        <w:rPr>
          <w:lang w:val="fr-FR"/>
        </w:rPr>
        <w:t>» (l’une quelconque des précédentes séries), la fin de la phrase («</w:t>
      </w:r>
      <w:r w:rsidR="000B7147">
        <w:rPr>
          <w:lang w:val="fr-FR"/>
        </w:rPr>
        <w:t> </w:t>
      </w:r>
      <w:r>
        <w:rPr>
          <w:lang w:val="fr-FR"/>
        </w:rPr>
        <w:t xml:space="preserve">sous réserve que les dispositions transitoires… ») permet de préciser que les possibilités offertes par les précédentes séries d’amendements en question demeurent valables. S’agissant du Règlement ONU </w:t>
      </w:r>
      <w:r w:rsidR="000B7147" w:rsidRPr="000B7147">
        <w:rPr>
          <w:rFonts w:eastAsia="MS Mincho"/>
          <w:lang w:val="fr-FR"/>
        </w:rPr>
        <w:t>n</w:t>
      </w:r>
      <w:r w:rsidR="000B7147" w:rsidRPr="000B7147">
        <w:rPr>
          <w:rFonts w:eastAsia="MS Mincho"/>
          <w:vertAlign w:val="superscript"/>
          <w:lang w:val="fr-FR"/>
        </w:rPr>
        <w:t>o</w:t>
      </w:r>
      <w:r>
        <w:rPr>
          <w:lang w:val="fr-FR"/>
        </w:rPr>
        <w:t xml:space="preserve"> 135, les possibilités suivantes sont prévues</w:t>
      </w:r>
      <w:r w:rsidR="000B7147">
        <w:rPr>
          <w:lang w:val="fr-FR"/>
        </w:rPr>
        <w:t> </w:t>
      </w:r>
      <w:r>
        <w:rPr>
          <w:lang w:val="fr-FR"/>
        </w:rPr>
        <w:t>:</w:t>
      </w:r>
    </w:p>
    <w:p w14:paraId="3434F9FE" w14:textId="370F410C" w:rsidR="002B7A37" w:rsidRPr="00F876CE" w:rsidRDefault="000B7147" w:rsidP="000B7147">
      <w:pPr>
        <w:pStyle w:val="SingleTxtG"/>
        <w:rPr>
          <w:lang w:val="fr-FR"/>
        </w:rPr>
      </w:pPr>
      <w:r>
        <w:rPr>
          <w:lang w:val="fr-FR"/>
        </w:rPr>
        <w:tab/>
      </w:r>
      <w:r>
        <w:rPr>
          <w:lang w:val="fr-FR"/>
        </w:rPr>
        <w:tab/>
      </w:r>
      <w:r w:rsidR="002B7A37" w:rsidRPr="00F876CE">
        <w:rPr>
          <w:lang w:val="fr-FR"/>
        </w:rPr>
        <w:t>a)</w:t>
      </w:r>
      <w:r w:rsidR="002B7A37" w:rsidRPr="00F876CE">
        <w:rPr>
          <w:lang w:val="fr-FR"/>
        </w:rPr>
        <w:tab/>
        <w:t xml:space="preserve">Règlement </w:t>
      </w:r>
      <w:r w:rsidR="002B7A37">
        <w:rPr>
          <w:lang w:val="fr-FR"/>
        </w:rPr>
        <w:t xml:space="preserve">ONU </w:t>
      </w:r>
      <w:r w:rsidRPr="000B7147">
        <w:rPr>
          <w:rFonts w:eastAsia="MS Mincho"/>
          <w:lang w:val="fr-FR"/>
        </w:rPr>
        <w:t>n</w:t>
      </w:r>
      <w:r w:rsidRPr="000B7147">
        <w:rPr>
          <w:rFonts w:eastAsia="MS Mincho"/>
          <w:vertAlign w:val="superscript"/>
          <w:lang w:val="fr-FR"/>
        </w:rPr>
        <w:t>o</w:t>
      </w:r>
      <w:r>
        <w:rPr>
          <w:lang w:val="fr-FR"/>
        </w:rPr>
        <w:t xml:space="preserve"> </w:t>
      </w:r>
      <w:r w:rsidR="002B7A37" w:rsidRPr="00F876CE">
        <w:rPr>
          <w:lang w:val="fr-FR"/>
        </w:rPr>
        <w:t>135</w:t>
      </w:r>
      <w:r w:rsidR="002B7A37">
        <w:rPr>
          <w:lang w:val="fr-FR"/>
        </w:rPr>
        <w:t>,</w:t>
      </w:r>
      <w:r w:rsidR="002B7A37" w:rsidRPr="00F876CE">
        <w:rPr>
          <w:lang w:val="fr-FR"/>
        </w:rPr>
        <w:t xml:space="preserve"> série 01 d</w:t>
      </w:r>
      <w:r w:rsidR="002B7A37">
        <w:rPr>
          <w:lang w:val="fr-FR"/>
        </w:rPr>
        <w:t>’</w:t>
      </w:r>
      <w:r w:rsidR="002B7A37" w:rsidRPr="00F876CE">
        <w:rPr>
          <w:lang w:val="fr-FR"/>
        </w:rPr>
        <w:t>amendements</w:t>
      </w:r>
      <w:r>
        <w:rPr>
          <w:lang w:val="fr-FR"/>
        </w:rPr>
        <w:t> </w:t>
      </w:r>
      <w:r w:rsidR="002B7A37" w:rsidRPr="00F876CE">
        <w:rPr>
          <w:lang w:val="fr-FR"/>
        </w:rPr>
        <w:t xml:space="preserve">: </w:t>
      </w:r>
      <w:r w:rsidR="002B7A37">
        <w:rPr>
          <w:lang w:val="fr-FR"/>
        </w:rPr>
        <w:t>accroître</w:t>
      </w:r>
      <w:r w:rsidR="002B7A37" w:rsidRPr="00F876CE">
        <w:rPr>
          <w:lang w:val="fr-FR"/>
        </w:rPr>
        <w:t xml:space="preserve"> la vitesse d</w:t>
      </w:r>
      <w:r w:rsidR="002B7A37">
        <w:rPr>
          <w:lang w:val="fr-FR"/>
        </w:rPr>
        <w:t>’</w:t>
      </w:r>
      <w:r w:rsidR="002B7A37" w:rsidRPr="00F876CE">
        <w:rPr>
          <w:lang w:val="fr-FR"/>
        </w:rPr>
        <w:t>impact pour les véhicules dont la largeur est inférieure ou égale à 1,50 m</w:t>
      </w:r>
      <w:r w:rsidR="002B7A37">
        <w:rPr>
          <w:lang w:val="fr-FR"/>
        </w:rPr>
        <w:t xml:space="preserve"> ; </w:t>
      </w:r>
      <w:r w:rsidR="002B7A37" w:rsidRPr="00F876CE">
        <w:rPr>
          <w:lang w:val="fr-FR"/>
        </w:rPr>
        <w:t>aucune modification technique n</w:t>
      </w:r>
      <w:r w:rsidR="002B7A37">
        <w:rPr>
          <w:lang w:val="fr-FR"/>
        </w:rPr>
        <w:t>’</w:t>
      </w:r>
      <w:r w:rsidR="002B7A37" w:rsidRPr="00F876CE">
        <w:rPr>
          <w:lang w:val="fr-FR"/>
        </w:rPr>
        <w:t>est requise pour les autres véhicules</w:t>
      </w:r>
      <w:r>
        <w:rPr>
          <w:lang w:val="fr-FR"/>
        </w:rPr>
        <w:t> ;</w:t>
      </w:r>
    </w:p>
    <w:p w14:paraId="6F6750B9" w14:textId="379573CC" w:rsidR="002B7A37" w:rsidRPr="009479FF" w:rsidRDefault="000B7147" w:rsidP="000B7147">
      <w:pPr>
        <w:pStyle w:val="SingleTxtG"/>
        <w:rPr>
          <w:lang w:val="fr-FR"/>
        </w:rPr>
      </w:pPr>
      <w:r>
        <w:rPr>
          <w:lang w:val="fr-FR"/>
        </w:rPr>
        <w:tab/>
      </w:r>
      <w:r>
        <w:rPr>
          <w:lang w:val="fr-FR"/>
        </w:rPr>
        <w:tab/>
      </w:r>
      <w:r w:rsidR="002B7A37">
        <w:rPr>
          <w:lang w:val="fr-FR"/>
        </w:rPr>
        <w:t>b)</w:t>
      </w:r>
      <w:r w:rsidR="002B7A37">
        <w:rPr>
          <w:lang w:val="fr-FR"/>
        </w:rPr>
        <w:tab/>
        <w:t xml:space="preserve">Les homologations délivrées au titre de la version initiale du Règlement ONU </w:t>
      </w:r>
      <w:r w:rsidRPr="000B7147">
        <w:rPr>
          <w:rFonts w:eastAsia="MS Mincho"/>
          <w:lang w:val="fr-FR"/>
        </w:rPr>
        <w:t>n</w:t>
      </w:r>
      <w:r w:rsidRPr="000B7147">
        <w:rPr>
          <w:rFonts w:eastAsia="MS Mincho"/>
          <w:vertAlign w:val="superscript"/>
          <w:lang w:val="fr-FR"/>
        </w:rPr>
        <w:t>o</w:t>
      </w:r>
      <w:r>
        <w:rPr>
          <w:rFonts w:eastAsia="MS Mincho"/>
          <w:vertAlign w:val="superscript"/>
          <w:lang w:val="fr-FR"/>
        </w:rPr>
        <w:t> </w:t>
      </w:r>
      <w:r w:rsidR="002B7A37">
        <w:rPr>
          <w:lang w:val="fr-FR"/>
        </w:rPr>
        <w:t xml:space="preserve">135 restent valables pour les véhicules dont la largeur est supérieure à </w:t>
      </w:r>
      <w:r w:rsidR="002B7A37" w:rsidRPr="00F876CE">
        <w:rPr>
          <w:lang w:val="fr-FR"/>
        </w:rPr>
        <w:t>1,50 m</w:t>
      </w:r>
      <w:r w:rsidR="002B7A37">
        <w:rPr>
          <w:lang w:val="fr-FR"/>
        </w:rPr>
        <w:t>.</w:t>
      </w:r>
    </w:p>
    <w:p w14:paraId="6990C609" w14:textId="77777777" w:rsidR="002B7A37" w:rsidRPr="009479FF" w:rsidRDefault="002B7A37" w:rsidP="002B7A37">
      <w:pPr>
        <w:spacing w:before="240"/>
        <w:jc w:val="center"/>
        <w:rPr>
          <w:u w:val="single"/>
          <w:lang w:val="fr-FR"/>
        </w:rPr>
      </w:pPr>
      <w:r w:rsidRPr="009479FF">
        <w:rPr>
          <w:u w:val="single"/>
          <w:lang w:val="fr-FR"/>
        </w:rPr>
        <w:tab/>
      </w:r>
      <w:r w:rsidRPr="009479FF">
        <w:rPr>
          <w:u w:val="single"/>
          <w:lang w:val="fr-FR"/>
        </w:rPr>
        <w:tab/>
      </w:r>
      <w:r w:rsidRPr="009479FF">
        <w:rPr>
          <w:u w:val="single"/>
          <w:lang w:val="fr-FR"/>
        </w:rPr>
        <w:tab/>
      </w:r>
    </w:p>
    <w:p w14:paraId="31C537B4" w14:textId="77777777" w:rsidR="00F9573C" w:rsidRPr="002B7A37" w:rsidRDefault="00F9573C" w:rsidP="002B7A37">
      <w:pPr>
        <w:spacing w:before="120" w:line="240" w:lineRule="exact"/>
        <w:rPr>
          <w:lang w:val="fr-FR"/>
        </w:rPr>
      </w:pPr>
    </w:p>
    <w:sectPr w:rsidR="00F9573C" w:rsidRPr="002B7A37" w:rsidSect="002B7A37">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68844" w14:textId="77777777" w:rsidR="002B7A37" w:rsidRDefault="002B7A37" w:rsidP="00F95C08">
      <w:pPr>
        <w:spacing w:line="240" w:lineRule="auto"/>
      </w:pPr>
    </w:p>
  </w:endnote>
  <w:endnote w:type="continuationSeparator" w:id="0">
    <w:p w14:paraId="2C2AB0B5" w14:textId="77777777" w:rsidR="002B7A37" w:rsidRPr="00AC3823" w:rsidRDefault="002B7A37" w:rsidP="00AC3823">
      <w:pPr>
        <w:pStyle w:val="Pieddepage"/>
      </w:pPr>
    </w:p>
  </w:endnote>
  <w:endnote w:type="continuationNotice" w:id="1">
    <w:p w14:paraId="646D336E" w14:textId="77777777" w:rsidR="002B7A37" w:rsidRDefault="002B7A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CB64" w14:textId="53198CA9" w:rsidR="002B7A37" w:rsidRPr="002B7A37" w:rsidRDefault="002B7A37" w:rsidP="002B7A37">
    <w:pPr>
      <w:pStyle w:val="Pieddepage"/>
      <w:tabs>
        <w:tab w:val="right" w:pos="9638"/>
      </w:tabs>
    </w:pPr>
    <w:r w:rsidRPr="002B7A37">
      <w:rPr>
        <w:b/>
        <w:sz w:val="18"/>
      </w:rPr>
      <w:fldChar w:fldCharType="begin"/>
    </w:r>
    <w:r w:rsidRPr="002B7A37">
      <w:rPr>
        <w:b/>
        <w:sz w:val="18"/>
      </w:rPr>
      <w:instrText xml:space="preserve"> PAGE  \* MERGEFORMAT </w:instrText>
    </w:r>
    <w:r w:rsidRPr="002B7A37">
      <w:rPr>
        <w:b/>
        <w:sz w:val="18"/>
      </w:rPr>
      <w:fldChar w:fldCharType="separate"/>
    </w:r>
    <w:r w:rsidRPr="002B7A37">
      <w:rPr>
        <w:b/>
        <w:noProof/>
        <w:sz w:val="18"/>
      </w:rPr>
      <w:t>2</w:t>
    </w:r>
    <w:r w:rsidRPr="002B7A37">
      <w:rPr>
        <w:b/>
        <w:sz w:val="18"/>
      </w:rPr>
      <w:fldChar w:fldCharType="end"/>
    </w:r>
    <w:r>
      <w:rPr>
        <w:b/>
        <w:sz w:val="18"/>
      </w:rPr>
      <w:tab/>
    </w:r>
    <w:r>
      <w:t>GE.21-13205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9EBC0" w14:textId="7BD61F25" w:rsidR="002B7A37" w:rsidRPr="002B7A37" w:rsidRDefault="002B7A37" w:rsidP="002B7A37">
    <w:pPr>
      <w:pStyle w:val="Pieddepage"/>
      <w:tabs>
        <w:tab w:val="right" w:pos="9638"/>
      </w:tabs>
      <w:rPr>
        <w:b/>
        <w:sz w:val="18"/>
      </w:rPr>
    </w:pPr>
    <w:r>
      <w:t>GE.21-13205</w:t>
    </w:r>
    <w:r>
      <w:tab/>
    </w:r>
    <w:r w:rsidRPr="002B7A37">
      <w:rPr>
        <w:b/>
        <w:sz w:val="18"/>
      </w:rPr>
      <w:fldChar w:fldCharType="begin"/>
    </w:r>
    <w:r w:rsidRPr="002B7A37">
      <w:rPr>
        <w:b/>
        <w:sz w:val="18"/>
      </w:rPr>
      <w:instrText xml:space="preserve"> PAGE  \* MERGEFORMAT </w:instrText>
    </w:r>
    <w:r w:rsidRPr="002B7A37">
      <w:rPr>
        <w:b/>
        <w:sz w:val="18"/>
      </w:rPr>
      <w:fldChar w:fldCharType="separate"/>
    </w:r>
    <w:r w:rsidRPr="002B7A37">
      <w:rPr>
        <w:b/>
        <w:noProof/>
        <w:sz w:val="18"/>
      </w:rPr>
      <w:t>3</w:t>
    </w:r>
    <w:r w:rsidRPr="002B7A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D79F" w14:textId="74C8EFFE" w:rsidR="002B7A37" w:rsidRPr="002B7A37" w:rsidRDefault="002B7A37" w:rsidP="002B7A3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9BF9825" wp14:editId="61FF815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21-13205  (F)</w:t>
    </w:r>
    <w:r>
      <w:rPr>
        <w:noProof/>
        <w:sz w:val="20"/>
      </w:rPr>
      <w:drawing>
        <wp:anchor distT="0" distB="0" distL="114300" distR="114300" simplePos="0" relativeHeight="251660288" behindDoc="0" locked="0" layoutInCell="1" allowOverlap="1" wp14:anchorId="023021E0" wp14:editId="134EEED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181021    181021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82FA2" w14:textId="77777777" w:rsidR="002B7A37" w:rsidRPr="00AC3823" w:rsidRDefault="002B7A37" w:rsidP="00AC3823">
      <w:pPr>
        <w:pStyle w:val="Pieddepage"/>
        <w:tabs>
          <w:tab w:val="right" w:pos="2155"/>
        </w:tabs>
        <w:spacing w:after="80" w:line="240" w:lineRule="atLeast"/>
        <w:ind w:left="680"/>
        <w:rPr>
          <w:u w:val="single"/>
        </w:rPr>
      </w:pPr>
      <w:r>
        <w:rPr>
          <w:u w:val="single"/>
        </w:rPr>
        <w:tab/>
      </w:r>
    </w:p>
  </w:footnote>
  <w:footnote w:type="continuationSeparator" w:id="0">
    <w:p w14:paraId="0BA7DCF7" w14:textId="77777777" w:rsidR="002B7A37" w:rsidRPr="00AC3823" w:rsidRDefault="002B7A37" w:rsidP="00AC3823">
      <w:pPr>
        <w:pStyle w:val="Pieddepage"/>
        <w:tabs>
          <w:tab w:val="right" w:pos="2155"/>
        </w:tabs>
        <w:spacing w:after="80" w:line="240" w:lineRule="atLeast"/>
        <w:ind w:left="680"/>
        <w:rPr>
          <w:u w:val="single"/>
        </w:rPr>
      </w:pPr>
      <w:r>
        <w:rPr>
          <w:u w:val="single"/>
        </w:rPr>
        <w:tab/>
      </w:r>
    </w:p>
  </w:footnote>
  <w:footnote w:type="continuationNotice" w:id="1">
    <w:p w14:paraId="1401EB63" w14:textId="77777777" w:rsidR="002B7A37" w:rsidRPr="00AC3823" w:rsidRDefault="002B7A37">
      <w:pPr>
        <w:spacing w:line="240" w:lineRule="auto"/>
        <w:rPr>
          <w:sz w:val="2"/>
          <w:szCs w:val="2"/>
        </w:rPr>
      </w:pPr>
    </w:p>
  </w:footnote>
  <w:footnote w:id="2">
    <w:p w14:paraId="32155F48" w14:textId="77777777" w:rsidR="002B7A37" w:rsidRPr="009479FF" w:rsidRDefault="002B7A37" w:rsidP="002B7A37">
      <w:pPr>
        <w:pStyle w:val="Notedebasdepage"/>
        <w:rPr>
          <w:lang w:val="fr-FR"/>
        </w:rPr>
      </w:pPr>
      <w:r>
        <w:rPr>
          <w:lang w:val="fr-FR"/>
        </w:rPr>
        <w:tab/>
      </w:r>
      <w:r w:rsidRPr="002B7A37">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14:paraId="78F51C94" w14:textId="77777777" w:rsidR="002B7A37" w:rsidRPr="009479FF" w:rsidRDefault="002B7A37" w:rsidP="008D4D90">
      <w:pPr>
        <w:pStyle w:val="Notedebasdepage"/>
        <w:rPr>
          <w:lang w:val="fr-FR"/>
        </w:rPr>
      </w:pPr>
      <w:r>
        <w:rPr>
          <w:lang w:val="fr-FR"/>
        </w:rPr>
        <w:tab/>
      </w:r>
      <w:r w:rsidRPr="003327D9">
        <w:rPr>
          <w:rStyle w:val="Appelnotedebasdep"/>
        </w:rPr>
        <w:footnoteRef/>
      </w:r>
      <w:r>
        <w:rPr>
          <w:lang w:val="fr-FR"/>
        </w:rPr>
        <w:tab/>
        <w:t xml:space="preserve">Ce </w:t>
      </w:r>
      <w:r w:rsidRPr="008D4D90">
        <w:t>numéro</w:t>
      </w:r>
      <w:r>
        <w:rPr>
          <w:lang w:val="fr-FR"/>
        </w:rPr>
        <w:t xml:space="preserve"> est donné uniquement 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7506" w14:textId="6F238415" w:rsidR="002B7A37" w:rsidRPr="002B7A37" w:rsidRDefault="002B7A37">
    <w:pPr>
      <w:pStyle w:val="En-tte"/>
    </w:pPr>
    <w:fldSimple w:instr=" TITLE  \* MERGEFORMAT ">
      <w:r w:rsidR="005A2287">
        <w:t>ECE/TRANS/WP.29/GRSP/2021/21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74B5" w14:textId="4CAB1474" w:rsidR="002B7A37" w:rsidRPr="002B7A37" w:rsidRDefault="002B7A37" w:rsidP="002B7A37">
    <w:pPr>
      <w:pStyle w:val="En-tte"/>
      <w:jc w:val="right"/>
    </w:pPr>
    <w:fldSimple w:instr=" TITLE  \* MERGEFORMAT ">
      <w:r w:rsidR="005A2287">
        <w:t>ECE/TRANS/WP.29/GRSP/2021/21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6" w15:restartNumberingAfterBreak="0">
    <w:nsid w:val="276C1387"/>
    <w:multiLevelType w:val="hybridMultilevel"/>
    <w:tmpl w:val="8D8A81BE"/>
    <w:lvl w:ilvl="0" w:tplc="B9AED9C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6C0E2A"/>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90603"/>
    <w:multiLevelType w:val="hybridMultilevel"/>
    <w:tmpl w:val="2A2C1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20"/>
  </w:num>
  <w:num w:numId="16">
    <w:abstractNumId w:val="11"/>
  </w:num>
  <w:num w:numId="17">
    <w:abstractNumId w:val="18"/>
  </w:num>
  <w:num w:numId="18">
    <w:abstractNumId w:val="14"/>
  </w:num>
  <w:num w:numId="19">
    <w:abstractNumId w:val="10"/>
  </w:num>
  <w:num w:numId="20">
    <w:abstractNumId w:val="12"/>
  </w:num>
  <w:num w:numId="21">
    <w:abstractNumId w:val="19"/>
  </w:num>
  <w:num w:numId="22">
    <w:abstractNumId w:val="13"/>
  </w:num>
  <w:num w:numId="23">
    <w:abstractNumId w:val="22"/>
  </w:num>
  <w:num w:numId="24">
    <w:abstractNumId w:val="25"/>
  </w:num>
  <w:num w:numId="25">
    <w:abstractNumId w:val="21"/>
  </w:num>
  <w:num w:numId="26">
    <w:abstractNumId w:val="17"/>
  </w:num>
  <w:num w:numId="27">
    <w:abstractNumId w:val="16"/>
  </w:num>
  <w:num w:numId="28">
    <w:abstractNumId w:val="26"/>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B8"/>
    <w:rsid w:val="00017F94"/>
    <w:rsid w:val="00023842"/>
    <w:rsid w:val="000334F9"/>
    <w:rsid w:val="00045FEB"/>
    <w:rsid w:val="0007796D"/>
    <w:rsid w:val="000B7147"/>
    <w:rsid w:val="000B7790"/>
    <w:rsid w:val="00111F2F"/>
    <w:rsid w:val="001363B8"/>
    <w:rsid w:val="0014365E"/>
    <w:rsid w:val="00143C66"/>
    <w:rsid w:val="0014515F"/>
    <w:rsid w:val="00176178"/>
    <w:rsid w:val="00190D38"/>
    <w:rsid w:val="001C386B"/>
    <w:rsid w:val="001F525A"/>
    <w:rsid w:val="00201148"/>
    <w:rsid w:val="00223272"/>
    <w:rsid w:val="0024779E"/>
    <w:rsid w:val="00257168"/>
    <w:rsid w:val="002744B8"/>
    <w:rsid w:val="002832AC"/>
    <w:rsid w:val="002B7A37"/>
    <w:rsid w:val="002D5231"/>
    <w:rsid w:val="002D7C93"/>
    <w:rsid w:val="00305801"/>
    <w:rsid w:val="00340C0E"/>
    <w:rsid w:val="003916DE"/>
    <w:rsid w:val="00421996"/>
    <w:rsid w:val="00441C3B"/>
    <w:rsid w:val="00446FE5"/>
    <w:rsid w:val="00450D83"/>
    <w:rsid w:val="00452396"/>
    <w:rsid w:val="00477EB2"/>
    <w:rsid w:val="004837D8"/>
    <w:rsid w:val="004E2EED"/>
    <w:rsid w:val="004E468C"/>
    <w:rsid w:val="005471E6"/>
    <w:rsid w:val="005505B7"/>
    <w:rsid w:val="00573BE5"/>
    <w:rsid w:val="00586ED3"/>
    <w:rsid w:val="00596AA9"/>
    <w:rsid w:val="00597111"/>
    <w:rsid w:val="005A2287"/>
    <w:rsid w:val="005E260D"/>
    <w:rsid w:val="00601540"/>
    <w:rsid w:val="006C769C"/>
    <w:rsid w:val="0071601D"/>
    <w:rsid w:val="007A62E6"/>
    <w:rsid w:val="007F20FA"/>
    <w:rsid w:val="0080684C"/>
    <w:rsid w:val="00821329"/>
    <w:rsid w:val="00871C75"/>
    <w:rsid w:val="008776DC"/>
    <w:rsid w:val="008849D2"/>
    <w:rsid w:val="008D4D90"/>
    <w:rsid w:val="008D5EF9"/>
    <w:rsid w:val="009446C0"/>
    <w:rsid w:val="009705C8"/>
    <w:rsid w:val="009C1CF4"/>
    <w:rsid w:val="009F6B74"/>
    <w:rsid w:val="00A3029F"/>
    <w:rsid w:val="00A30353"/>
    <w:rsid w:val="00AC3823"/>
    <w:rsid w:val="00AE323C"/>
    <w:rsid w:val="00AF0CB5"/>
    <w:rsid w:val="00B00181"/>
    <w:rsid w:val="00B00B0D"/>
    <w:rsid w:val="00B4466A"/>
    <w:rsid w:val="00B45F2E"/>
    <w:rsid w:val="00B765F7"/>
    <w:rsid w:val="00B77993"/>
    <w:rsid w:val="00BA0CA9"/>
    <w:rsid w:val="00C02897"/>
    <w:rsid w:val="00C97039"/>
    <w:rsid w:val="00CB2941"/>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D29B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C160F8"/>
  <w15:docId w15:val="{A509A419-F8C4-4EAE-A0F8-5C807484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B7A37"/>
    <w:rPr>
      <w:rFonts w:ascii="Times New Roman" w:eastAsiaTheme="minorHAnsi" w:hAnsi="Times New Roman" w:cs="Times New Roman"/>
      <w:sz w:val="20"/>
      <w:szCs w:val="20"/>
      <w:lang w:eastAsia="en-US"/>
    </w:rPr>
  </w:style>
  <w:style w:type="character" w:customStyle="1" w:styleId="HChGChar">
    <w:name w:val="_ H _Ch_G Char"/>
    <w:link w:val="HChG"/>
    <w:rsid w:val="002B7A37"/>
    <w:rPr>
      <w:rFonts w:ascii="Times New Roman" w:eastAsiaTheme="minorHAnsi" w:hAnsi="Times New Roman" w:cs="Times New Roman"/>
      <w:b/>
      <w:sz w:val="28"/>
      <w:szCs w:val="20"/>
      <w:lang w:eastAsia="en-US"/>
    </w:rPr>
  </w:style>
  <w:style w:type="paragraph" w:customStyle="1" w:styleId="SingleTxtG1">
    <w:name w:val="_Single Txt_G_1"/>
    <w:basedOn w:val="SingleTxtG"/>
    <w:qFormat/>
    <w:rsid w:val="002B7A37"/>
    <w:pPr>
      <w:tabs>
        <w:tab w:val="left" w:pos="1701"/>
        <w:tab w:val="left" w:pos="2268"/>
        <w:tab w:val="left" w:pos="2835"/>
      </w:tabs>
      <w:spacing w:line="200" w:lineRule="atLeast"/>
      <w:ind w:left="2268" w:hanging="1134"/>
    </w:pPr>
  </w:style>
  <w:style w:type="paragraph" w:customStyle="1" w:styleId="Text1">
    <w:name w:val="Text 1"/>
    <w:basedOn w:val="Normal"/>
    <w:rsid w:val="002B7A37"/>
    <w:pPr>
      <w:suppressAutoHyphens w:val="0"/>
      <w:spacing w:before="120" w:after="120" w:line="240" w:lineRule="auto"/>
      <w:ind w:left="850"/>
      <w:jc w:val="both"/>
    </w:pPr>
    <w:rPr>
      <w:sz w:val="24"/>
      <w:lang w:eastAsia="en-GB"/>
    </w:rPr>
  </w:style>
  <w:style w:type="paragraph" w:customStyle="1" w:styleId="SingleTxtG0">
    <w:name w:val="_Single Txt_G"/>
    <w:basedOn w:val="Normal"/>
    <w:link w:val="SingleTxtGChar0"/>
    <w:qFormat/>
    <w:rsid w:val="002B7A37"/>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2B7A37"/>
    <w:rPr>
      <w:rFonts w:ascii="Times New Roman" w:eastAsia="Calibri" w:hAnsi="Times New Roman" w:cs="Times New Roman"/>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86C31-AA4A-4954-9ACF-6AFA1D10D02E}"/>
</file>

<file path=customXml/itemProps2.xml><?xml version="1.0" encoding="utf-8"?>
<ds:datastoreItem xmlns:ds="http://schemas.openxmlformats.org/officeDocument/2006/customXml" ds:itemID="{E4147D13-945B-49DC-BC5F-2C3B10FFCD55}"/>
</file>

<file path=customXml/itemProps3.xml><?xml version="1.0" encoding="utf-8"?>
<ds:datastoreItem xmlns:ds="http://schemas.openxmlformats.org/officeDocument/2006/customXml" ds:itemID="{3DD69ACB-99CF-4B85-AB92-3BEF078E4FEF}"/>
</file>

<file path=docProps/app.xml><?xml version="1.0" encoding="utf-8"?>
<Properties xmlns="http://schemas.openxmlformats.org/officeDocument/2006/extended-properties" xmlns:vt="http://schemas.openxmlformats.org/officeDocument/2006/docPropsVTypes">
  <Template>ECE_TRANS.dotm</Template>
  <TotalTime>2</TotalTime>
  <Pages>21</Pages>
  <Words>7214</Words>
  <Characters>38271</Characters>
  <Application>Microsoft Office Word</Application>
  <DocSecurity>0</DocSecurity>
  <Lines>802</Lines>
  <Paragraphs>328</Paragraphs>
  <ScaleCrop>false</ScaleCrop>
  <HeadingPairs>
    <vt:vector size="2" baseType="variant">
      <vt:variant>
        <vt:lpstr>Titre</vt:lpstr>
      </vt:variant>
      <vt:variant>
        <vt:i4>1</vt:i4>
      </vt:variant>
    </vt:vector>
  </HeadingPairs>
  <TitlesOfParts>
    <vt:vector size="1" baseType="lpstr">
      <vt:lpstr>ECE/TRANS/WP.29/GRSP/2021/21</vt:lpstr>
    </vt:vector>
  </TitlesOfParts>
  <Company>DCM</Company>
  <LinksUpToDate>false</LinksUpToDate>
  <CharactersWithSpaces>45331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ECE/TRANS/WP.29/GRSP/2021/21</dc:title>
  <dc:subject/>
  <dc:creator>Sandrine CLERE</dc:creator>
  <cp:keywords/>
  <cp:lastModifiedBy>Sandrine Clere</cp:lastModifiedBy>
  <cp:revision>2</cp:revision>
  <cp:lastPrinted>2014-05-14T10:59:00Z</cp:lastPrinted>
  <dcterms:created xsi:type="dcterms:W3CDTF">2021-10-18T10:28:00Z</dcterms:created>
  <dcterms:modified xsi:type="dcterms:W3CDTF">2021-10-18T10:28:00Z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