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14:paraId="2D07145A" w14:textId="77777777" w:rsidTr="00DF5712">
        <w:trPr>
          <w:trHeight w:hRule="exact" w:val="851"/>
        </w:trPr>
        <w:tc>
          <w:tcPr>
            <w:tcW w:w="1276" w:type="dxa"/>
            <w:tcBorders>
              <w:bottom w:val="single" w:sz="4" w:space="0" w:color="auto"/>
            </w:tcBorders>
          </w:tcPr>
          <w:p w14:paraId="0D56D0A2" w14:textId="77777777" w:rsidR="00A14420" w:rsidRPr="00DB58B5" w:rsidRDefault="00A14420" w:rsidP="00455C80"/>
        </w:tc>
        <w:tc>
          <w:tcPr>
            <w:tcW w:w="2268" w:type="dxa"/>
            <w:tcBorders>
              <w:bottom w:val="single" w:sz="4" w:space="0" w:color="auto"/>
            </w:tcBorders>
            <w:vAlign w:val="bottom"/>
          </w:tcPr>
          <w:p w14:paraId="568E96FD" w14:textId="77777777"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7435455" w14:textId="572CB12E" w:rsidR="00A14420" w:rsidRPr="00DB58B5" w:rsidRDefault="00455C80" w:rsidP="00455C80">
            <w:pPr>
              <w:jc w:val="right"/>
            </w:pPr>
            <w:r w:rsidRPr="00455C80">
              <w:rPr>
                <w:sz w:val="40"/>
              </w:rPr>
              <w:t>ECE</w:t>
            </w:r>
            <w:r>
              <w:t>/MP.EIA/WG.2/2021/1</w:t>
            </w:r>
          </w:p>
        </w:tc>
      </w:tr>
      <w:tr w:rsidR="00A14420" w:rsidRPr="00DB58B5" w14:paraId="7E79A48C" w14:textId="77777777" w:rsidTr="00DF5712">
        <w:trPr>
          <w:trHeight w:hRule="exact" w:val="2835"/>
        </w:trPr>
        <w:tc>
          <w:tcPr>
            <w:tcW w:w="1276" w:type="dxa"/>
            <w:tcBorders>
              <w:top w:val="single" w:sz="4" w:space="0" w:color="auto"/>
              <w:bottom w:val="single" w:sz="12" w:space="0" w:color="auto"/>
            </w:tcBorders>
          </w:tcPr>
          <w:p w14:paraId="03A48183" w14:textId="77777777" w:rsidR="00A14420" w:rsidRPr="00DB58B5" w:rsidRDefault="00A14420" w:rsidP="00DF5712">
            <w:pPr>
              <w:spacing w:before="120"/>
              <w:jc w:val="center"/>
            </w:pPr>
            <w:r>
              <w:rPr>
                <w:noProof/>
                <w:lang w:eastAsia="fr-CH"/>
              </w:rPr>
              <w:drawing>
                <wp:inline distT="0" distB="0" distL="0" distR="0" wp14:anchorId="24929BE9" wp14:editId="2773EF3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90936A3" w14:textId="77777777"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E79B4E5" w14:textId="77777777" w:rsidR="00A14420" w:rsidRDefault="00455C80" w:rsidP="00DF5712">
            <w:pPr>
              <w:spacing w:before="240"/>
            </w:pPr>
            <w:r>
              <w:t>Distr. générale</w:t>
            </w:r>
          </w:p>
          <w:p w14:paraId="68EC1722" w14:textId="6A4F04E7" w:rsidR="00455C80" w:rsidRDefault="00455C80" w:rsidP="00455C80">
            <w:pPr>
              <w:spacing w:line="240" w:lineRule="exact"/>
            </w:pPr>
            <w:r>
              <w:t>30 août 2021</w:t>
            </w:r>
          </w:p>
          <w:p w14:paraId="3479713B" w14:textId="77777777" w:rsidR="00455C80" w:rsidRDefault="00455C80" w:rsidP="00455C80">
            <w:pPr>
              <w:spacing w:line="240" w:lineRule="exact"/>
            </w:pPr>
            <w:r>
              <w:t>Français</w:t>
            </w:r>
          </w:p>
          <w:p w14:paraId="5181DFF5" w14:textId="692F6D04" w:rsidR="00455C80" w:rsidRPr="00DB58B5" w:rsidRDefault="00455C80" w:rsidP="00455C80">
            <w:pPr>
              <w:spacing w:line="240" w:lineRule="exact"/>
            </w:pPr>
            <w:r>
              <w:t>Original : anglais</w:t>
            </w:r>
          </w:p>
        </w:tc>
      </w:tr>
    </w:tbl>
    <w:p w14:paraId="1BAA9A4E" w14:textId="77777777" w:rsidR="00C554CE" w:rsidRDefault="00C554CE" w:rsidP="00C554CE">
      <w:pPr>
        <w:spacing w:before="120"/>
        <w:rPr>
          <w:b/>
          <w:sz w:val="28"/>
          <w:szCs w:val="28"/>
        </w:rPr>
      </w:pPr>
      <w:r w:rsidRPr="000312C0">
        <w:rPr>
          <w:b/>
          <w:sz w:val="28"/>
          <w:szCs w:val="28"/>
        </w:rPr>
        <w:t>Commission économique pour l’Europe</w:t>
      </w:r>
    </w:p>
    <w:p w14:paraId="301F3DD1" w14:textId="69EB61AA" w:rsidR="00455C80" w:rsidRDefault="00455C80" w:rsidP="00C554CE">
      <w:pPr>
        <w:spacing w:before="120" w:after="120"/>
        <w:rPr>
          <w:sz w:val="28"/>
          <w:szCs w:val="28"/>
          <w:lang w:val="fr-FR"/>
        </w:rPr>
      </w:pPr>
      <w:r w:rsidRPr="00DC31CF">
        <w:rPr>
          <w:sz w:val="28"/>
          <w:szCs w:val="28"/>
          <w:lang w:val="fr-FR"/>
        </w:rPr>
        <w:t>Réunion des Parties à la Convention sur</w:t>
      </w:r>
      <w:r>
        <w:rPr>
          <w:sz w:val="28"/>
          <w:szCs w:val="28"/>
          <w:lang w:val="fr-FR"/>
        </w:rPr>
        <w:t xml:space="preserve"> </w:t>
      </w:r>
      <w:r>
        <w:rPr>
          <w:sz w:val="28"/>
          <w:szCs w:val="28"/>
          <w:lang w:val="fr-FR"/>
        </w:rPr>
        <w:br/>
      </w:r>
      <w:r w:rsidRPr="00DC31CF">
        <w:rPr>
          <w:sz w:val="28"/>
          <w:szCs w:val="28"/>
          <w:lang w:val="fr-FR"/>
        </w:rPr>
        <w:t>l’évaluation</w:t>
      </w:r>
      <w:r>
        <w:rPr>
          <w:sz w:val="28"/>
          <w:szCs w:val="28"/>
          <w:lang w:val="fr-FR"/>
        </w:rPr>
        <w:t xml:space="preserve"> </w:t>
      </w:r>
      <w:r w:rsidRPr="00DC31CF">
        <w:rPr>
          <w:sz w:val="28"/>
          <w:szCs w:val="28"/>
          <w:lang w:val="fr-FR"/>
        </w:rPr>
        <w:t>de l’impact sur l’environnement</w:t>
      </w:r>
      <w:r>
        <w:rPr>
          <w:sz w:val="28"/>
          <w:szCs w:val="28"/>
          <w:lang w:val="fr-FR"/>
        </w:rPr>
        <w:t xml:space="preserve"> </w:t>
      </w:r>
      <w:r>
        <w:rPr>
          <w:sz w:val="28"/>
          <w:szCs w:val="28"/>
          <w:lang w:val="fr-FR"/>
        </w:rPr>
        <w:br/>
      </w:r>
      <w:r w:rsidRPr="00DC31CF">
        <w:rPr>
          <w:sz w:val="28"/>
          <w:szCs w:val="28"/>
          <w:lang w:val="fr-FR"/>
        </w:rPr>
        <w:t>dans</w:t>
      </w:r>
      <w:r>
        <w:rPr>
          <w:sz w:val="28"/>
          <w:szCs w:val="28"/>
          <w:lang w:val="fr-FR"/>
        </w:rPr>
        <w:t xml:space="preserve"> </w:t>
      </w:r>
      <w:r w:rsidRPr="00DC31CF">
        <w:rPr>
          <w:sz w:val="28"/>
          <w:szCs w:val="28"/>
          <w:lang w:val="fr-FR"/>
        </w:rPr>
        <w:t>un contexte transfrontière</w:t>
      </w:r>
    </w:p>
    <w:p w14:paraId="39933E96" w14:textId="7088318E" w:rsidR="00455C80" w:rsidRPr="00DC31CF" w:rsidRDefault="00455C80" w:rsidP="00C554CE">
      <w:pPr>
        <w:spacing w:after="120" w:line="240" w:lineRule="auto"/>
        <w:rPr>
          <w:bCs/>
          <w:sz w:val="28"/>
          <w:szCs w:val="28"/>
          <w:lang w:val="fr-FR" w:eastAsia="fr-FR"/>
        </w:rPr>
      </w:pPr>
      <w:r w:rsidRPr="00DC31CF">
        <w:rPr>
          <w:bCs/>
          <w:sz w:val="28"/>
          <w:szCs w:val="28"/>
          <w:lang w:val="fr-FR" w:eastAsia="fr-FR"/>
        </w:rPr>
        <w:t>Réunion des Parties à la Convention sur</w:t>
      </w:r>
      <w:r>
        <w:rPr>
          <w:bCs/>
          <w:sz w:val="28"/>
          <w:szCs w:val="28"/>
          <w:lang w:val="fr-FR" w:eastAsia="fr-FR"/>
        </w:rPr>
        <w:t xml:space="preserve"> </w:t>
      </w:r>
      <w:r>
        <w:rPr>
          <w:bCs/>
          <w:sz w:val="28"/>
          <w:szCs w:val="28"/>
          <w:lang w:val="fr-FR" w:eastAsia="fr-FR"/>
        </w:rPr>
        <w:br/>
      </w:r>
      <w:r w:rsidRPr="00DC31CF">
        <w:rPr>
          <w:bCs/>
          <w:sz w:val="28"/>
          <w:szCs w:val="28"/>
          <w:lang w:val="fr-FR" w:eastAsia="fr-FR"/>
        </w:rPr>
        <w:t>l’évaluation</w:t>
      </w:r>
      <w:r>
        <w:rPr>
          <w:bCs/>
          <w:sz w:val="28"/>
          <w:szCs w:val="28"/>
          <w:lang w:val="fr-FR" w:eastAsia="fr-FR"/>
        </w:rPr>
        <w:t xml:space="preserve"> </w:t>
      </w:r>
      <w:r w:rsidRPr="00DC31CF">
        <w:rPr>
          <w:bCs/>
          <w:sz w:val="28"/>
          <w:szCs w:val="28"/>
          <w:lang w:val="fr-FR" w:eastAsia="fr-FR"/>
        </w:rPr>
        <w:t>de l’impact</w:t>
      </w:r>
      <w:r>
        <w:rPr>
          <w:bCs/>
          <w:sz w:val="28"/>
          <w:szCs w:val="28"/>
          <w:lang w:val="fr-FR" w:eastAsia="fr-FR"/>
        </w:rPr>
        <w:t xml:space="preserve"> </w:t>
      </w:r>
      <w:r w:rsidRPr="00DC31CF">
        <w:rPr>
          <w:bCs/>
          <w:sz w:val="28"/>
          <w:szCs w:val="28"/>
          <w:lang w:val="fr-FR" w:eastAsia="fr-FR"/>
        </w:rPr>
        <w:t>sur l’environnement</w:t>
      </w:r>
      <w:r>
        <w:rPr>
          <w:bCs/>
          <w:sz w:val="28"/>
          <w:szCs w:val="28"/>
          <w:lang w:val="fr-FR" w:eastAsia="fr-FR"/>
        </w:rPr>
        <w:t xml:space="preserve"> </w:t>
      </w:r>
      <w:r>
        <w:rPr>
          <w:bCs/>
          <w:sz w:val="28"/>
          <w:szCs w:val="28"/>
          <w:lang w:val="fr-FR" w:eastAsia="fr-FR"/>
        </w:rPr>
        <w:br/>
      </w:r>
      <w:r w:rsidRPr="00DC31CF">
        <w:rPr>
          <w:bCs/>
          <w:sz w:val="28"/>
          <w:szCs w:val="28"/>
          <w:lang w:val="fr-FR" w:eastAsia="fr-FR"/>
        </w:rPr>
        <w:t>dans un contexte</w:t>
      </w:r>
      <w:r>
        <w:rPr>
          <w:bCs/>
          <w:sz w:val="28"/>
          <w:szCs w:val="28"/>
          <w:lang w:val="fr-FR" w:eastAsia="fr-FR"/>
        </w:rPr>
        <w:t xml:space="preserve"> </w:t>
      </w:r>
      <w:r w:rsidRPr="00DC31CF">
        <w:rPr>
          <w:bCs/>
          <w:sz w:val="28"/>
          <w:szCs w:val="28"/>
          <w:lang w:val="fr-FR" w:eastAsia="fr-FR"/>
        </w:rPr>
        <w:t>transfrontière agissant</w:t>
      </w:r>
      <w:r>
        <w:rPr>
          <w:bCs/>
          <w:sz w:val="28"/>
          <w:szCs w:val="28"/>
          <w:lang w:val="fr-FR" w:eastAsia="fr-FR"/>
        </w:rPr>
        <w:t xml:space="preserve"> </w:t>
      </w:r>
      <w:r>
        <w:rPr>
          <w:bCs/>
          <w:sz w:val="28"/>
          <w:szCs w:val="28"/>
          <w:lang w:val="fr-FR" w:eastAsia="fr-FR"/>
        </w:rPr>
        <w:br/>
      </w:r>
      <w:r w:rsidRPr="00DC31CF">
        <w:rPr>
          <w:bCs/>
          <w:sz w:val="28"/>
          <w:szCs w:val="28"/>
          <w:lang w:val="fr-FR" w:eastAsia="fr-FR"/>
        </w:rPr>
        <w:t>comme</w:t>
      </w:r>
      <w:r>
        <w:rPr>
          <w:bCs/>
          <w:sz w:val="28"/>
          <w:szCs w:val="28"/>
          <w:lang w:val="fr-FR" w:eastAsia="fr-FR"/>
        </w:rPr>
        <w:t xml:space="preserve"> </w:t>
      </w:r>
      <w:r w:rsidRPr="00DC31CF">
        <w:rPr>
          <w:bCs/>
          <w:sz w:val="28"/>
          <w:szCs w:val="28"/>
          <w:lang w:val="fr-FR" w:eastAsia="fr-FR"/>
        </w:rPr>
        <w:t>réunion des Parties</w:t>
      </w:r>
      <w:r>
        <w:rPr>
          <w:bCs/>
          <w:sz w:val="28"/>
          <w:szCs w:val="28"/>
          <w:lang w:val="fr-FR" w:eastAsia="fr-FR"/>
        </w:rPr>
        <w:t xml:space="preserve"> </w:t>
      </w:r>
      <w:r w:rsidRPr="00DC31CF">
        <w:rPr>
          <w:bCs/>
          <w:sz w:val="28"/>
          <w:szCs w:val="28"/>
          <w:lang w:val="fr-FR" w:eastAsia="fr-FR"/>
        </w:rPr>
        <w:t>au Protocole relatif</w:t>
      </w:r>
      <w:r>
        <w:rPr>
          <w:bCs/>
          <w:sz w:val="28"/>
          <w:szCs w:val="28"/>
          <w:lang w:val="fr-FR" w:eastAsia="fr-FR"/>
        </w:rPr>
        <w:t xml:space="preserve"> </w:t>
      </w:r>
      <w:r>
        <w:rPr>
          <w:bCs/>
          <w:sz w:val="28"/>
          <w:szCs w:val="28"/>
          <w:lang w:val="fr-FR" w:eastAsia="fr-FR"/>
        </w:rPr>
        <w:br/>
      </w:r>
      <w:r w:rsidRPr="00DC31CF">
        <w:rPr>
          <w:bCs/>
          <w:sz w:val="28"/>
          <w:szCs w:val="28"/>
          <w:lang w:val="fr-FR" w:eastAsia="fr-FR"/>
        </w:rPr>
        <w:t>à l’évaluation stratégique</w:t>
      </w:r>
      <w:r>
        <w:rPr>
          <w:bCs/>
          <w:sz w:val="28"/>
          <w:szCs w:val="28"/>
          <w:lang w:val="fr-FR" w:eastAsia="fr-FR"/>
        </w:rPr>
        <w:t xml:space="preserve"> </w:t>
      </w:r>
      <w:r w:rsidRPr="00DC31CF">
        <w:rPr>
          <w:bCs/>
          <w:sz w:val="28"/>
          <w:szCs w:val="28"/>
          <w:lang w:val="fr-FR" w:eastAsia="fr-FR"/>
        </w:rPr>
        <w:t>environnementale</w:t>
      </w:r>
    </w:p>
    <w:p w14:paraId="60D4DB27" w14:textId="03F97310" w:rsidR="00455C80" w:rsidRPr="00DC31CF" w:rsidRDefault="00455C80" w:rsidP="00C554CE">
      <w:pPr>
        <w:spacing w:after="120" w:line="240" w:lineRule="auto"/>
        <w:rPr>
          <w:b/>
          <w:bCs/>
          <w:sz w:val="24"/>
          <w:szCs w:val="24"/>
          <w:lang w:val="fr-FR" w:eastAsia="fr-FR"/>
        </w:rPr>
      </w:pPr>
      <w:r w:rsidRPr="00DC31CF">
        <w:rPr>
          <w:b/>
          <w:bCs/>
          <w:sz w:val="24"/>
          <w:szCs w:val="24"/>
          <w:lang w:val="fr-FR" w:eastAsia="fr-FR"/>
        </w:rPr>
        <w:t>Groupe de travail de l’évaluation de l’impact</w:t>
      </w:r>
      <w:r>
        <w:rPr>
          <w:b/>
          <w:bCs/>
          <w:sz w:val="24"/>
          <w:szCs w:val="24"/>
          <w:lang w:val="fr-FR" w:eastAsia="fr-FR"/>
        </w:rPr>
        <w:t xml:space="preserve"> </w:t>
      </w:r>
      <w:r w:rsidRPr="00DC31CF">
        <w:rPr>
          <w:b/>
          <w:bCs/>
          <w:sz w:val="24"/>
          <w:szCs w:val="24"/>
          <w:lang w:val="fr-FR" w:eastAsia="fr-FR"/>
        </w:rPr>
        <w:br/>
        <w:t>sur l’environnement et de l’évaluation</w:t>
      </w:r>
      <w:r>
        <w:rPr>
          <w:b/>
          <w:bCs/>
          <w:sz w:val="24"/>
          <w:szCs w:val="24"/>
          <w:lang w:val="fr-FR" w:eastAsia="fr-FR"/>
        </w:rPr>
        <w:t xml:space="preserve"> </w:t>
      </w:r>
      <w:r w:rsidRPr="00DC31CF">
        <w:rPr>
          <w:b/>
          <w:bCs/>
          <w:sz w:val="24"/>
          <w:szCs w:val="24"/>
          <w:lang w:val="fr-FR" w:eastAsia="fr-FR"/>
        </w:rPr>
        <w:br/>
        <w:t>stratégique environnementale</w:t>
      </w:r>
    </w:p>
    <w:p w14:paraId="60E85F20" w14:textId="39D988DB" w:rsidR="00455C80" w:rsidRDefault="00455C80" w:rsidP="00C554CE">
      <w:pPr>
        <w:spacing w:line="240" w:lineRule="auto"/>
        <w:rPr>
          <w:b/>
          <w:bCs/>
          <w:lang w:val="fr-FR" w:eastAsia="fr-FR"/>
        </w:rPr>
      </w:pPr>
      <w:r>
        <w:rPr>
          <w:b/>
          <w:bCs/>
          <w:lang w:val="fr-FR" w:eastAsia="fr-FR"/>
        </w:rPr>
        <w:t>Dixième réunion</w:t>
      </w:r>
    </w:p>
    <w:p w14:paraId="4D964769" w14:textId="7D2A54A5" w:rsidR="00455C80" w:rsidRDefault="00455C80" w:rsidP="00C554CE">
      <w:pPr>
        <w:spacing w:line="240" w:lineRule="auto"/>
        <w:rPr>
          <w:lang w:val="fr-FR" w:eastAsia="fr-FR"/>
        </w:rPr>
      </w:pPr>
      <w:r>
        <w:rPr>
          <w:lang w:val="fr-FR" w:eastAsia="fr-FR"/>
        </w:rPr>
        <w:t>Genève, 1</w:t>
      </w:r>
      <w:r w:rsidRPr="00455C80">
        <w:rPr>
          <w:vertAlign w:val="superscript"/>
          <w:lang w:val="fr-FR" w:eastAsia="fr-FR"/>
        </w:rPr>
        <w:t>er</w:t>
      </w:r>
      <w:r>
        <w:rPr>
          <w:lang w:val="fr-FR" w:eastAsia="fr-FR"/>
        </w:rPr>
        <w:t>-3 décembre 2021</w:t>
      </w:r>
    </w:p>
    <w:p w14:paraId="193E597E" w14:textId="5F93F80C" w:rsidR="00455C80" w:rsidRPr="00AC08E0" w:rsidRDefault="00455C80" w:rsidP="00455C80">
      <w:r>
        <w:rPr>
          <w:lang w:val="fr-FR" w:eastAsia="fr-FR"/>
        </w:rPr>
        <w:t>Point 1 de l’ordre du jour provisoire</w:t>
      </w:r>
    </w:p>
    <w:p w14:paraId="4112E699" w14:textId="31B59462" w:rsidR="005F26E5" w:rsidRPr="00455C80" w:rsidRDefault="00455C80" w:rsidP="007A5FC4">
      <w:pPr>
        <w:rPr>
          <w:b/>
          <w:bCs/>
        </w:rPr>
      </w:pPr>
      <w:r w:rsidRPr="00455C80">
        <w:rPr>
          <w:b/>
          <w:bCs/>
        </w:rPr>
        <w:t>Adoption de l’ordre du jour</w:t>
      </w:r>
    </w:p>
    <w:p w14:paraId="549F4A9F" w14:textId="77777777" w:rsidR="00455C80" w:rsidRPr="00FE4086" w:rsidRDefault="00455C80" w:rsidP="00455C80">
      <w:pPr>
        <w:pStyle w:val="HChG"/>
        <w:rPr>
          <w:lang w:val="fr-FR"/>
        </w:rPr>
      </w:pPr>
      <w:r>
        <w:rPr>
          <w:lang w:val="fr-FR"/>
        </w:rPr>
        <w:tab/>
      </w:r>
      <w:r>
        <w:rPr>
          <w:lang w:val="fr-FR"/>
        </w:rPr>
        <w:tab/>
        <w:t>Ordre du jour provisoire annoté de la dixième réunion</w:t>
      </w:r>
    </w:p>
    <w:p w14:paraId="7DFE8F86" w14:textId="21C942ED" w:rsidR="00455C80" w:rsidRPr="00FE4086" w:rsidRDefault="00455C80" w:rsidP="00455C80">
      <w:pPr>
        <w:pStyle w:val="H1G"/>
        <w:rPr>
          <w:lang w:val="fr-FR"/>
        </w:rPr>
      </w:pPr>
      <w:r>
        <w:rPr>
          <w:lang w:val="fr-FR"/>
        </w:rPr>
        <w:tab/>
      </w:r>
      <w:r>
        <w:rPr>
          <w:lang w:val="fr-FR"/>
        </w:rPr>
        <w:tab/>
        <w:t>Qui se tiendra au Palais des Nations, à Genève, et s’ouvrira le mercredi 1</w:t>
      </w:r>
      <w:r w:rsidRPr="00455C80">
        <w:rPr>
          <w:vertAlign w:val="superscript"/>
          <w:lang w:val="fr-FR"/>
        </w:rPr>
        <w:t>er</w:t>
      </w:r>
      <w:r>
        <w:rPr>
          <w:lang w:val="fr-FR"/>
        </w:rPr>
        <w:t> décembre 2021, à 10 heures</w:t>
      </w:r>
      <w:r w:rsidRPr="00455C80">
        <w:rPr>
          <w:rStyle w:val="Appelnotedebasdep"/>
          <w:b w:val="0"/>
          <w:bCs/>
          <w:sz w:val="20"/>
          <w:vertAlign w:val="baseline"/>
        </w:rPr>
        <w:footnoteReference w:customMarkFollows="1" w:id="2"/>
        <w:t>*</w:t>
      </w:r>
    </w:p>
    <w:p w14:paraId="29D4F8C0" w14:textId="77777777" w:rsidR="00455C80" w:rsidRPr="00FE4086" w:rsidRDefault="00455C80" w:rsidP="00455C80">
      <w:pPr>
        <w:pStyle w:val="HChG"/>
        <w:rPr>
          <w:lang w:val="fr-FR"/>
        </w:rPr>
      </w:pPr>
      <w:r>
        <w:rPr>
          <w:lang w:val="fr-FR"/>
        </w:rPr>
        <w:tab/>
        <w:t>I.</w:t>
      </w:r>
      <w:r>
        <w:rPr>
          <w:lang w:val="fr-FR"/>
        </w:rPr>
        <w:tab/>
        <w:t>Ordre du jour provisoire</w:t>
      </w:r>
    </w:p>
    <w:p w14:paraId="6A5794F8" w14:textId="77777777" w:rsidR="00455C80" w:rsidRPr="00FE4086" w:rsidRDefault="00455C80" w:rsidP="00455C80">
      <w:pPr>
        <w:pStyle w:val="SingleTxtG"/>
        <w:jc w:val="left"/>
        <w:rPr>
          <w:lang w:val="fr-FR"/>
        </w:rPr>
      </w:pPr>
      <w:r>
        <w:rPr>
          <w:lang w:val="fr-FR"/>
        </w:rPr>
        <w:t>1.</w:t>
      </w:r>
      <w:r>
        <w:rPr>
          <w:lang w:val="fr-FR"/>
        </w:rPr>
        <w:tab/>
        <w:t>Adoption de l’ordre du jour.</w:t>
      </w:r>
    </w:p>
    <w:p w14:paraId="3CFAE947" w14:textId="77777777" w:rsidR="00455C80" w:rsidRPr="00FE4086" w:rsidRDefault="00455C80" w:rsidP="00455C80">
      <w:pPr>
        <w:pStyle w:val="SingleTxtG"/>
        <w:jc w:val="left"/>
        <w:rPr>
          <w:lang w:val="fr-FR"/>
        </w:rPr>
      </w:pPr>
      <w:r>
        <w:rPr>
          <w:lang w:val="fr-FR"/>
        </w:rPr>
        <w:t>2.</w:t>
      </w:r>
      <w:r>
        <w:rPr>
          <w:lang w:val="fr-FR"/>
        </w:rPr>
        <w:tab/>
        <w:t>État des ratifications.</w:t>
      </w:r>
    </w:p>
    <w:p w14:paraId="00D413F3" w14:textId="0A04CE90" w:rsidR="00455C80" w:rsidRPr="00FE4086" w:rsidRDefault="00455C80" w:rsidP="00455C80">
      <w:pPr>
        <w:pStyle w:val="SingleTxtG"/>
        <w:jc w:val="left"/>
        <w:rPr>
          <w:lang w:val="fr-FR"/>
        </w:rPr>
      </w:pPr>
      <w:r>
        <w:rPr>
          <w:lang w:val="fr-FR"/>
        </w:rPr>
        <w:t>3.</w:t>
      </w:r>
      <w:r>
        <w:rPr>
          <w:lang w:val="fr-FR"/>
        </w:rPr>
        <w:tab/>
        <w:t>Application et respect des dispositions de la Convention et du Protocole.</w:t>
      </w:r>
    </w:p>
    <w:p w14:paraId="630E0BDF" w14:textId="7575201C" w:rsidR="00455C80" w:rsidRPr="00FE4086" w:rsidRDefault="00455C80" w:rsidP="0076036E">
      <w:pPr>
        <w:pStyle w:val="SingleTxtG"/>
        <w:keepNext/>
        <w:keepLines/>
        <w:jc w:val="left"/>
        <w:rPr>
          <w:lang w:val="fr-FR"/>
        </w:rPr>
      </w:pPr>
      <w:r>
        <w:rPr>
          <w:lang w:val="fr-FR"/>
        </w:rPr>
        <w:lastRenderedPageBreak/>
        <w:t>4.</w:t>
      </w:r>
      <w:r>
        <w:rPr>
          <w:lang w:val="fr-FR"/>
        </w:rPr>
        <w:tab/>
        <w:t>Promotion de l’application de la Convention et du Protocole :</w:t>
      </w:r>
    </w:p>
    <w:p w14:paraId="2CEA4580" w14:textId="4A85AFE3" w:rsidR="00455C80" w:rsidRPr="00FE4086" w:rsidRDefault="00455C80" w:rsidP="00455C80">
      <w:pPr>
        <w:pStyle w:val="SingleTxtG"/>
        <w:ind w:firstLine="567"/>
        <w:jc w:val="left"/>
        <w:rPr>
          <w:lang w:val="fr-FR"/>
        </w:rPr>
      </w:pPr>
      <w:r>
        <w:rPr>
          <w:lang w:val="fr-FR"/>
        </w:rPr>
        <w:t>a)</w:t>
      </w:r>
      <w:r>
        <w:rPr>
          <w:lang w:val="fr-FR"/>
        </w:rPr>
        <w:tab/>
      </w:r>
      <w:r w:rsidRPr="004B7A25">
        <w:rPr>
          <w:lang w:val="fr-FR"/>
        </w:rPr>
        <w:t>Coopération et renforcement des capacités à l</w:t>
      </w:r>
      <w:r>
        <w:rPr>
          <w:lang w:val="fr-FR"/>
        </w:rPr>
        <w:t>’</w:t>
      </w:r>
      <w:r w:rsidRPr="004B7A25">
        <w:rPr>
          <w:lang w:val="fr-FR"/>
        </w:rPr>
        <w:t>échelle sous-régionale</w:t>
      </w:r>
      <w:r>
        <w:rPr>
          <w:lang w:val="fr-FR"/>
        </w:rPr>
        <w:t> ;</w:t>
      </w:r>
    </w:p>
    <w:p w14:paraId="32791C7D" w14:textId="38253906" w:rsidR="00455C80" w:rsidRPr="00FE4086" w:rsidRDefault="00455C80" w:rsidP="00455C80">
      <w:pPr>
        <w:pStyle w:val="SingleTxtG"/>
        <w:ind w:firstLine="567"/>
        <w:jc w:val="left"/>
        <w:rPr>
          <w:lang w:val="fr-FR"/>
        </w:rPr>
      </w:pPr>
      <w:r>
        <w:rPr>
          <w:lang w:val="fr-FR"/>
        </w:rPr>
        <w:t>b)</w:t>
      </w:r>
      <w:r>
        <w:rPr>
          <w:lang w:val="fr-FR"/>
        </w:rPr>
        <w:tab/>
        <w:t>Renforcement des capacités ;</w:t>
      </w:r>
    </w:p>
    <w:p w14:paraId="6B46AAD8" w14:textId="0F48A499" w:rsidR="00455C80" w:rsidRPr="00FE4086" w:rsidRDefault="00455C80" w:rsidP="00455C80">
      <w:pPr>
        <w:pStyle w:val="SingleTxtG"/>
        <w:ind w:firstLine="567"/>
        <w:jc w:val="left"/>
        <w:rPr>
          <w:lang w:val="fr-FR"/>
        </w:rPr>
      </w:pPr>
      <w:r>
        <w:rPr>
          <w:lang w:val="fr-FR"/>
        </w:rPr>
        <w:t>c)</w:t>
      </w:r>
      <w:r>
        <w:rPr>
          <w:lang w:val="fr-FR"/>
        </w:rPr>
        <w:tab/>
        <w:t>Échange de bonnes pratiques ;</w:t>
      </w:r>
    </w:p>
    <w:p w14:paraId="11150C98" w14:textId="77777777" w:rsidR="00455C80" w:rsidRPr="00FE4086" w:rsidRDefault="00455C80" w:rsidP="00455C80">
      <w:pPr>
        <w:pStyle w:val="SingleTxtG"/>
        <w:jc w:val="left"/>
        <w:rPr>
          <w:lang w:val="fr-FR"/>
        </w:rPr>
      </w:pPr>
      <w:r>
        <w:rPr>
          <w:lang w:val="fr-FR"/>
        </w:rPr>
        <w:t>5.</w:t>
      </w:r>
      <w:r>
        <w:rPr>
          <w:lang w:val="fr-FR"/>
        </w:rPr>
        <w:tab/>
        <w:t>Séminaire sur les infrastructures durables.</w:t>
      </w:r>
    </w:p>
    <w:p w14:paraId="6F90DAE3" w14:textId="77777777" w:rsidR="00455C80" w:rsidRPr="00FE4086" w:rsidRDefault="00455C80" w:rsidP="00455C80">
      <w:pPr>
        <w:pStyle w:val="SingleTxtG"/>
        <w:jc w:val="left"/>
        <w:rPr>
          <w:lang w:val="fr-FR"/>
        </w:rPr>
      </w:pPr>
      <w:r>
        <w:rPr>
          <w:lang w:val="fr-FR"/>
        </w:rPr>
        <w:t>6.</w:t>
      </w:r>
      <w:r>
        <w:rPr>
          <w:lang w:val="fr-FR"/>
        </w:rPr>
        <w:tab/>
        <w:t>Dispositions financières.</w:t>
      </w:r>
    </w:p>
    <w:p w14:paraId="232A3519" w14:textId="77777777" w:rsidR="00455C80" w:rsidRPr="00FE4086" w:rsidRDefault="00455C80" w:rsidP="00455C80">
      <w:pPr>
        <w:pStyle w:val="SingleTxtG"/>
        <w:jc w:val="left"/>
        <w:rPr>
          <w:lang w:val="fr-FR"/>
        </w:rPr>
      </w:pPr>
      <w:r>
        <w:rPr>
          <w:lang w:val="fr-FR"/>
        </w:rPr>
        <w:t>7.</w:t>
      </w:r>
      <w:r>
        <w:rPr>
          <w:lang w:val="fr-FR"/>
        </w:rPr>
        <w:tab/>
        <w:t>Gestion, coordination et visibilité des activités intersessions</w:t>
      </w:r>
    </w:p>
    <w:p w14:paraId="2543B2A9" w14:textId="77777777" w:rsidR="00455C80" w:rsidRPr="00FE4086" w:rsidRDefault="00455C80" w:rsidP="00455C80">
      <w:pPr>
        <w:pStyle w:val="SingleTxtG"/>
        <w:jc w:val="left"/>
        <w:rPr>
          <w:lang w:val="fr-FR"/>
        </w:rPr>
      </w:pPr>
      <w:r>
        <w:rPr>
          <w:lang w:val="fr-FR"/>
        </w:rPr>
        <w:t>8.</w:t>
      </w:r>
      <w:r>
        <w:rPr>
          <w:lang w:val="fr-FR"/>
        </w:rPr>
        <w:tab/>
        <w:t>Contributions à des processus internationaux connexes.</w:t>
      </w:r>
    </w:p>
    <w:p w14:paraId="3129C82D" w14:textId="77777777" w:rsidR="00455C80" w:rsidRPr="00FE4086" w:rsidRDefault="00455C80" w:rsidP="00455C80">
      <w:pPr>
        <w:pStyle w:val="SingleTxtG"/>
        <w:jc w:val="left"/>
        <w:rPr>
          <w:lang w:val="fr-FR"/>
        </w:rPr>
      </w:pPr>
      <w:r>
        <w:rPr>
          <w:lang w:val="fr-FR"/>
        </w:rPr>
        <w:t>9.</w:t>
      </w:r>
      <w:r>
        <w:rPr>
          <w:lang w:val="fr-FR"/>
        </w:rPr>
        <w:tab/>
        <w:t xml:space="preserve">Préparatifs </w:t>
      </w:r>
      <w:r w:rsidRPr="00463B79">
        <w:rPr>
          <w:lang w:val="fr-FR"/>
        </w:rPr>
        <w:t>en vue des</w:t>
      </w:r>
      <w:r>
        <w:rPr>
          <w:lang w:val="fr-FR"/>
        </w:rPr>
        <w:t xml:space="preserve"> prochaines sessions des Réunions des Parties.</w:t>
      </w:r>
      <w:bookmarkStart w:id="0" w:name="_Hlk503195952"/>
    </w:p>
    <w:bookmarkEnd w:id="0"/>
    <w:p w14:paraId="2AF12477" w14:textId="77777777" w:rsidR="00455C80" w:rsidRPr="00FE4086" w:rsidRDefault="00455C80" w:rsidP="00455C80">
      <w:pPr>
        <w:pStyle w:val="SingleTxtG"/>
        <w:jc w:val="left"/>
        <w:rPr>
          <w:lang w:val="fr-FR"/>
        </w:rPr>
      </w:pPr>
      <w:r>
        <w:rPr>
          <w:lang w:val="fr-FR"/>
        </w:rPr>
        <w:t>10.</w:t>
      </w:r>
      <w:r>
        <w:rPr>
          <w:lang w:val="fr-FR"/>
        </w:rPr>
        <w:tab/>
        <w:t>Questions diverses.</w:t>
      </w:r>
    </w:p>
    <w:p w14:paraId="0010B2F7" w14:textId="77777777" w:rsidR="00455C80" w:rsidRPr="00FE4086" w:rsidRDefault="00455C80" w:rsidP="00455C80">
      <w:pPr>
        <w:pStyle w:val="SingleTxtG"/>
        <w:jc w:val="left"/>
        <w:rPr>
          <w:lang w:val="fr-FR"/>
        </w:rPr>
      </w:pPr>
      <w:r>
        <w:rPr>
          <w:lang w:val="fr-FR"/>
        </w:rPr>
        <w:t>11.</w:t>
      </w:r>
      <w:r>
        <w:rPr>
          <w:lang w:val="fr-FR"/>
        </w:rPr>
        <w:tab/>
        <w:t>Présentation des principales décisions adoptées et clôture de la réunion.</w:t>
      </w:r>
    </w:p>
    <w:p w14:paraId="1BAE5705" w14:textId="77777777" w:rsidR="00455C80" w:rsidRPr="00FE4086" w:rsidRDefault="00455C80" w:rsidP="00455C80">
      <w:pPr>
        <w:pStyle w:val="HChG"/>
        <w:rPr>
          <w:lang w:val="fr-FR"/>
        </w:rPr>
      </w:pPr>
      <w:r>
        <w:rPr>
          <w:lang w:val="fr-FR"/>
        </w:rPr>
        <w:tab/>
        <w:t>II.</w:t>
      </w:r>
      <w:r>
        <w:rPr>
          <w:lang w:val="fr-FR"/>
        </w:rPr>
        <w:tab/>
        <w:t>Annotations</w:t>
      </w:r>
    </w:p>
    <w:p w14:paraId="0A4D1185" w14:textId="77777777" w:rsidR="00455C80" w:rsidRPr="00FE4086" w:rsidRDefault="00455C80" w:rsidP="00455C80">
      <w:pPr>
        <w:pStyle w:val="H1G"/>
        <w:rPr>
          <w:lang w:val="fr-FR"/>
        </w:rPr>
      </w:pPr>
      <w:r>
        <w:rPr>
          <w:lang w:val="fr-FR"/>
        </w:rPr>
        <w:tab/>
        <w:t>1.</w:t>
      </w:r>
      <w:r>
        <w:rPr>
          <w:lang w:val="fr-FR"/>
        </w:rPr>
        <w:tab/>
        <w:t>Adoption de l’ordre du jour</w:t>
      </w:r>
    </w:p>
    <w:p w14:paraId="49A5CCFE" w14:textId="2CC6FA60" w:rsidR="00455C80" w:rsidRPr="00FE4086" w:rsidRDefault="00455C80" w:rsidP="00455C80">
      <w:pPr>
        <w:pStyle w:val="H4G"/>
        <w:rPr>
          <w:lang w:val="fr-FR"/>
        </w:rPr>
      </w:pPr>
      <w:r>
        <w:rPr>
          <w:lang w:val="fr-FR"/>
        </w:rPr>
        <w:tab/>
      </w:r>
      <w:r>
        <w:rPr>
          <w:lang w:val="fr-FR"/>
        </w:rPr>
        <w:tab/>
        <w:t>Horaire indicatif : mercredi 1</w:t>
      </w:r>
      <w:r w:rsidRPr="0028772D">
        <w:rPr>
          <w:vertAlign w:val="superscript"/>
          <w:lang w:val="fr-FR"/>
        </w:rPr>
        <w:t>er</w:t>
      </w:r>
      <w:r>
        <w:rPr>
          <w:lang w:val="fr-FR"/>
        </w:rPr>
        <w:t> décembre, 10 heures-10 h 15</w:t>
      </w:r>
      <w:bookmarkStart w:id="1" w:name="_Hlk502853972"/>
      <w:bookmarkStart w:id="2" w:name="_Hlk68879664"/>
      <w:bookmarkEnd w:id="1"/>
      <w:bookmarkEnd w:id="2"/>
    </w:p>
    <w:p w14:paraId="78B61685" w14:textId="77777777" w:rsidR="00455C80" w:rsidRPr="00FE4086" w:rsidRDefault="00455C80" w:rsidP="00455C80">
      <w:pPr>
        <w:pStyle w:val="SingleTxtG"/>
        <w:rPr>
          <w:lang w:val="fr-FR"/>
        </w:rPr>
      </w:pPr>
      <w:r>
        <w:rPr>
          <w:lang w:val="fr-FR"/>
        </w:rPr>
        <w:t>1.</w:t>
      </w:r>
      <w:r>
        <w:rPr>
          <w:lang w:val="fr-FR"/>
        </w:rPr>
        <w:tab/>
        <w:t xml:space="preserve">La Présidente du Groupe de travail de l’évaluation de l’impact sur l’environnement et de l’évaluation stratégique environnementale créé au titre de la Convention sur l’évaluation de l’impact sur l’environnement dans un contexte transfrontière (Convention d’Espoo) et de son Protocole relatif à l’évaluation stratégique environnementale invitera le Groupe de travail à adopter l’ordre du jour de sa dixième réunion, tel qu’il figure dans le présent document. L’ordre du jour provisoire a été établi par le secrétariat d’un commun accord avec le Bureau de la Réunion des Parties de chacun des deux </w:t>
      </w:r>
      <w:r w:rsidRPr="00C51928">
        <w:rPr>
          <w:lang w:val="fr-FR"/>
        </w:rPr>
        <w:t>instruments</w:t>
      </w:r>
      <w:r w:rsidRPr="00C51928">
        <w:rPr>
          <w:rStyle w:val="Appelnotedebasdep"/>
        </w:rPr>
        <w:footnoteReference w:id="3"/>
      </w:r>
      <w:r w:rsidRPr="00C51928">
        <w:rPr>
          <w:lang w:val="fr-FR"/>
        </w:rPr>
        <w:t>.</w:t>
      </w:r>
    </w:p>
    <w:p w14:paraId="7C8ADBE2" w14:textId="77777777" w:rsidR="00455C80" w:rsidRPr="00FE4086" w:rsidRDefault="00455C80" w:rsidP="00C51928">
      <w:pPr>
        <w:pStyle w:val="H23G"/>
        <w:rPr>
          <w:lang w:val="fr-FR"/>
        </w:rPr>
      </w:pPr>
      <w:r>
        <w:rPr>
          <w:lang w:val="fr-FR"/>
        </w:rPr>
        <w:tab/>
      </w:r>
      <w:r>
        <w:rPr>
          <w:lang w:val="fr-FR"/>
        </w:rPr>
        <w:tab/>
        <w:t>Document(s)</w:t>
      </w:r>
    </w:p>
    <w:p w14:paraId="762258C5" w14:textId="77777777" w:rsidR="00455C80" w:rsidRPr="00FE4086" w:rsidRDefault="00455C80" w:rsidP="00455C80">
      <w:pPr>
        <w:pStyle w:val="SingleTxtG"/>
        <w:rPr>
          <w:lang w:val="fr-FR"/>
        </w:rPr>
      </w:pPr>
      <w:r>
        <w:rPr>
          <w:lang w:val="fr-FR"/>
        </w:rPr>
        <w:t>Ordre du jour provisoire annoté de la dixième réunion (ECE/MP.EIA/WG.2/2021/1)</w:t>
      </w:r>
    </w:p>
    <w:p w14:paraId="1EB47E85" w14:textId="77777777" w:rsidR="00455C80" w:rsidRPr="00FE4086" w:rsidRDefault="00455C80" w:rsidP="00C51928">
      <w:pPr>
        <w:pStyle w:val="H4G"/>
        <w:rPr>
          <w:lang w:val="fr-FR"/>
        </w:rPr>
      </w:pPr>
      <w:bookmarkStart w:id="3" w:name="_Hlk502918450"/>
      <w:r>
        <w:rPr>
          <w:lang w:val="fr-FR"/>
        </w:rPr>
        <w:tab/>
      </w:r>
      <w:r>
        <w:rPr>
          <w:lang w:val="fr-FR"/>
        </w:rPr>
        <w:tab/>
        <w:t>Document informel</w:t>
      </w:r>
    </w:p>
    <w:p w14:paraId="0D667F06" w14:textId="77777777" w:rsidR="00455C80" w:rsidRPr="00622C8E" w:rsidRDefault="00455C80" w:rsidP="00455C80">
      <w:pPr>
        <w:pStyle w:val="SingleTxtG"/>
      </w:pPr>
      <w:r w:rsidRPr="00622C8E">
        <w:t>Informal notes on the agenda (ECE/MP.EIA/WG.2/2021/INF.1)</w:t>
      </w:r>
    </w:p>
    <w:bookmarkEnd w:id="3"/>
    <w:p w14:paraId="3023C054" w14:textId="0A7DCF02" w:rsidR="00455C80" w:rsidRPr="00FE4086" w:rsidRDefault="00455C80" w:rsidP="00C51928">
      <w:pPr>
        <w:pStyle w:val="H1G"/>
        <w:rPr>
          <w:lang w:val="fr-FR"/>
        </w:rPr>
      </w:pPr>
      <w:r w:rsidRPr="00622C8E">
        <w:tab/>
      </w:r>
      <w:r>
        <w:rPr>
          <w:lang w:val="fr-FR"/>
        </w:rPr>
        <w:t>2.</w:t>
      </w:r>
      <w:r>
        <w:rPr>
          <w:lang w:val="fr-FR"/>
        </w:rPr>
        <w:tab/>
        <w:t>État des ratifications</w:t>
      </w:r>
    </w:p>
    <w:p w14:paraId="6696245D" w14:textId="4D40E4D6" w:rsidR="00455C80" w:rsidRPr="00FE4086" w:rsidRDefault="00455C80" w:rsidP="00C51928">
      <w:pPr>
        <w:pStyle w:val="H4G"/>
        <w:rPr>
          <w:lang w:val="fr-FR"/>
        </w:rPr>
      </w:pPr>
      <w:r>
        <w:rPr>
          <w:lang w:val="fr-FR"/>
        </w:rPr>
        <w:tab/>
      </w:r>
      <w:r>
        <w:rPr>
          <w:lang w:val="fr-FR"/>
        </w:rPr>
        <w:tab/>
      </w:r>
      <w:r>
        <w:rPr>
          <w:iCs/>
          <w:lang w:val="fr-FR"/>
        </w:rPr>
        <w:t>Horaire indicatif</w:t>
      </w:r>
      <w:r w:rsidR="00C51928">
        <w:rPr>
          <w:iCs/>
          <w:lang w:val="fr-FR"/>
        </w:rPr>
        <w:t> </w:t>
      </w:r>
      <w:r>
        <w:rPr>
          <w:iCs/>
          <w:lang w:val="fr-FR"/>
        </w:rPr>
        <w:t>: mercredi 1</w:t>
      </w:r>
      <w:r w:rsidRPr="0028772D">
        <w:rPr>
          <w:iCs/>
          <w:vertAlign w:val="superscript"/>
          <w:lang w:val="fr-FR"/>
        </w:rPr>
        <w:t>er</w:t>
      </w:r>
      <w:r w:rsidR="00C51928">
        <w:rPr>
          <w:iCs/>
          <w:lang w:val="fr-FR"/>
        </w:rPr>
        <w:t> </w:t>
      </w:r>
      <w:r>
        <w:rPr>
          <w:iCs/>
          <w:lang w:val="fr-FR"/>
        </w:rPr>
        <w:t>décembre, 10</w:t>
      </w:r>
      <w:r w:rsidR="00C51928">
        <w:rPr>
          <w:iCs/>
          <w:lang w:val="fr-FR"/>
        </w:rPr>
        <w:t> </w:t>
      </w:r>
      <w:r>
        <w:rPr>
          <w:iCs/>
          <w:lang w:val="fr-FR"/>
        </w:rPr>
        <w:t>h</w:t>
      </w:r>
      <w:r w:rsidR="00C51928">
        <w:rPr>
          <w:iCs/>
          <w:lang w:val="fr-FR"/>
        </w:rPr>
        <w:t> </w:t>
      </w:r>
      <w:r>
        <w:rPr>
          <w:iCs/>
          <w:lang w:val="fr-FR"/>
        </w:rPr>
        <w:t>15-11</w:t>
      </w:r>
      <w:r w:rsidR="00C51928">
        <w:rPr>
          <w:iCs/>
          <w:lang w:val="fr-FR"/>
        </w:rPr>
        <w:t> </w:t>
      </w:r>
      <w:r>
        <w:rPr>
          <w:iCs/>
          <w:lang w:val="fr-FR"/>
        </w:rPr>
        <w:t>heures</w:t>
      </w:r>
    </w:p>
    <w:p w14:paraId="28FDF96D" w14:textId="3FC4E19A" w:rsidR="00455C80" w:rsidRPr="00FE4086" w:rsidRDefault="00455C80" w:rsidP="00455C80">
      <w:pPr>
        <w:pStyle w:val="SingleTxtG"/>
        <w:rPr>
          <w:lang w:val="fr-FR"/>
        </w:rPr>
      </w:pPr>
      <w:r>
        <w:rPr>
          <w:lang w:val="fr-FR"/>
        </w:rPr>
        <w:t>2.</w:t>
      </w:r>
      <w:r>
        <w:rPr>
          <w:lang w:val="fr-FR"/>
        </w:rPr>
        <w:tab/>
        <w:t>Le secrétariat rendra compte de l’état de la ratification de la Convention et de ses deux amendements. Les délégations seront invitées à rendre compte des ratifications prévues. La</w:t>
      </w:r>
      <w:r w:rsidR="0076036E">
        <w:rPr>
          <w:lang w:val="fr-FR"/>
        </w:rPr>
        <w:t> </w:t>
      </w:r>
      <w:r>
        <w:rPr>
          <w:lang w:val="fr-FR"/>
        </w:rPr>
        <w:t>Présidente invitera toutes les Parties à la Convention qui n’ont pas encore ratifié les deux amendements à donner des renseignements sur les préparatifs qu’elles ont engagés à cet effet. Plus précisément, les délégations de l’Arménie, de la Belgique, de la Macédoine du Nord, du Royaume-Uni de Grande-Bretagne et d’Irlande du Nord et de l’Ukraine seront invitées à fournir des informations détaillées sur les mesures qu’elles ont prises en vue de la ratification du premier amendement à la Convention (2001). La ratification du premier amendement par ces cinq pays est nécessaire pour lui donner effet et ouvrir ainsi l’adhésion à la Convention à l’ensemble des États Membres de l’Organisation des Nations</w:t>
      </w:r>
      <w:r w:rsidR="00C51928">
        <w:rPr>
          <w:lang w:val="fr-FR"/>
        </w:rPr>
        <w:t> </w:t>
      </w:r>
      <w:r>
        <w:rPr>
          <w:lang w:val="fr-FR"/>
        </w:rPr>
        <w:t>Unies. Par la suite, les représentants des neuf Parties qui n’ont pas encore ratifié le deuxième amendement (2004) (Arménie, Bélarus, Bosnie-Herzégovine, Irlande, Kazakhstan, Kirghizstan, Macédoine du</w:t>
      </w:r>
      <w:r w:rsidR="00F30EAB">
        <w:rPr>
          <w:lang w:val="fr-FR"/>
        </w:rPr>
        <w:t> </w:t>
      </w:r>
      <w:r>
        <w:rPr>
          <w:lang w:val="fr-FR"/>
        </w:rPr>
        <w:t xml:space="preserve">Nord, Royaume-Uni de Grande-Bretagne et d’Irlande du Nord et Ukraine) seront invités à rendre compte des progrès accomplis en ce sens. Ces ratifications sont importantes pour </w:t>
      </w:r>
      <w:r w:rsidRPr="00907116">
        <w:rPr>
          <w:lang w:val="fr-FR"/>
        </w:rPr>
        <w:t xml:space="preserve">faire prévaloir </w:t>
      </w:r>
      <w:r>
        <w:rPr>
          <w:lang w:val="fr-FR"/>
        </w:rPr>
        <w:t>une application homogène de la Convention par toutes ses Parties.</w:t>
      </w:r>
    </w:p>
    <w:p w14:paraId="325684D1" w14:textId="40AC8133" w:rsidR="00455C80" w:rsidRPr="00FE4086" w:rsidRDefault="00455C80" w:rsidP="00455C80">
      <w:pPr>
        <w:pStyle w:val="SingleTxtG"/>
        <w:rPr>
          <w:lang w:val="fr-FR"/>
        </w:rPr>
      </w:pPr>
      <w:r>
        <w:rPr>
          <w:lang w:val="fr-FR"/>
        </w:rPr>
        <w:t>3.</w:t>
      </w:r>
      <w:r>
        <w:rPr>
          <w:lang w:val="fr-FR"/>
        </w:rPr>
        <w:tab/>
        <w:t>Le secrétariat fera aussi le point sur l’état d’avancement de la ratification du Protocole. Les délégations seront invitées à rendre compte des ratifications prévues. La Présidente invitera tous les États signataires qui n’ont pas encore achevé le processus de ratification du Protocole (Belgique, France, Géorgie, Grèce, Irlande et Royaume-Uni de Grande-Bretagne et d’Irlande du Nord) à donner des informations sur les préparatifs qu’ils ont engagés à cet</w:t>
      </w:r>
      <w:r w:rsidR="00C51928">
        <w:rPr>
          <w:lang w:val="fr-FR"/>
        </w:rPr>
        <w:t> </w:t>
      </w:r>
      <w:r>
        <w:rPr>
          <w:lang w:val="fr-FR"/>
        </w:rPr>
        <w:t>effet.</w:t>
      </w:r>
    </w:p>
    <w:p w14:paraId="3C3224EF" w14:textId="77777777" w:rsidR="00455C80" w:rsidRPr="00FE4086" w:rsidRDefault="00455C80" w:rsidP="00455C80">
      <w:pPr>
        <w:pStyle w:val="SingleTxtG"/>
        <w:rPr>
          <w:lang w:val="fr-FR"/>
        </w:rPr>
      </w:pPr>
      <w:r>
        <w:rPr>
          <w:lang w:val="fr-FR"/>
        </w:rPr>
        <w:t>4.</w:t>
      </w:r>
      <w:r>
        <w:rPr>
          <w:lang w:val="fr-FR"/>
        </w:rPr>
        <w:tab/>
        <w:t>Enfin, la Roumanie, en sa qualité de dépositaire de l’Accord multilatéral entre les pays d’Europe du Sud-Est pour l’application de la Convention sur l’évaluation de l’impact sur l’environnement dans un contexte transfrontière (Accord de Bucarest), devrait rendre compte de l’état de cet accord. La Croatie et la Grèce, États signataires, seront invitées à rendre compte de leur projet de ratification de l’accord, et la Bosnie-Herzégovine de son projet d’adhésion.</w:t>
      </w:r>
    </w:p>
    <w:p w14:paraId="6ABFCAF3" w14:textId="77777777" w:rsidR="00455C80" w:rsidRPr="00FE4086" w:rsidRDefault="00455C80" w:rsidP="00455C80">
      <w:pPr>
        <w:pStyle w:val="SingleTxtG"/>
        <w:rPr>
          <w:lang w:val="fr-FR"/>
        </w:rPr>
      </w:pPr>
      <w:r>
        <w:rPr>
          <w:lang w:val="fr-FR"/>
        </w:rPr>
        <w:t>5.</w:t>
      </w:r>
      <w:r>
        <w:rPr>
          <w:lang w:val="fr-FR"/>
        </w:rPr>
        <w:tab/>
        <w:t>Le Groupe de travail sera invité à proposer des mesures susceptibles d’être prises pour encourager l’adhésion à la Convention, à ses amendements et au Protocole, ou la ratification de ces instruments et, en particulier, pour faire entrer en vigueur le premier amendement dès que possible.</w:t>
      </w:r>
    </w:p>
    <w:p w14:paraId="5AD9BC38" w14:textId="77777777" w:rsidR="00455C80" w:rsidRPr="00622C8E" w:rsidRDefault="00455C80" w:rsidP="00C51928">
      <w:pPr>
        <w:pStyle w:val="H23G"/>
        <w:rPr>
          <w:lang w:val="en-US"/>
        </w:rPr>
      </w:pPr>
      <w:r>
        <w:rPr>
          <w:lang w:val="fr-FR"/>
        </w:rPr>
        <w:tab/>
      </w:r>
      <w:r>
        <w:rPr>
          <w:lang w:val="fr-FR"/>
        </w:rPr>
        <w:tab/>
      </w:r>
      <w:r>
        <w:rPr>
          <w:lang w:val="en-US"/>
        </w:rPr>
        <w:t>Document(s)</w:t>
      </w:r>
    </w:p>
    <w:p w14:paraId="6E16986B" w14:textId="77777777" w:rsidR="00455C80" w:rsidRPr="00622C8E" w:rsidRDefault="00455C80" w:rsidP="00C51928">
      <w:pPr>
        <w:pStyle w:val="H4G"/>
        <w:rPr>
          <w:lang w:val="en-US"/>
        </w:rPr>
      </w:pPr>
      <w:r w:rsidRPr="00FE4086">
        <w:rPr>
          <w:lang w:val="en-US"/>
        </w:rPr>
        <w:tab/>
      </w:r>
      <w:r w:rsidRPr="00FE4086">
        <w:rPr>
          <w:lang w:val="en-US"/>
        </w:rPr>
        <w:tab/>
        <w:t>Document informel</w:t>
      </w:r>
    </w:p>
    <w:p w14:paraId="73E2262C" w14:textId="77777777" w:rsidR="00455C80" w:rsidRPr="00622C8E" w:rsidRDefault="00455C80" w:rsidP="00455C80">
      <w:pPr>
        <w:pStyle w:val="SingleTxtG"/>
        <w:rPr>
          <w:lang w:val="en-US"/>
        </w:rPr>
      </w:pPr>
      <w:bookmarkStart w:id="4" w:name="_Hlk502918490"/>
      <w:r w:rsidRPr="00FE4086">
        <w:rPr>
          <w:lang w:val="en-US"/>
        </w:rPr>
        <w:t>Status of ratification of the Convention, its amendments and its Protocol (ECE/MP.EIA/WG.2/2021/INF.2)</w:t>
      </w:r>
      <w:bookmarkEnd w:id="4"/>
    </w:p>
    <w:p w14:paraId="45DF5601" w14:textId="77777777" w:rsidR="00455C80" w:rsidRPr="00FE4086" w:rsidRDefault="00455C80" w:rsidP="00C51928">
      <w:pPr>
        <w:pStyle w:val="H1G"/>
        <w:rPr>
          <w:lang w:val="fr-FR"/>
        </w:rPr>
      </w:pPr>
      <w:r w:rsidRPr="0028772D">
        <w:rPr>
          <w:lang w:val="en-US"/>
        </w:rPr>
        <w:tab/>
      </w:r>
      <w:r>
        <w:rPr>
          <w:lang w:val="fr-FR"/>
        </w:rPr>
        <w:t>3.</w:t>
      </w:r>
      <w:r>
        <w:rPr>
          <w:lang w:val="fr-FR"/>
        </w:rPr>
        <w:tab/>
        <w:t>Application et respect des dispositions de la Convention et du Protocole</w:t>
      </w:r>
    </w:p>
    <w:p w14:paraId="23F32D1F" w14:textId="08EB128E" w:rsidR="00455C80" w:rsidRPr="00FE4086" w:rsidRDefault="00455C80" w:rsidP="00C51928">
      <w:pPr>
        <w:pStyle w:val="H4G"/>
        <w:rPr>
          <w:lang w:val="fr-FR"/>
        </w:rPr>
      </w:pPr>
      <w:r>
        <w:rPr>
          <w:lang w:val="fr-FR"/>
        </w:rPr>
        <w:tab/>
      </w:r>
      <w:r>
        <w:rPr>
          <w:lang w:val="fr-FR"/>
        </w:rPr>
        <w:tab/>
      </w:r>
      <w:r>
        <w:rPr>
          <w:iCs/>
          <w:lang w:val="fr-FR"/>
        </w:rPr>
        <w:t>Horaire indicatif</w:t>
      </w:r>
      <w:r w:rsidR="00C51928">
        <w:rPr>
          <w:iCs/>
          <w:lang w:val="fr-FR"/>
        </w:rPr>
        <w:t> </w:t>
      </w:r>
      <w:r>
        <w:rPr>
          <w:iCs/>
          <w:lang w:val="fr-FR"/>
        </w:rPr>
        <w:t>: mercredi 1</w:t>
      </w:r>
      <w:r w:rsidRPr="0028772D">
        <w:rPr>
          <w:iCs/>
          <w:vertAlign w:val="superscript"/>
          <w:lang w:val="fr-FR"/>
        </w:rPr>
        <w:t>er</w:t>
      </w:r>
      <w:r w:rsidR="00C51928">
        <w:rPr>
          <w:iCs/>
          <w:lang w:val="fr-FR"/>
        </w:rPr>
        <w:t> </w:t>
      </w:r>
      <w:r>
        <w:rPr>
          <w:iCs/>
          <w:lang w:val="fr-FR"/>
        </w:rPr>
        <w:t>décembre, 11</w:t>
      </w:r>
      <w:r w:rsidR="00C51928">
        <w:rPr>
          <w:iCs/>
          <w:lang w:val="fr-FR"/>
        </w:rPr>
        <w:t> </w:t>
      </w:r>
      <w:r>
        <w:rPr>
          <w:iCs/>
          <w:lang w:val="fr-FR"/>
        </w:rPr>
        <w:t>heures-13</w:t>
      </w:r>
      <w:r w:rsidR="00C51928">
        <w:rPr>
          <w:iCs/>
          <w:lang w:val="fr-FR"/>
        </w:rPr>
        <w:t> </w:t>
      </w:r>
      <w:r>
        <w:rPr>
          <w:iCs/>
          <w:lang w:val="fr-FR"/>
        </w:rPr>
        <w:t>heures</w:t>
      </w:r>
      <w:bookmarkStart w:id="5" w:name="_Hlk73605253"/>
      <w:bookmarkEnd w:id="5"/>
    </w:p>
    <w:p w14:paraId="4316C00D" w14:textId="3EE2C426" w:rsidR="00455C80" w:rsidRPr="00FE4086" w:rsidRDefault="00455C80" w:rsidP="00455C80">
      <w:pPr>
        <w:pStyle w:val="SingleTxtG"/>
        <w:rPr>
          <w:lang w:val="fr-FR"/>
        </w:rPr>
      </w:pPr>
      <w:r>
        <w:rPr>
          <w:lang w:val="fr-FR"/>
        </w:rPr>
        <w:t>6.</w:t>
      </w:r>
      <w:r>
        <w:rPr>
          <w:lang w:val="fr-FR"/>
        </w:rPr>
        <w:tab/>
        <w:t xml:space="preserve">Le Président du Comité d’application rendra compte de l’application des dispositions de la Convention et du Protocole, et de leur respect. Il présentera les principaux résultats des quarante-neuvième, </w:t>
      </w:r>
      <w:r w:rsidRPr="00606C67">
        <w:rPr>
          <w:lang w:val="fr-FR"/>
        </w:rPr>
        <w:t>cinquantièm</w:t>
      </w:r>
      <w:r>
        <w:rPr>
          <w:lang w:val="fr-FR"/>
        </w:rPr>
        <w:t>e</w:t>
      </w:r>
      <w:r w:rsidRPr="00606C67">
        <w:rPr>
          <w:lang w:val="fr-FR"/>
        </w:rPr>
        <w:t xml:space="preserve"> </w:t>
      </w:r>
      <w:r>
        <w:rPr>
          <w:lang w:val="fr-FR"/>
        </w:rPr>
        <w:t>et cinquante et unième sessions du Comité, (organisées en ligne, à Genève, du 2 au 5</w:t>
      </w:r>
      <w:r w:rsidR="00C51928">
        <w:rPr>
          <w:lang w:val="fr-FR"/>
        </w:rPr>
        <w:t> </w:t>
      </w:r>
      <w:r>
        <w:rPr>
          <w:lang w:val="fr-FR"/>
        </w:rPr>
        <w:t>février, du 4 au 7</w:t>
      </w:r>
      <w:r w:rsidR="00C51928">
        <w:rPr>
          <w:lang w:val="fr-FR"/>
        </w:rPr>
        <w:t> </w:t>
      </w:r>
      <w:r>
        <w:rPr>
          <w:lang w:val="fr-FR"/>
        </w:rPr>
        <w:t>mai et du 4 au 7</w:t>
      </w:r>
      <w:r w:rsidR="00C51928">
        <w:rPr>
          <w:lang w:val="fr-FR"/>
        </w:rPr>
        <w:t> </w:t>
      </w:r>
      <w:r>
        <w:rPr>
          <w:lang w:val="fr-FR"/>
        </w:rPr>
        <w:t>octobre 2021, respectivement)</w:t>
      </w:r>
      <w:r w:rsidRPr="00622C8E">
        <w:rPr>
          <w:rStyle w:val="Appelnotedebasdep"/>
        </w:rPr>
        <w:footnoteReference w:id="4"/>
      </w:r>
      <w:r>
        <w:rPr>
          <w:lang w:val="fr-FR"/>
        </w:rPr>
        <w:t>, et les principaux objectifs de sa cinquante-deuxième session (prévue à Genève, en ligne, du</w:t>
      </w:r>
      <w:r w:rsidR="00C51928">
        <w:rPr>
          <w:lang w:val="fr-FR"/>
        </w:rPr>
        <w:t> </w:t>
      </w:r>
      <w:r>
        <w:rPr>
          <w:lang w:val="fr-FR"/>
        </w:rPr>
        <w:t>1</w:t>
      </w:r>
      <w:r w:rsidRPr="0028772D">
        <w:rPr>
          <w:vertAlign w:val="superscript"/>
          <w:lang w:val="fr-FR"/>
        </w:rPr>
        <w:t>er</w:t>
      </w:r>
      <w:r>
        <w:rPr>
          <w:lang w:val="fr-FR"/>
        </w:rPr>
        <w:t xml:space="preserve"> au 4</w:t>
      </w:r>
      <w:r w:rsidR="00C51928">
        <w:rPr>
          <w:lang w:val="fr-FR"/>
        </w:rPr>
        <w:t> </w:t>
      </w:r>
      <w:r>
        <w:rPr>
          <w:lang w:val="fr-FR"/>
        </w:rPr>
        <w:t>février 2022). Le Groupe de travail souhaitera peut-être formuler des observations sur les informations fournies.</w:t>
      </w:r>
      <w:bookmarkStart w:id="6" w:name="_Hlk79564369"/>
      <w:bookmarkStart w:id="7" w:name="_Hlk79614380"/>
      <w:bookmarkEnd w:id="6"/>
      <w:bookmarkEnd w:id="7"/>
    </w:p>
    <w:p w14:paraId="5AD278A1" w14:textId="39A57EB5" w:rsidR="00455C80" w:rsidRPr="00FE4086" w:rsidRDefault="00455C80" w:rsidP="00455C80">
      <w:pPr>
        <w:pStyle w:val="SingleTxtG"/>
        <w:rPr>
          <w:lang w:val="fr-FR"/>
        </w:rPr>
      </w:pPr>
      <w:r>
        <w:rPr>
          <w:lang w:val="fr-FR"/>
        </w:rPr>
        <w:t>7.</w:t>
      </w:r>
      <w:r>
        <w:rPr>
          <w:lang w:val="fr-FR"/>
        </w:rPr>
        <w:tab/>
        <w:t>Le Président du Comité d’application ou le secrétariat présentera les modifications que le Comité propose d’apporter aux questionnaires élaborés pour l’établissement du rapport sur l’application de la Convention et du Protocole pendant la période 2019-2021 en vue de maximiser leur utilité, conformément au plan de travail actuel, en particulier pour le recensement et la diffusion des bonnes pratiques</w:t>
      </w:r>
      <w:r w:rsidRPr="00622C8E">
        <w:rPr>
          <w:rStyle w:val="Appelnotedebasdep"/>
        </w:rPr>
        <w:footnoteReference w:id="5"/>
      </w:r>
      <w:r>
        <w:rPr>
          <w:lang w:val="fr-FR"/>
        </w:rPr>
        <w:t>. Pour ses projets de modifications, le</w:t>
      </w:r>
      <w:r w:rsidR="00851CF8">
        <w:rPr>
          <w:lang w:val="fr-FR"/>
        </w:rPr>
        <w:t> </w:t>
      </w:r>
      <w:r>
        <w:rPr>
          <w:lang w:val="fr-FR"/>
        </w:rPr>
        <w:t>Comité a tenu compte des observations faites par le Bureau. Il est prévu que le Groupe de travail les examine, les approuve et autorise leur diffusion d’ici à la fin décembre 2021 pour que les Parties les remplissent et les renvoient d’ici à la fin avril 2022. Il lui sera également demandé d’approuver le calendrier qui sera imposé au secrétariat pour élaborer, avec l’aide de consultants, le projet de septième examen de l’application de la Convention et le projet de quatrième examen de l’application du Protocole. Le Groupe de travail sera également tenu informé en ce qui concerne les modèles de rapport adaptés au contexte et aux compétences de l’Union européenne que le Comité d’application a élaborés afin de simplifier la tâche de cette dernière en matière d’établissement de rapports.</w:t>
      </w:r>
      <w:bookmarkStart w:id="9" w:name="_Hlk73606016"/>
      <w:bookmarkEnd w:id="9"/>
    </w:p>
    <w:p w14:paraId="576AA462" w14:textId="1D8F0051" w:rsidR="00455C80" w:rsidRPr="00FE4086" w:rsidRDefault="00455C80" w:rsidP="00455C80">
      <w:pPr>
        <w:pStyle w:val="SingleTxtG"/>
        <w:rPr>
          <w:lang w:val="fr-FR"/>
        </w:rPr>
      </w:pPr>
      <w:r>
        <w:rPr>
          <w:lang w:val="fr-FR"/>
        </w:rPr>
        <w:t>8.</w:t>
      </w:r>
      <w:r>
        <w:rPr>
          <w:lang w:val="fr-FR"/>
        </w:rPr>
        <w:tab/>
        <w:t>Le secrétariat dira où il en est de la publication, sous forme électronique, du sixième examen de l’application de la Convention et du troisième examen de l’application du Protocole, ainsi que de la publication informelle et de la révision périodique des avis du</w:t>
      </w:r>
      <w:r w:rsidR="00C51928">
        <w:rPr>
          <w:lang w:val="fr-FR"/>
        </w:rPr>
        <w:t> </w:t>
      </w:r>
      <w:r>
        <w:rPr>
          <w:lang w:val="fr-FR"/>
        </w:rPr>
        <w:t>Comité d’application</w:t>
      </w:r>
      <w:r w:rsidRPr="00622C8E">
        <w:rPr>
          <w:rStyle w:val="Appelnotedebasdep"/>
        </w:rPr>
        <w:footnoteReference w:id="6"/>
      </w:r>
      <w:r>
        <w:rPr>
          <w:lang w:val="fr-FR"/>
        </w:rPr>
        <w:t>.</w:t>
      </w:r>
    </w:p>
    <w:p w14:paraId="31313305" w14:textId="77777777" w:rsidR="00455C80" w:rsidRPr="00FE4086" w:rsidRDefault="00455C80" w:rsidP="00455C80">
      <w:pPr>
        <w:pStyle w:val="SingleTxtG"/>
        <w:rPr>
          <w:lang w:val="fr-FR"/>
        </w:rPr>
      </w:pPr>
      <w:r>
        <w:rPr>
          <w:lang w:val="fr-FR"/>
        </w:rPr>
        <w:t>9.</w:t>
      </w:r>
      <w:r>
        <w:rPr>
          <w:lang w:val="fr-FR"/>
        </w:rPr>
        <w:tab/>
        <w:t xml:space="preserve">Le secrétariat fera également le point en ce qui concerne la publication </w:t>
      </w:r>
      <w:r w:rsidRPr="00851CF8">
        <w:rPr>
          <w:lang w:val="fr-FR"/>
        </w:rPr>
        <w:t xml:space="preserve">des </w:t>
      </w:r>
      <w:r w:rsidRPr="00851CF8">
        <w:rPr>
          <w:i/>
          <w:iCs/>
          <w:lang w:val="fr-FR"/>
        </w:rPr>
        <w:t>Lignes directrices sur l’applicabilité de la Convention s’agissant de la prolongation de la durée de vie des centrales nucléaire</w:t>
      </w:r>
      <w:r w:rsidRPr="00851CF8">
        <w:rPr>
          <w:rStyle w:val="Appelnotedebasdep"/>
        </w:rPr>
        <w:footnoteReference w:id="7"/>
      </w:r>
      <w:r w:rsidRPr="00851CF8">
        <w:rPr>
          <w:lang w:val="fr-FR"/>
        </w:rPr>
        <w:t>.</w:t>
      </w:r>
    </w:p>
    <w:p w14:paraId="477F247A" w14:textId="27E89A0F" w:rsidR="00455C80" w:rsidRPr="00C51928" w:rsidRDefault="00455C80" w:rsidP="00455C80">
      <w:pPr>
        <w:pStyle w:val="SingleTxtG"/>
        <w:rPr>
          <w:spacing w:val="-1"/>
          <w:lang w:val="fr-FR"/>
        </w:rPr>
      </w:pPr>
      <w:r w:rsidRPr="00C51928">
        <w:rPr>
          <w:spacing w:val="-1"/>
          <w:lang w:val="fr-FR"/>
        </w:rPr>
        <w:t>10.</w:t>
      </w:r>
      <w:r w:rsidRPr="00C51928">
        <w:rPr>
          <w:spacing w:val="-1"/>
          <w:lang w:val="fr-FR"/>
        </w:rPr>
        <w:tab/>
        <w:t xml:space="preserve">Les délégations du Bélarus, du Kazakhstan, de l’Ouzbékistan, de la République de Moldova et du Tadjikistan seront invitées à rendre compte de leurs progrès s’agissant de la mise en conformité de leur législation aux fins de l’application de la Convention et du Protocole et, le cas échéant, de la ratification ou de l’adhésion aux deux instruments, suite aux conseils techniques qu’elles ont reçus. Les délégations ukrainienne et roumaine sont invitées à rendre compte de leurs progrès en ce qui concerne la mise au point d’un projet d’accord </w:t>
      </w:r>
      <w:r w:rsidRPr="00C51928">
        <w:rPr>
          <w:lang w:val="fr-FR"/>
        </w:rPr>
        <w:t>bilatéral. Le secrétariat sera invité à apporter un complément d’information, s’il y a</w:t>
      </w:r>
      <w:r w:rsidR="00C51928" w:rsidRPr="00C51928">
        <w:rPr>
          <w:lang w:val="fr-FR"/>
        </w:rPr>
        <w:t xml:space="preserve"> </w:t>
      </w:r>
      <w:r w:rsidRPr="00C51928">
        <w:rPr>
          <w:lang w:val="fr-FR"/>
        </w:rPr>
        <w:t>lieu.</w:t>
      </w:r>
    </w:p>
    <w:p w14:paraId="73A7381B" w14:textId="77777777" w:rsidR="00455C80" w:rsidRPr="0028772D" w:rsidRDefault="00455C80" w:rsidP="00C51928">
      <w:pPr>
        <w:pStyle w:val="H23G"/>
        <w:rPr>
          <w:lang w:val="fr-FR"/>
        </w:rPr>
      </w:pPr>
      <w:r>
        <w:rPr>
          <w:lang w:val="fr-FR"/>
        </w:rPr>
        <w:tab/>
      </w:r>
      <w:r>
        <w:rPr>
          <w:lang w:val="fr-FR"/>
        </w:rPr>
        <w:tab/>
      </w:r>
      <w:bookmarkStart w:id="11" w:name="_Hlk79576295"/>
      <w:r w:rsidRPr="0028772D">
        <w:rPr>
          <w:lang w:val="fr-FR"/>
        </w:rPr>
        <w:t>Document(s)</w:t>
      </w:r>
    </w:p>
    <w:p w14:paraId="71205134" w14:textId="1D12893F" w:rsidR="00455C80" w:rsidRPr="00751C1C" w:rsidRDefault="00455C80" w:rsidP="00455C80">
      <w:pPr>
        <w:pStyle w:val="SingleTxtG"/>
        <w:rPr>
          <w:lang w:val="fr-FR"/>
        </w:rPr>
      </w:pPr>
      <w:r w:rsidRPr="00751C1C">
        <w:rPr>
          <w:lang w:val="fr-FR"/>
        </w:rPr>
        <w:t xml:space="preserve">Proposed modifications to the questionnaire for the report on implementation of the Convention in 2019–2021 </w:t>
      </w:r>
      <w:r w:rsidR="00851CF8">
        <w:rPr>
          <w:lang w:val="fr-FR"/>
        </w:rPr>
        <w:t>(</w:t>
      </w:r>
      <w:r>
        <w:rPr>
          <w:lang w:val="fr-FR"/>
        </w:rPr>
        <w:t>Modifications</w:t>
      </w:r>
      <w:r w:rsidRPr="00751C1C">
        <w:rPr>
          <w:lang w:val="fr-FR"/>
        </w:rPr>
        <w:t xml:space="preserve"> qu</w:t>
      </w:r>
      <w:r>
        <w:rPr>
          <w:lang w:val="fr-FR"/>
        </w:rPr>
        <w:t>’</w:t>
      </w:r>
      <w:r w:rsidRPr="00751C1C">
        <w:rPr>
          <w:lang w:val="fr-FR"/>
        </w:rPr>
        <w:t>il est proposé d</w:t>
      </w:r>
      <w:r>
        <w:rPr>
          <w:lang w:val="fr-FR"/>
        </w:rPr>
        <w:t>’</w:t>
      </w:r>
      <w:r w:rsidRPr="00751C1C">
        <w:rPr>
          <w:lang w:val="fr-FR"/>
        </w:rPr>
        <w:t>apporter</w:t>
      </w:r>
      <w:r>
        <w:rPr>
          <w:lang w:val="fr-FR"/>
        </w:rPr>
        <w:t xml:space="preserve"> au q</w:t>
      </w:r>
      <w:r w:rsidRPr="00751C1C">
        <w:rPr>
          <w:lang w:val="fr-FR"/>
        </w:rPr>
        <w:t>uestionnaire destiné à permettre de rendre compte de l</w:t>
      </w:r>
      <w:r>
        <w:rPr>
          <w:lang w:val="fr-FR"/>
        </w:rPr>
        <w:t>’</w:t>
      </w:r>
      <w:r w:rsidRPr="00751C1C">
        <w:rPr>
          <w:lang w:val="fr-FR"/>
        </w:rPr>
        <w:t>application de la Convention au cours de la période</w:t>
      </w:r>
      <w:r>
        <w:rPr>
          <w:lang w:val="fr-FR"/>
        </w:rPr>
        <w:t xml:space="preserve"> </w:t>
      </w:r>
      <w:r w:rsidRPr="00751C1C">
        <w:rPr>
          <w:lang w:val="fr-FR"/>
        </w:rPr>
        <w:t>2019</w:t>
      </w:r>
      <w:r w:rsidR="00851CF8">
        <w:rPr>
          <w:lang w:val="fr-FR"/>
        </w:rPr>
        <w:t>-</w:t>
      </w:r>
      <w:r w:rsidRPr="00751C1C">
        <w:rPr>
          <w:lang w:val="fr-FR"/>
        </w:rPr>
        <w:t>2021</w:t>
      </w:r>
      <w:r w:rsidR="00851CF8">
        <w:rPr>
          <w:lang w:val="fr-FR"/>
        </w:rPr>
        <w:t>)</w:t>
      </w:r>
      <w:r>
        <w:rPr>
          <w:lang w:val="fr-FR"/>
        </w:rPr>
        <w:t xml:space="preserve"> </w:t>
      </w:r>
      <w:r w:rsidRPr="00751C1C">
        <w:rPr>
          <w:lang w:val="fr-FR"/>
        </w:rPr>
        <w:t>(ECE/MP.EIA/WG.2/2021/3)</w:t>
      </w:r>
    </w:p>
    <w:p w14:paraId="7FD81938" w14:textId="458BA036" w:rsidR="00455C80" w:rsidRPr="00751C1C" w:rsidRDefault="00455C80" w:rsidP="00455C80">
      <w:pPr>
        <w:pStyle w:val="SingleTxtG"/>
        <w:rPr>
          <w:lang w:val="fr-FR"/>
        </w:rPr>
      </w:pPr>
      <w:bookmarkStart w:id="12" w:name="_Hlk503520905"/>
      <w:r w:rsidRPr="00751C1C">
        <w:rPr>
          <w:lang w:val="fr-FR"/>
        </w:rPr>
        <w:t xml:space="preserve">Modifications </w:t>
      </w:r>
      <w:r>
        <w:rPr>
          <w:lang w:val="fr-FR"/>
        </w:rPr>
        <w:t>qu’il est proposé d’</w:t>
      </w:r>
      <w:r w:rsidRPr="00751C1C">
        <w:rPr>
          <w:lang w:val="fr-FR"/>
        </w:rPr>
        <w:t>apporter au questionnaire destiné à permettre de rendre compte de l</w:t>
      </w:r>
      <w:r>
        <w:rPr>
          <w:lang w:val="fr-FR"/>
        </w:rPr>
        <w:t>’</w:t>
      </w:r>
      <w:r w:rsidRPr="00751C1C">
        <w:rPr>
          <w:lang w:val="fr-FR"/>
        </w:rPr>
        <w:t>application d</w:t>
      </w:r>
      <w:r>
        <w:rPr>
          <w:lang w:val="fr-FR"/>
        </w:rPr>
        <w:t xml:space="preserve">u Protocole </w:t>
      </w:r>
      <w:r w:rsidRPr="00751C1C">
        <w:rPr>
          <w:lang w:val="fr-FR"/>
        </w:rPr>
        <w:t>au cours de la période 2019</w:t>
      </w:r>
      <w:r w:rsidR="00851CF8">
        <w:rPr>
          <w:lang w:val="fr-FR"/>
        </w:rPr>
        <w:t>-</w:t>
      </w:r>
      <w:r w:rsidRPr="00751C1C">
        <w:rPr>
          <w:lang w:val="fr-FR"/>
        </w:rPr>
        <w:t>2021 (ECE/MP.EIA/WG.2/2021/4)</w:t>
      </w:r>
      <w:bookmarkEnd w:id="12"/>
    </w:p>
    <w:p w14:paraId="204C77C0" w14:textId="77777777" w:rsidR="00455C80" w:rsidRPr="00622C8E" w:rsidRDefault="00455C80" w:rsidP="00C51928">
      <w:pPr>
        <w:pStyle w:val="H4G"/>
        <w:rPr>
          <w:lang w:val="en-US"/>
        </w:rPr>
      </w:pPr>
      <w:r w:rsidRPr="00751C1C">
        <w:rPr>
          <w:lang w:val="fr-FR"/>
        </w:rPr>
        <w:tab/>
      </w:r>
      <w:r w:rsidRPr="00751C1C">
        <w:rPr>
          <w:lang w:val="fr-FR"/>
        </w:rPr>
        <w:tab/>
      </w:r>
      <w:r w:rsidRPr="00FE4086">
        <w:rPr>
          <w:lang w:val="en-US"/>
        </w:rPr>
        <w:t>Documents informels</w:t>
      </w:r>
    </w:p>
    <w:p w14:paraId="309AC4B6" w14:textId="77777777" w:rsidR="00455C80" w:rsidRPr="00622C8E" w:rsidRDefault="00455C80" w:rsidP="00455C80">
      <w:pPr>
        <w:pStyle w:val="SingleTxtG"/>
        <w:rPr>
          <w:lang w:val="en-US"/>
        </w:rPr>
      </w:pPr>
      <w:bookmarkStart w:id="13" w:name="_Hlk73609724"/>
      <w:r w:rsidRPr="00FE4086">
        <w:rPr>
          <w:lang w:val="en-US"/>
        </w:rPr>
        <w:t>Workplan implementation status (ECE/MP.EIA/WG.2/2021/INF.3)</w:t>
      </w:r>
    </w:p>
    <w:bookmarkEnd w:id="11"/>
    <w:bookmarkEnd w:id="13"/>
    <w:p w14:paraId="3C794A4A" w14:textId="77777777" w:rsidR="00455C80" w:rsidRPr="00622C8E" w:rsidRDefault="00455C80" w:rsidP="00455C80">
      <w:pPr>
        <w:pStyle w:val="SingleTxtG"/>
        <w:rPr>
          <w:lang w:val="en-US"/>
        </w:rPr>
      </w:pPr>
      <w:r w:rsidRPr="00FE4086">
        <w:rPr>
          <w:lang w:val="en-US"/>
        </w:rPr>
        <w:t>Timetable for the preparation of the draft reviews of implementation (ECE/MP.EIA/WG.2/2021/INF.4)</w:t>
      </w:r>
      <w:bookmarkStart w:id="14" w:name="_Hlk73606092"/>
      <w:bookmarkEnd w:id="14"/>
    </w:p>
    <w:p w14:paraId="1423E05D" w14:textId="77777777" w:rsidR="00455C80" w:rsidRPr="00622C8E" w:rsidRDefault="00455C80" w:rsidP="00455C80">
      <w:pPr>
        <w:pStyle w:val="SingleTxtG"/>
        <w:rPr>
          <w:lang w:val="en-US"/>
        </w:rPr>
      </w:pPr>
      <w:bookmarkStart w:id="15" w:name="_Hlk73606056"/>
      <w:r w:rsidRPr="00FE4086">
        <w:rPr>
          <w:lang w:val="en-US"/>
        </w:rPr>
        <w:t>Reporting template for the European Union for the implementation of the Convention (ECE/MP.EIA/WG.2/2021/INF.5)</w:t>
      </w:r>
    </w:p>
    <w:bookmarkEnd w:id="15"/>
    <w:p w14:paraId="3F62FD58" w14:textId="77777777" w:rsidR="00455C80" w:rsidRPr="00622C8E" w:rsidRDefault="00455C80" w:rsidP="00455C80">
      <w:pPr>
        <w:pStyle w:val="SingleTxtG"/>
        <w:rPr>
          <w:lang w:val="en-US"/>
        </w:rPr>
      </w:pPr>
      <w:r w:rsidRPr="00FE4086">
        <w:rPr>
          <w:lang w:val="en-US"/>
        </w:rPr>
        <w:t>Reporting template for the European Union for the implementation of the Protocol (ECE/MP.EIA/WG.2/2021/INF.6)</w:t>
      </w:r>
    </w:p>
    <w:p w14:paraId="539DDD3A" w14:textId="77777777" w:rsidR="00455C80" w:rsidRPr="00FE4086" w:rsidRDefault="00455C80" w:rsidP="00C51928">
      <w:pPr>
        <w:pStyle w:val="H1G"/>
        <w:rPr>
          <w:lang w:val="fr-FR"/>
        </w:rPr>
      </w:pPr>
      <w:r w:rsidRPr="0028772D">
        <w:rPr>
          <w:lang w:val="en-US"/>
        </w:rPr>
        <w:tab/>
      </w:r>
      <w:r>
        <w:rPr>
          <w:lang w:val="fr-FR"/>
        </w:rPr>
        <w:t>4.</w:t>
      </w:r>
      <w:r>
        <w:rPr>
          <w:lang w:val="fr-FR"/>
        </w:rPr>
        <w:tab/>
        <w:t>Promotion de l’application de la Convention et du Protocole</w:t>
      </w:r>
    </w:p>
    <w:p w14:paraId="6A3CE61D" w14:textId="67B57731" w:rsidR="00455C80" w:rsidRPr="00FE4086" w:rsidRDefault="00455C80" w:rsidP="00C51928">
      <w:pPr>
        <w:pStyle w:val="H4G"/>
        <w:rPr>
          <w:lang w:val="fr-FR"/>
        </w:rPr>
      </w:pPr>
      <w:r>
        <w:rPr>
          <w:lang w:val="fr-FR"/>
        </w:rPr>
        <w:tab/>
      </w:r>
      <w:r>
        <w:rPr>
          <w:lang w:val="fr-FR"/>
        </w:rPr>
        <w:tab/>
      </w:r>
      <w:r>
        <w:rPr>
          <w:iCs/>
          <w:lang w:val="fr-FR"/>
        </w:rPr>
        <w:t>Horaire indicatif</w:t>
      </w:r>
      <w:r w:rsidR="00C51928">
        <w:rPr>
          <w:iCs/>
          <w:lang w:val="fr-FR"/>
        </w:rPr>
        <w:t> </w:t>
      </w:r>
      <w:r>
        <w:rPr>
          <w:iCs/>
          <w:lang w:val="fr-FR"/>
        </w:rPr>
        <w:t>: mercredi 1</w:t>
      </w:r>
      <w:r w:rsidRPr="0028772D">
        <w:rPr>
          <w:iCs/>
          <w:vertAlign w:val="superscript"/>
          <w:lang w:val="fr-FR"/>
        </w:rPr>
        <w:t>er</w:t>
      </w:r>
      <w:r w:rsidR="00C51928">
        <w:rPr>
          <w:iCs/>
          <w:lang w:val="fr-FR"/>
        </w:rPr>
        <w:t> </w:t>
      </w:r>
      <w:r>
        <w:rPr>
          <w:iCs/>
          <w:lang w:val="fr-FR"/>
        </w:rPr>
        <w:t>décembre, 15</w:t>
      </w:r>
      <w:r w:rsidR="00C51928">
        <w:rPr>
          <w:iCs/>
          <w:lang w:val="fr-FR"/>
        </w:rPr>
        <w:t> </w:t>
      </w:r>
      <w:r>
        <w:rPr>
          <w:iCs/>
          <w:lang w:val="fr-FR"/>
        </w:rPr>
        <w:t>heures-18</w:t>
      </w:r>
      <w:r w:rsidR="00C51928">
        <w:rPr>
          <w:iCs/>
          <w:lang w:val="fr-FR"/>
        </w:rPr>
        <w:t> </w:t>
      </w:r>
      <w:r>
        <w:rPr>
          <w:iCs/>
          <w:lang w:val="fr-FR"/>
        </w:rPr>
        <w:t>heures</w:t>
      </w:r>
    </w:p>
    <w:p w14:paraId="3D54E3E4" w14:textId="77777777" w:rsidR="00455C80" w:rsidRPr="00FE4086" w:rsidRDefault="00455C80" w:rsidP="00C51928">
      <w:pPr>
        <w:pStyle w:val="H23G"/>
        <w:rPr>
          <w:lang w:val="fr-FR"/>
        </w:rPr>
      </w:pPr>
      <w:r>
        <w:rPr>
          <w:lang w:val="fr-FR"/>
        </w:rPr>
        <w:tab/>
        <w:t>a)</w:t>
      </w:r>
      <w:r>
        <w:rPr>
          <w:lang w:val="fr-FR"/>
        </w:rPr>
        <w:tab/>
      </w:r>
      <w:r w:rsidRPr="004B7A25">
        <w:rPr>
          <w:lang w:val="fr-FR"/>
        </w:rPr>
        <w:t>Coopération et renforcement des capacités à l</w:t>
      </w:r>
      <w:r>
        <w:rPr>
          <w:lang w:val="fr-FR"/>
        </w:rPr>
        <w:t>’</w:t>
      </w:r>
      <w:r w:rsidRPr="004B7A25">
        <w:rPr>
          <w:lang w:val="fr-FR"/>
        </w:rPr>
        <w:t>échelle sous-régionale</w:t>
      </w:r>
      <w:bookmarkStart w:id="16" w:name="_Hlk503195904"/>
      <w:bookmarkEnd w:id="16"/>
    </w:p>
    <w:p w14:paraId="7CB7773E" w14:textId="05FFA999" w:rsidR="00455C80" w:rsidRPr="00FE4086" w:rsidRDefault="00455C80" w:rsidP="00C51928">
      <w:pPr>
        <w:pStyle w:val="H4G"/>
        <w:rPr>
          <w:lang w:val="fr-FR"/>
        </w:rPr>
      </w:pPr>
      <w:r>
        <w:rPr>
          <w:lang w:val="fr-FR"/>
        </w:rPr>
        <w:tab/>
      </w:r>
      <w:r>
        <w:rPr>
          <w:lang w:val="fr-FR"/>
        </w:rPr>
        <w:tab/>
      </w:r>
      <w:r>
        <w:rPr>
          <w:iCs/>
          <w:lang w:val="fr-FR"/>
        </w:rPr>
        <w:t>Horaire indicatif</w:t>
      </w:r>
      <w:r w:rsidR="00C51928">
        <w:rPr>
          <w:iCs/>
          <w:lang w:val="fr-FR"/>
        </w:rPr>
        <w:t> </w:t>
      </w:r>
      <w:r>
        <w:rPr>
          <w:iCs/>
          <w:lang w:val="fr-FR"/>
        </w:rPr>
        <w:t>: mercredi 1</w:t>
      </w:r>
      <w:r w:rsidRPr="0028772D">
        <w:rPr>
          <w:iCs/>
          <w:vertAlign w:val="superscript"/>
          <w:lang w:val="fr-FR"/>
        </w:rPr>
        <w:t>er</w:t>
      </w:r>
      <w:r w:rsidR="00C51928">
        <w:rPr>
          <w:iCs/>
          <w:lang w:val="fr-FR"/>
        </w:rPr>
        <w:t> </w:t>
      </w:r>
      <w:r>
        <w:rPr>
          <w:iCs/>
          <w:lang w:val="fr-FR"/>
        </w:rPr>
        <w:t>décembre, 15</w:t>
      </w:r>
      <w:r w:rsidR="00C51928">
        <w:rPr>
          <w:iCs/>
          <w:lang w:val="fr-FR"/>
        </w:rPr>
        <w:t> </w:t>
      </w:r>
      <w:r>
        <w:rPr>
          <w:iCs/>
          <w:lang w:val="fr-FR"/>
        </w:rPr>
        <w:t>heures-16</w:t>
      </w:r>
      <w:r w:rsidR="00C51928">
        <w:rPr>
          <w:iCs/>
          <w:lang w:val="fr-FR"/>
        </w:rPr>
        <w:t> </w:t>
      </w:r>
      <w:r>
        <w:rPr>
          <w:iCs/>
          <w:lang w:val="fr-FR"/>
        </w:rPr>
        <w:t>heures</w:t>
      </w:r>
      <w:bookmarkStart w:id="17" w:name="_Hlk502930938"/>
      <w:bookmarkStart w:id="18" w:name="_Hlk502932998"/>
      <w:bookmarkStart w:id="19" w:name="_Hlk73607664"/>
      <w:bookmarkEnd w:id="17"/>
      <w:bookmarkEnd w:id="18"/>
      <w:bookmarkEnd w:id="19"/>
    </w:p>
    <w:p w14:paraId="2566886D" w14:textId="77777777" w:rsidR="00455C80" w:rsidRPr="00FE4086" w:rsidRDefault="00455C80" w:rsidP="00455C80">
      <w:pPr>
        <w:pStyle w:val="SingleTxtG"/>
        <w:rPr>
          <w:lang w:val="fr-FR"/>
        </w:rPr>
      </w:pPr>
      <w:r>
        <w:rPr>
          <w:lang w:val="fr-FR"/>
        </w:rPr>
        <w:t>11.</w:t>
      </w:r>
      <w:r>
        <w:rPr>
          <w:lang w:val="fr-FR"/>
        </w:rPr>
        <w:tab/>
        <w:t>La délégation italienne et (un consultant travaillant pour) le secrétariat sont invités à rendre compte de l’état d’avancement de la planification et de la mise en œuvre, dans les régions maritimes, d’une activité visant à trouver des synergies et à prévoir d’éventuelles activités de coopération futures avec les Parties aux conventions relatives aux mers régionales et les organes intéressés, conformément aux orientations données par le Bureau. Le Groupe de travail sera également informé des premiers retours faits par les secrétariats des Parties aux conventions relatives aux mers régionales et des organes intéressés, ainsi que des résultats d’une première réunion technique conjointe, si cette dernière se tient avant la réunion du groupe. Il est invité à faire des observations et à donner des conseils sur la mise en œuvre de l’activité.</w:t>
      </w:r>
      <w:bookmarkStart w:id="20" w:name="_Hlk79575962"/>
      <w:bookmarkEnd w:id="20"/>
    </w:p>
    <w:p w14:paraId="698C7DA9" w14:textId="25944457" w:rsidR="00455C80" w:rsidRPr="00FE4086" w:rsidRDefault="00455C80" w:rsidP="00455C80">
      <w:pPr>
        <w:pStyle w:val="SingleTxtG"/>
        <w:rPr>
          <w:lang w:val="fr-FR"/>
        </w:rPr>
      </w:pPr>
      <w:r>
        <w:rPr>
          <w:lang w:val="fr-FR"/>
        </w:rPr>
        <w:t>12.</w:t>
      </w:r>
      <w:r>
        <w:rPr>
          <w:lang w:val="fr-FR"/>
        </w:rPr>
        <w:tab/>
        <w:t xml:space="preserve">Les délégations des pays concernés et le secrétariat seront invités à rendre compte des résultats ou des préparatifs des activités </w:t>
      </w:r>
      <w:r w:rsidRPr="000D6078">
        <w:rPr>
          <w:lang w:val="fr-FR"/>
        </w:rPr>
        <w:t xml:space="preserve">sous-régionales </w:t>
      </w:r>
      <w:r>
        <w:rPr>
          <w:lang w:val="fr-FR"/>
        </w:rPr>
        <w:t>de coopération et de renforcement des capacités prévues au titre du plan de travail pour 2021-2023 dans les sous-régions suivantes</w:t>
      </w:r>
      <w:r w:rsidR="00C51928">
        <w:rPr>
          <w:lang w:val="fr-FR"/>
        </w:rPr>
        <w:t> </w:t>
      </w:r>
      <w:r>
        <w:rPr>
          <w:lang w:val="fr-FR"/>
        </w:rPr>
        <w:t>:</w:t>
      </w:r>
    </w:p>
    <w:p w14:paraId="4DBDA1D9" w14:textId="5F275676" w:rsidR="00455C80" w:rsidRPr="00FE4086" w:rsidRDefault="00455C80" w:rsidP="00671BB8">
      <w:pPr>
        <w:pStyle w:val="SingleTxtG"/>
        <w:ind w:firstLine="567"/>
        <w:rPr>
          <w:lang w:val="fr-FR"/>
        </w:rPr>
      </w:pPr>
      <w:r>
        <w:rPr>
          <w:lang w:val="fr-FR"/>
        </w:rPr>
        <w:t>a)</w:t>
      </w:r>
      <w:r>
        <w:rPr>
          <w:lang w:val="fr-FR"/>
        </w:rPr>
        <w:tab/>
        <w:t>Sous-région de la mer Baltique : réunions organisées par l’Estonie (dont la tenue est provisoirement prévue en ligne, en décembre 2021) et par la Pologne (en 2022), selon les besoins, avec l’appui du secrétariat</w:t>
      </w:r>
      <w:r w:rsidR="00671BB8">
        <w:rPr>
          <w:lang w:val="fr-FR"/>
        </w:rPr>
        <w:t> </w:t>
      </w:r>
      <w:r>
        <w:rPr>
          <w:lang w:val="fr-FR"/>
        </w:rPr>
        <w:t>;</w:t>
      </w:r>
    </w:p>
    <w:p w14:paraId="7EF6D96B" w14:textId="255A16A1" w:rsidR="00455C80" w:rsidRPr="00FE4086" w:rsidRDefault="00455C80" w:rsidP="00671BB8">
      <w:pPr>
        <w:pStyle w:val="SingleTxtG"/>
        <w:ind w:firstLine="567"/>
        <w:rPr>
          <w:lang w:val="fr-FR"/>
        </w:rPr>
      </w:pPr>
      <w:r>
        <w:rPr>
          <w:lang w:val="fr-FR"/>
        </w:rPr>
        <w:t>b)</w:t>
      </w:r>
      <w:r>
        <w:rPr>
          <w:lang w:val="fr-FR"/>
        </w:rPr>
        <w:tab/>
        <w:t>Asie centrale : conférence sous-régionale finale initialement prévue en novembre 2021 en Ouzbékistan (éventuellement sous forme hybride), dans le cadre du projet conjoint de l’Organisation pour la sécurité et la coopération en Europe (OSCE) et de la CEE intitulé «</w:t>
      </w:r>
      <w:r w:rsidR="00671BB8">
        <w:rPr>
          <w:lang w:val="fr-FR"/>
        </w:rPr>
        <w:t> </w:t>
      </w:r>
      <w:r>
        <w:rPr>
          <w:lang w:val="fr-FR"/>
        </w:rPr>
        <w:t>Renforcement des capacités nationales et régionales et de la coopération en matière d’évaluation stratégique environnementale en Asie centrale, visant notamment à faire face aux changements climatiques</w:t>
      </w:r>
      <w:r w:rsidR="00671BB8">
        <w:rPr>
          <w:lang w:val="fr-FR"/>
        </w:rPr>
        <w:t> </w:t>
      </w:r>
      <w:r>
        <w:rPr>
          <w:lang w:val="fr-FR"/>
        </w:rPr>
        <w:t>», financé principalement par l’Allemagne et la Suisse</w:t>
      </w:r>
      <w:r w:rsidR="00671BB8">
        <w:rPr>
          <w:lang w:val="fr-FR"/>
        </w:rPr>
        <w:t> </w:t>
      </w:r>
      <w:r>
        <w:rPr>
          <w:lang w:val="fr-FR"/>
        </w:rPr>
        <w:t>;</w:t>
      </w:r>
    </w:p>
    <w:p w14:paraId="5EFFEB09" w14:textId="13ED8812" w:rsidR="00455C80" w:rsidRPr="00FE4086" w:rsidRDefault="00455C80" w:rsidP="00671BB8">
      <w:pPr>
        <w:pStyle w:val="SingleTxtG"/>
        <w:ind w:firstLine="567"/>
        <w:rPr>
          <w:lang w:val="fr-FR"/>
        </w:rPr>
      </w:pPr>
      <w:r>
        <w:rPr>
          <w:lang w:val="fr-FR"/>
        </w:rPr>
        <w:t>c)</w:t>
      </w:r>
      <w:r>
        <w:rPr>
          <w:lang w:val="fr-FR"/>
        </w:rPr>
        <w:tab/>
      </w:r>
      <w:r w:rsidRPr="007D1D6C">
        <w:rPr>
          <w:lang w:val="fr-FR"/>
        </w:rPr>
        <w:t>Région Europe orientale et Caucase</w:t>
      </w:r>
      <w:r w:rsidR="00671BB8">
        <w:rPr>
          <w:lang w:val="fr-FR"/>
        </w:rPr>
        <w:t> </w:t>
      </w:r>
      <w:r>
        <w:rPr>
          <w:lang w:val="fr-FR"/>
        </w:rPr>
        <w:t xml:space="preserve">: manifestation sous-régionale </w:t>
      </w:r>
      <w:r w:rsidRPr="00E11A2F">
        <w:rPr>
          <w:lang w:val="fr-FR"/>
        </w:rPr>
        <w:t>en principe prévue en 2022</w:t>
      </w:r>
      <w:r>
        <w:rPr>
          <w:lang w:val="fr-FR"/>
        </w:rPr>
        <w:t>, financée par le programme de l’Union européenne pour l’environnement (EU4Environment).</w:t>
      </w:r>
    </w:p>
    <w:p w14:paraId="1AE89A34" w14:textId="7AE0DCED" w:rsidR="00455C80" w:rsidRPr="00FE4086" w:rsidRDefault="00455C80" w:rsidP="00455C80">
      <w:pPr>
        <w:pStyle w:val="SingleTxtG"/>
        <w:rPr>
          <w:lang w:val="fr-FR"/>
        </w:rPr>
      </w:pPr>
      <w:r>
        <w:rPr>
          <w:lang w:val="fr-FR"/>
        </w:rPr>
        <w:t>13.</w:t>
      </w:r>
      <w:r>
        <w:rPr>
          <w:lang w:val="fr-FR"/>
        </w:rPr>
        <w:tab/>
        <w:t>Le Groupe de travail est invité à prendre note des informations communiquées et, s’il</w:t>
      </w:r>
      <w:r w:rsidR="00671BB8">
        <w:rPr>
          <w:lang w:val="fr-FR"/>
        </w:rPr>
        <w:t> </w:t>
      </w:r>
      <w:r>
        <w:rPr>
          <w:lang w:val="fr-FR"/>
        </w:rPr>
        <w:t>y a lieu, à formuler des conseils et arrêter des mesures propres à assurer l’exécution ou le suivi de ces activités.</w:t>
      </w:r>
    </w:p>
    <w:p w14:paraId="68707FE0" w14:textId="77777777" w:rsidR="00455C80" w:rsidRPr="00FE4086" w:rsidRDefault="00455C80" w:rsidP="00C51928">
      <w:pPr>
        <w:pStyle w:val="H23G"/>
        <w:rPr>
          <w:lang w:val="fr-FR"/>
        </w:rPr>
      </w:pPr>
      <w:bookmarkStart w:id="21" w:name="_Hlk79577801"/>
      <w:r>
        <w:rPr>
          <w:lang w:val="fr-FR"/>
        </w:rPr>
        <w:tab/>
      </w:r>
      <w:r>
        <w:rPr>
          <w:lang w:val="fr-FR"/>
        </w:rPr>
        <w:tab/>
        <w:t>Document(s)</w:t>
      </w:r>
    </w:p>
    <w:bookmarkEnd w:id="21"/>
    <w:p w14:paraId="3EE69D0D" w14:textId="1A89E29F" w:rsidR="00455C80" w:rsidRPr="00FE4086" w:rsidRDefault="00455C80" w:rsidP="00455C80">
      <w:pPr>
        <w:pStyle w:val="SingleTxtG"/>
        <w:rPr>
          <w:lang w:val="fr-FR"/>
        </w:rPr>
      </w:pPr>
      <w:r>
        <w:rPr>
          <w:lang w:val="fr-FR"/>
        </w:rPr>
        <w:t>R</w:t>
      </w:r>
      <w:r w:rsidRPr="00C64FB6">
        <w:rPr>
          <w:lang w:val="fr-FR"/>
        </w:rPr>
        <w:t xml:space="preserve">echerche </w:t>
      </w:r>
      <w:r>
        <w:rPr>
          <w:lang w:val="fr-FR"/>
        </w:rPr>
        <w:t xml:space="preserve">de synergies et </w:t>
      </w:r>
      <w:r w:rsidRPr="00C64FB6">
        <w:rPr>
          <w:lang w:val="fr-FR"/>
        </w:rPr>
        <w:t>d</w:t>
      </w:r>
      <w:r>
        <w:rPr>
          <w:lang w:val="fr-FR"/>
        </w:rPr>
        <w:t>’</w:t>
      </w:r>
      <w:r w:rsidRPr="00C64FB6">
        <w:rPr>
          <w:lang w:val="fr-FR"/>
        </w:rPr>
        <w:t>éventuelles</w:t>
      </w:r>
      <w:r>
        <w:rPr>
          <w:lang w:val="fr-FR"/>
        </w:rPr>
        <w:t xml:space="preserve"> activités de coopération dans les régions maritimes (ECE/MP.EIA/WG.2/2021/5)</w:t>
      </w:r>
    </w:p>
    <w:p w14:paraId="3023CC0C" w14:textId="77777777" w:rsidR="00455C80" w:rsidRPr="00622C8E" w:rsidRDefault="00455C80" w:rsidP="00671BB8">
      <w:pPr>
        <w:pStyle w:val="H4G"/>
        <w:rPr>
          <w:lang w:val="en-US"/>
        </w:rPr>
      </w:pPr>
      <w:r>
        <w:rPr>
          <w:lang w:val="fr-FR"/>
        </w:rPr>
        <w:tab/>
      </w:r>
      <w:r>
        <w:rPr>
          <w:lang w:val="fr-FR"/>
        </w:rPr>
        <w:tab/>
      </w:r>
      <w:r>
        <w:rPr>
          <w:lang w:val="fr-FR"/>
        </w:rPr>
        <w:tab/>
      </w:r>
      <w:r w:rsidRPr="00FE4086">
        <w:rPr>
          <w:lang w:val="en-US"/>
        </w:rPr>
        <w:t>Documents informels</w:t>
      </w:r>
    </w:p>
    <w:p w14:paraId="6857B768" w14:textId="77777777" w:rsidR="00455C80" w:rsidRPr="00622C8E" w:rsidRDefault="00455C80" w:rsidP="00455C80">
      <w:pPr>
        <w:pStyle w:val="SingleTxtG"/>
        <w:rPr>
          <w:lang w:val="en-US"/>
        </w:rPr>
      </w:pPr>
      <w:r w:rsidRPr="00FE4086">
        <w:rPr>
          <w:lang w:val="en-US"/>
        </w:rPr>
        <w:t>Workplan implementation status (ECE/MP.EIA/WG.2/2021/INF.3)</w:t>
      </w:r>
    </w:p>
    <w:p w14:paraId="082402D3" w14:textId="77777777" w:rsidR="00455C80" w:rsidRPr="00622C8E" w:rsidRDefault="00455C80" w:rsidP="00455C80">
      <w:pPr>
        <w:pStyle w:val="SingleTxtG"/>
        <w:rPr>
          <w:lang w:val="en-US"/>
        </w:rPr>
      </w:pPr>
      <w:r w:rsidRPr="00FE4086">
        <w:rPr>
          <w:lang w:val="en-US"/>
        </w:rPr>
        <w:t>Update on the implementation of the activity on cooperation in marine regions (ECE/MP.EIA/WG.2/2021/INF.7 (à confirmer)</w:t>
      </w:r>
    </w:p>
    <w:p w14:paraId="688D1DA9" w14:textId="77777777" w:rsidR="00455C80" w:rsidRPr="00FE4086" w:rsidRDefault="00455C80" w:rsidP="00671BB8">
      <w:pPr>
        <w:pStyle w:val="H23G"/>
        <w:rPr>
          <w:lang w:val="fr-FR"/>
        </w:rPr>
      </w:pPr>
      <w:r w:rsidRPr="0028772D">
        <w:rPr>
          <w:lang w:val="en-US"/>
        </w:rPr>
        <w:tab/>
      </w:r>
      <w:r>
        <w:rPr>
          <w:lang w:val="fr-FR"/>
        </w:rPr>
        <w:t>b)</w:t>
      </w:r>
      <w:r>
        <w:rPr>
          <w:lang w:val="fr-FR"/>
        </w:rPr>
        <w:tab/>
        <w:t xml:space="preserve">Renforcement des capacités </w:t>
      </w:r>
    </w:p>
    <w:p w14:paraId="08B7C167" w14:textId="56D131B3" w:rsidR="00455C80" w:rsidRPr="00FE4086" w:rsidRDefault="00455C80" w:rsidP="00C51928">
      <w:pPr>
        <w:pStyle w:val="H4G"/>
        <w:rPr>
          <w:lang w:val="fr-FR"/>
        </w:rPr>
      </w:pPr>
      <w:r>
        <w:rPr>
          <w:lang w:val="fr-FR"/>
        </w:rPr>
        <w:tab/>
      </w:r>
      <w:r>
        <w:rPr>
          <w:lang w:val="fr-FR"/>
        </w:rPr>
        <w:tab/>
      </w:r>
      <w:r>
        <w:rPr>
          <w:iCs/>
          <w:lang w:val="fr-FR"/>
        </w:rPr>
        <w:t>Horaire indicatif</w:t>
      </w:r>
      <w:r w:rsidR="00671BB8">
        <w:rPr>
          <w:iCs/>
          <w:lang w:val="fr-FR"/>
        </w:rPr>
        <w:t> </w:t>
      </w:r>
      <w:r>
        <w:rPr>
          <w:iCs/>
          <w:lang w:val="fr-FR"/>
        </w:rPr>
        <w:t>: mercredi 1</w:t>
      </w:r>
      <w:r w:rsidRPr="0028772D">
        <w:rPr>
          <w:iCs/>
          <w:vertAlign w:val="superscript"/>
          <w:lang w:val="fr-FR"/>
        </w:rPr>
        <w:t>er</w:t>
      </w:r>
      <w:r w:rsidR="00671BB8">
        <w:rPr>
          <w:iCs/>
          <w:lang w:val="fr-FR"/>
        </w:rPr>
        <w:t> </w:t>
      </w:r>
      <w:r>
        <w:rPr>
          <w:iCs/>
          <w:lang w:val="fr-FR"/>
        </w:rPr>
        <w:t>décembre, 16</w:t>
      </w:r>
      <w:r w:rsidR="00671BB8">
        <w:rPr>
          <w:iCs/>
          <w:lang w:val="fr-FR"/>
        </w:rPr>
        <w:t> </w:t>
      </w:r>
      <w:r>
        <w:rPr>
          <w:iCs/>
          <w:lang w:val="fr-FR"/>
        </w:rPr>
        <w:t>heures-17</w:t>
      </w:r>
      <w:r w:rsidR="00671BB8">
        <w:rPr>
          <w:iCs/>
          <w:lang w:val="fr-FR"/>
        </w:rPr>
        <w:t> </w:t>
      </w:r>
      <w:r>
        <w:rPr>
          <w:iCs/>
          <w:lang w:val="fr-FR"/>
        </w:rPr>
        <w:t>h</w:t>
      </w:r>
      <w:r w:rsidR="00671BB8">
        <w:rPr>
          <w:iCs/>
          <w:lang w:val="fr-FR"/>
        </w:rPr>
        <w:t> </w:t>
      </w:r>
      <w:r>
        <w:rPr>
          <w:iCs/>
          <w:lang w:val="fr-FR"/>
        </w:rPr>
        <w:t>30</w:t>
      </w:r>
      <w:bookmarkStart w:id="22" w:name="_Hlk73621991"/>
      <w:bookmarkStart w:id="23" w:name="_Hlk508092807"/>
    </w:p>
    <w:p w14:paraId="0C833A34" w14:textId="4D39DEDB" w:rsidR="00455C80" w:rsidRPr="00FE4086" w:rsidRDefault="00455C80" w:rsidP="00455C80">
      <w:pPr>
        <w:pStyle w:val="SingleTxtG"/>
        <w:rPr>
          <w:lang w:val="fr-FR"/>
        </w:rPr>
      </w:pPr>
      <w:bookmarkStart w:id="24" w:name="_Hlk503532417"/>
      <w:bookmarkEnd w:id="22"/>
      <w:bookmarkEnd w:id="23"/>
      <w:r>
        <w:rPr>
          <w:lang w:val="fr-FR"/>
        </w:rPr>
        <w:t>14.</w:t>
      </w:r>
      <w:r>
        <w:rPr>
          <w:lang w:val="fr-FR"/>
        </w:rPr>
        <w:tab/>
        <w:t>À la demande des Réunions des Parties, le Groupe de travail est invité à réfléchir à la suite à donner à une activité du plan de travail précédent laissée en suspens, à savoir le projet de lignes directrices sur l’évaluation des impacts sur la santé dans le cadre de l’évaluation stratégique environnementale, en tenant compte des recommandations du Bureau</w:t>
      </w:r>
      <w:r w:rsidRPr="00622C8E">
        <w:rPr>
          <w:rStyle w:val="Appelnotedebasdep"/>
        </w:rPr>
        <w:footnoteReference w:id="8"/>
      </w:r>
      <w:r>
        <w:rPr>
          <w:lang w:val="fr-FR"/>
        </w:rPr>
        <w:t>. Ce projet de lignes directrices, qui a été élaboré par des consultants avec le soutien financier de la Banque européenne d’investissement et à l’aide d’un groupe de travail composé de représentants de l’Autriche, de la Finlande, de l’Irlande et de la Slovénie, a été soumis au Groupe de travail à sa neuvième réunion (Genève, 24-26</w:t>
      </w:r>
      <w:r w:rsidR="00671BB8">
        <w:rPr>
          <w:lang w:val="fr-FR"/>
        </w:rPr>
        <w:t> </w:t>
      </w:r>
      <w:r>
        <w:rPr>
          <w:lang w:val="fr-FR"/>
        </w:rPr>
        <w:t>août 2020)</w:t>
      </w:r>
      <w:r w:rsidRPr="00622C8E">
        <w:rPr>
          <w:rStyle w:val="Appelnotedebasdep"/>
        </w:rPr>
        <w:footnoteReference w:id="9"/>
      </w:r>
      <w:r>
        <w:rPr>
          <w:lang w:val="fr-FR"/>
        </w:rPr>
        <w:t>. Celui-ci a toutefois décidé de ne pas transmettre le projet à la Réunion des Parties au Protocole pour qu’elle l’examine à sa huitième session, qui devait se tenir à Vilnius, en ligne, du 8 au 11</w:t>
      </w:r>
      <w:r w:rsidR="00671BB8">
        <w:rPr>
          <w:lang w:val="fr-FR"/>
        </w:rPr>
        <w:t> </w:t>
      </w:r>
      <w:r>
        <w:rPr>
          <w:lang w:val="fr-FR"/>
        </w:rPr>
        <w:t>décembre 2020, la délégation de l’Union européenne ayant estimé que le projet de document devait être encore remanié. Il a proposé que la décision sur les lignes directrices soit reportée à la session de 2023 de la Réunion des Parties</w:t>
      </w:r>
      <w:r w:rsidRPr="00622C8E">
        <w:rPr>
          <w:rStyle w:val="Appelnotedebasdep"/>
        </w:rPr>
        <w:footnoteReference w:id="10"/>
      </w:r>
      <w:r>
        <w:rPr>
          <w:lang w:val="fr-FR"/>
        </w:rPr>
        <w:t>. En 2020, ces dernières se sont engagées à achever leurs travaux au cours de la présente période intersessions, sous réserve que des ressources soient disponibles</w:t>
      </w:r>
      <w:r w:rsidRPr="00622C8E">
        <w:rPr>
          <w:rStyle w:val="Appelnotedebasdep"/>
        </w:rPr>
        <w:footnoteReference w:id="11"/>
      </w:r>
      <w:r>
        <w:rPr>
          <w:lang w:val="fr-FR"/>
        </w:rPr>
        <w:t xml:space="preserve">, et elles ont invité les Parties à </w:t>
      </w:r>
      <w:r w:rsidRPr="0076605D">
        <w:rPr>
          <w:lang w:val="fr-FR"/>
        </w:rPr>
        <w:t>y contribuer en proposant les compétences de leurs experts</w:t>
      </w:r>
      <w:r w:rsidRPr="00622C8E">
        <w:rPr>
          <w:rStyle w:val="Appelnotedebasdep"/>
        </w:rPr>
        <w:footnoteReference w:id="12"/>
      </w:r>
      <w:r>
        <w:rPr>
          <w:lang w:val="fr-FR"/>
        </w:rPr>
        <w:t>. À la demande du Bureau, les délégations sont invitées à communiquer les révisions qu’elles souhaiteraient voir apportées au projet de lignes directrices avant le 1</w:t>
      </w:r>
      <w:r w:rsidRPr="0028772D">
        <w:rPr>
          <w:vertAlign w:val="superscript"/>
          <w:lang w:val="fr-FR"/>
        </w:rPr>
        <w:t>er</w:t>
      </w:r>
      <w:r w:rsidR="00671BB8">
        <w:rPr>
          <w:lang w:val="fr-FR"/>
        </w:rPr>
        <w:t> </w:t>
      </w:r>
      <w:r>
        <w:rPr>
          <w:lang w:val="fr-FR"/>
        </w:rPr>
        <w:t>octobre 2021, afin que le Groupe de travail puisse les examiner lors de sa réunion.</w:t>
      </w:r>
      <w:bookmarkStart w:id="28" w:name="_Hlk79596116"/>
      <w:bookmarkEnd w:id="28"/>
    </w:p>
    <w:p w14:paraId="215C8FB2" w14:textId="3DA17C4A" w:rsidR="00455C80" w:rsidRPr="00FE4086" w:rsidRDefault="00455C80" w:rsidP="00455C80">
      <w:pPr>
        <w:pStyle w:val="SingleTxtG"/>
        <w:rPr>
          <w:lang w:val="fr-FR"/>
        </w:rPr>
      </w:pPr>
      <w:r>
        <w:rPr>
          <w:lang w:val="fr-FR"/>
        </w:rPr>
        <w:t>15.</w:t>
      </w:r>
      <w:r>
        <w:rPr>
          <w:lang w:val="fr-FR"/>
        </w:rPr>
        <w:tab/>
        <w:t>Le secrétariat et les délégations des pays concernés seront invités à faire le point sur les activités de renforcement des capacités énumérées ci-après, qui sont financées au moyen du programme EU4Environnement et ont été menées, sont en cours d’exécution ou ont été programmées depuis janvier 2021, conformément au plan de travail pour 2021-2023, en vue de promouvoir l’application du Protocole et de la Convention</w:t>
      </w:r>
      <w:r w:rsidR="00671BB8">
        <w:rPr>
          <w:lang w:val="fr-FR"/>
        </w:rPr>
        <w:t> </w:t>
      </w:r>
      <w:r>
        <w:rPr>
          <w:lang w:val="fr-FR"/>
        </w:rPr>
        <w:t>:</w:t>
      </w:r>
    </w:p>
    <w:p w14:paraId="770158FB" w14:textId="2135B25B" w:rsidR="00455C80" w:rsidRPr="00FE4086" w:rsidRDefault="00455C80" w:rsidP="00671BB8">
      <w:pPr>
        <w:pStyle w:val="SingleTxtG"/>
        <w:ind w:firstLine="567"/>
        <w:rPr>
          <w:lang w:val="fr-FR"/>
        </w:rPr>
      </w:pPr>
      <w:r>
        <w:rPr>
          <w:lang w:val="fr-FR"/>
        </w:rPr>
        <w:t>a)</w:t>
      </w:r>
      <w:r>
        <w:rPr>
          <w:lang w:val="fr-FR"/>
        </w:rPr>
        <w:tab/>
        <w:t>Élaboration de documents d’orientation nationaux relatifs à l’évaluation stratégique environnementale (République de Moldova et Ukraine)</w:t>
      </w:r>
      <w:r w:rsidR="00671BB8">
        <w:rPr>
          <w:lang w:val="fr-FR"/>
        </w:rPr>
        <w:t> </w:t>
      </w:r>
      <w:r>
        <w:rPr>
          <w:lang w:val="fr-FR"/>
        </w:rPr>
        <w:t>;</w:t>
      </w:r>
    </w:p>
    <w:p w14:paraId="09BF93AB" w14:textId="635C8A2E" w:rsidR="00455C80" w:rsidRPr="00FE4086" w:rsidRDefault="00455C80" w:rsidP="00671BB8">
      <w:pPr>
        <w:pStyle w:val="SingleTxtG"/>
        <w:ind w:firstLine="567"/>
        <w:rPr>
          <w:lang w:val="fr-FR"/>
        </w:rPr>
      </w:pPr>
      <w:r>
        <w:rPr>
          <w:lang w:val="fr-FR"/>
        </w:rPr>
        <w:t>b)</w:t>
      </w:r>
      <w:r>
        <w:rPr>
          <w:lang w:val="fr-FR"/>
        </w:rPr>
        <w:tab/>
        <w:t>Ateliers de formation (Azerbaïdjan, République de Moldova, Ukraine)</w:t>
      </w:r>
      <w:r w:rsidR="00671BB8">
        <w:rPr>
          <w:lang w:val="fr-FR"/>
        </w:rPr>
        <w:t> </w:t>
      </w:r>
      <w:r>
        <w:rPr>
          <w:lang w:val="fr-FR"/>
        </w:rPr>
        <w:t>;</w:t>
      </w:r>
      <w:bookmarkStart w:id="29" w:name="_Hlk73608129"/>
      <w:bookmarkEnd w:id="29"/>
    </w:p>
    <w:p w14:paraId="1590AB9D" w14:textId="2CD83E34" w:rsidR="00455C80" w:rsidRPr="00FE4086" w:rsidRDefault="00455C80" w:rsidP="00671BB8">
      <w:pPr>
        <w:pStyle w:val="SingleTxtG"/>
        <w:ind w:firstLine="567"/>
        <w:rPr>
          <w:lang w:val="fr-FR"/>
        </w:rPr>
      </w:pPr>
      <w:r>
        <w:rPr>
          <w:lang w:val="fr-FR"/>
        </w:rPr>
        <w:t>c)</w:t>
      </w:r>
      <w:r>
        <w:rPr>
          <w:lang w:val="fr-FR"/>
        </w:rPr>
        <w:tab/>
        <w:t>Événements nationaux de sensibilisation (République de Moldova)</w:t>
      </w:r>
      <w:r w:rsidR="00671BB8">
        <w:rPr>
          <w:lang w:val="fr-FR"/>
        </w:rPr>
        <w:t> </w:t>
      </w:r>
      <w:r>
        <w:rPr>
          <w:lang w:val="fr-FR"/>
        </w:rPr>
        <w:t>;</w:t>
      </w:r>
    </w:p>
    <w:p w14:paraId="6A146B1E" w14:textId="1E6FA68A" w:rsidR="00455C80" w:rsidRPr="00FE4086" w:rsidRDefault="00455C80" w:rsidP="00671BB8">
      <w:pPr>
        <w:pStyle w:val="SingleTxtG"/>
        <w:ind w:firstLine="567"/>
        <w:rPr>
          <w:lang w:val="fr-FR"/>
        </w:rPr>
      </w:pPr>
      <w:r>
        <w:rPr>
          <w:lang w:val="fr-FR"/>
        </w:rPr>
        <w:t>d)</w:t>
      </w:r>
      <w:r>
        <w:rPr>
          <w:lang w:val="fr-FR"/>
        </w:rPr>
        <w:tab/>
        <w:t>Projets pilotes d’évaluation stratégique environnementale (Arménie, Azerbaïdjan, Géorgie, République de Moldova et Ukraine)</w:t>
      </w:r>
      <w:r w:rsidR="00671BB8">
        <w:rPr>
          <w:lang w:val="fr-FR"/>
        </w:rPr>
        <w:t> </w:t>
      </w:r>
      <w:r>
        <w:rPr>
          <w:lang w:val="fr-FR"/>
        </w:rPr>
        <w:t>;</w:t>
      </w:r>
    </w:p>
    <w:p w14:paraId="2C5E49DF" w14:textId="77777777" w:rsidR="00455C80" w:rsidRPr="00FE4086" w:rsidRDefault="00455C80" w:rsidP="00671BB8">
      <w:pPr>
        <w:pStyle w:val="SingleTxtG"/>
        <w:ind w:firstLine="567"/>
        <w:rPr>
          <w:szCs w:val="16"/>
          <w:lang w:val="fr-FR"/>
        </w:rPr>
      </w:pPr>
      <w:r>
        <w:rPr>
          <w:lang w:val="fr-FR"/>
        </w:rPr>
        <w:t>e)</w:t>
      </w:r>
      <w:r>
        <w:rPr>
          <w:lang w:val="fr-FR"/>
        </w:rPr>
        <w:tab/>
        <w:t>Modèle de base de données sur l’évaluation stratégique environnementale ;</w:t>
      </w:r>
    </w:p>
    <w:p w14:paraId="3844C009" w14:textId="7E00766F" w:rsidR="00455C80" w:rsidRPr="00FE4086" w:rsidRDefault="00455C80" w:rsidP="00671BB8">
      <w:pPr>
        <w:pStyle w:val="SingleTxtG"/>
        <w:ind w:firstLine="567"/>
        <w:rPr>
          <w:szCs w:val="16"/>
          <w:lang w:val="fr-FR"/>
        </w:rPr>
      </w:pPr>
      <w:r>
        <w:rPr>
          <w:lang w:val="fr-FR"/>
        </w:rPr>
        <w:t>f)</w:t>
      </w:r>
      <w:r>
        <w:rPr>
          <w:lang w:val="fr-FR"/>
        </w:rPr>
        <w:tab/>
        <w:t>Traduction de la vidéo sur l’application de la Convention (achevée pour les langues nationales du Bélarus, de la République de Moldova et de l’Ukraine</w:t>
      </w:r>
      <w:r w:rsidR="007D1D6C">
        <w:rPr>
          <w:lang w:val="fr-FR"/>
        </w:rPr>
        <w:t> </w:t>
      </w:r>
      <w:r>
        <w:rPr>
          <w:lang w:val="fr-FR"/>
        </w:rPr>
        <w:t>; en cours pour celles de l’Arménie, de l’Azerbaïdjan et de la Géorgie)</w:t>
      </w:r>
      <w:r w:rsidRPr="00622C8E">
        <w:rPr>
          <w:rStyle w:val="Appelnotedebasdep"/>
        </w:rPr>
        <w:footnoteReference w:id="13"/>
      </w:r>
      <w:r>
        <w:rPr>
          <w:lang w:val="fr-FR"/>
        </w:rPr>
        <w:t>.</w:t>
      </w:r>
    </w:p>
    <w:p w14:paraId="4087F2CF" w14:textId="2D95AD76" w:rsidR="00455C80" w:rsidRPr="00FE4086" w:rsidRDefault="00455C80" w:rsidP="00455C80">
      <w:pPr>
        <w:pStyle w:val="SingleTxtG"/>
        <w:rPr>
          <w:szCs w:val="16"/>
          <w:lang w:val="fr-FR"/>
        </w:rPr>
      </w:pPr>
      <w:r>
        <w:rPr>
          <w:lang w:val="fr-FR"/>
        </w:rPr>
        <w:t>16.</w:t>
      </w:r>
      <w:r>
        <w:rPr>
          <w:lang w:val="fr-FR"/>
        </w:rPr>
        <w:tab/>
        <w:t xml:space="preserve">Le Groupe de travail sera informé de l’aide que le Kazakhstan (ateliers de formation, élaboration d’une feuille de route pour l’application de la Convention et du cahier des charges d’une base de données, etc.) </w:t>
      </w:r>
      <w:r w:rsidRPr="002D3196">
        <w:rPr>
          <w:lang w:val="fr-FR"/>
        </w:rPr>
        <w:t>a proposé d</w:t>
      </w:r>
      <w:r>
        <w:rPr>
          <w:lang w:val="fr-FR"/>
        </w:rPr>
        <w:t>’</w:t>
      </w:r>
      <w:r w:rsidRPr="002D3196">
        <w:rPr>
          <w:lang w:val="fr-FR"/>
        </w:rPr>
        <w:t>apporter en remplacement</w:t>
      </w:r>
      <w:r>
        <w:rPr>
          <w:lang w:val="fr-FR"/>
        </w:rPr>
        <w:t xml:space="preserve"> d’un projet pilote inscrit au plan de travail, pour la mise en place de systèmes nationaux d’évaluation de l’impact sur l’environnement et d’évaluation stratégique environnementale, dans le cadre d’une coopération avec le bureau de l’OSCE à Nur-Sultan et du Partenariat pour l’action en faveur d’une économie verte financé par l’Union européenne.</w:t>
      </w:r>
    </w:p>
    <w:p w14:paraId="3A7ACB5D" w14:textId="622C5ABC" w:rsidR="00455C80" w:rsidRPr="00FE4086" w:rsidRDefault="00455C80" w:rsidP="00455C80">
      <w:pPr>
        <w:pStyle w:val="SingleTxtG"/>
        <w:rPr>
          <w:szCs w:val="16"/>
          <w:lang w:val="fr-FR"/>
        </w:rPr>
      </w:pPr>
      <w:bookmarkStart w:id="30" w:name="_Hlk73609106"/>
      <w:r>
        <w:rPr>
          <w:lang w:val="fr-FR"/>
        </w:rPr>
        <w:t>17.</w:t>
      </w:r>
      <w:r>
        <w:rPr>
          <w:lang w:val="fr-FR"/>
        </w:rPr>
        <w:tab/>
        <w:t xml:space="preserve">Les délégations des pays concernés, un représentant de </w:t>
      </w:r>
      <w:r w:rsidRPr="00671BB8">
        <w:rPr>
          <w:lang w:val="fr-FR"/>
        </w:rPr>
        <w:t>l’OSCE ou le secrétariat rendront compte de l’achèvement des activités destinées à promouvoir l’application du Protocole dans les pays d’Asie centrale qui avaient été lancées au cours de la précédente période intersessions (2017-2020) dans le cadre du projet conjoint OSCE/CEE et comprenaient des campagnes d’évaluation des besoins, l’élaboration de documents d’orientation et l’organisation de manifestations de sensibilisation à l’échelle</w:t>
      </w:r>
      <w:r>
        <w:rPr>
          <w:lang w:val="fr-FR"/>
        </w:rPr>
        <w:t xml:space="preserve"> nationale.</w:t>
      </w:r>
      <w:bookmarkEnd w:id="30"/>
    </w:p>
    <w:p w14:paraId="13D8724C" w14:textId="5AD44566" w:rsidR="00455C80" w:rsidRPr="00FE4086" w:rsidRDefault="00455C80" w:rsidP="00455C80">
      <w:pPr>
        <w:pStyle w:val="SingleTxtG"/>
        <w:rPr>
          <w:szCs w:val="16"/>
          <w:lang w:val="fr-FR"/>
        </w:rPr>
      </w:pPr>
      <w:r>
        <w:rPr>
          <w:lang w:val="fr-FR"/>
        </w:rPr>
        <w:t>18.</w:t>
      </w:r>
      <w:r>
        <w:rPr>
          <w:lang w:val="fr-FR"/>
        </w:rPr>
        <w:tab/>
        <w:t>Un représentant de l’International Association for Impact Assessment (IAIA) sera invité à faire un point sur l’élaboration, par l’IAIA, de fiches pratiques de deux pages ou «</w:t>
      </w:r>
      <w:r w:rsidR="00671BB8">
        <w:rPr>
          <w:lang w:val="fr-FR"/>
        </w:rPr>
        <w:t> </w:t>
      </w:r>
      <w:r>
        <w:rPr>
          <w:lang w:val="fr-FR"/>
        </w:rPr>
        <w:t>FasTips</w:t>
      </w:r>
      <w:r w:rsidR="00671BB8">
        <w:rPr>
          <w:lang w:val="fr-FR"/>
        </w:rPr>
        <w:t> </w:t>
      </w:r>
      <w:r>
        <w:rPr>
          <w:lang w:val="fr-FR"/>
        </w:rPr>
        <w:t>» (conseils pratiques) sur les aspects essentiels de la pratique de l’évaluation stratégique environnementale et à fournir des informations sur les sujets choisis</w:t>
      </w:r>
      <w:r w:rsidRPr="00622C8E">
        <w:rPr>
          <w:rStyle w:val="Appelnotedebasdep"/>
        </w:rPr>
        <w:footnoteReference w:id="14"/>
      </w:r>
      <w:r>
        <w:rPr>
          <w:lang w:val="fr-FR"/>
        </w:rPr>
        <w:t>.</w:t>
      </w:r>
    </w:p>
    <w:p w14:paraId="71A59A55" w14:textId="77777777" w:rsidR="00455C80" w:rsidRPr="00FE4086" w:rsidRDefault="00455C80" w:rsidP="00455C80">
      <w:pPr>
        <w:pStyle w:val="SingleTxtG"/>
        <w:rPr>
          <w:szCs w:val="16"/>
          <w:lang w:val="fr-FR"/>
        </w:rPr>
      </w:pPr>
      <w:r>
        <w:rPr>
          <w:lang w:val="fr-FR"/>
        </w:rPr>
        <w:t>19.</w:t>
      </w:r>
      <w:r>
        <w:rPr>
          <w:lang w:val="fr-FR"/>
        </w:rPr>
        <w:tab/>
        <w:t xml:space="preserve">Le Groupe de travail sera invité à prendre note des informations communiquées et, s’il y a lieu, </w:t>
      </w:r>
      <w:r w:rsidRPr="002A75B0">
        <w:rPr>
          <w:lang w:val="fr-FR"/>
        </w:rPr>
        <w:t xml:space="preserve">à donner des conseils </w:t>
      </w:r>
      <w:r>
        <w:rPr>
          <w:lang w:val="fr-FR"/>
        </w:rPr>
        <w:t>sur</w:t>
      </w:r>
      <w:r w:rsidRPr="002A75B0">
        <w:rPr>
          <w:lang w:val="fr-FR"/>
        </w:rPr>
        <w:t xml:space="preserve"> </w:t>
      </w:r>
      <w:r>
        <w:rPr>
          <w:lang w:val="fr-FR"/>
        </w:rPr>
        <w:t>l’exécution ou le suivi des activités de renforcement des capacités.</w:t>
      </w:r>
    </w:p>
    <w:p w14:paraId="791EAF14" w14:textId="77777777" w:rsidR="00455C80" w:rsidRPr="00FE4086" w:rsidRDefault="00455C80" w:rsidP="00C51928">
      <w:pPr>
        <w:pStyle w:val="H23G"/>
        <w:rPr>
          <w:lang w:val="fr-FR"/>
        </w:rPr>
      </w:pPr>
      <w:r>
        <w:rPr>
          <w:lang w:val="fr-FR"/>
        </w:rPr>
        <w:tab/>
      </w:r>
      <w:r>
        <w:rPr>
          <w:lang w:val="fr-FR"/>
        </w:rPr>
        <w:tab/>
        <w:t>Document(s)</w:t>
      </w:r>
    </w:p>
    <w:p w14:paraId="292F8A61" w14:textId="77777777" w:rsidR="00455C80" w:rsidRPr="00FE4086" w:rsidRDefault="00455C80" w:rsidP="00671BB8">
      <w:pPr>
        <w:pStyle w:val="H4G"/>
        <w:rPr>
          <w:lang w:val="fr-FR"/>
        </w:rPr>
      </w:pPr>
      <w:r>
        <w:rPr>
          <w:lang w:val="fr-FR"/>
        </w:rPr>
        <w:tab/>
      </w:r>
      <w:r>
        <w:rPr>
          <w:lang w:val="fr-FR"/>
        </w:rPr>
        <w:tab/>
        <w:t>Document informel</w:t>
      </w:r>
    </w:p>
    <w:p w14:paraId="1FDC654F" w14:textId="263D9960" w:rsidR="00455C80" w:rsidRPr="001204A6" w:rsidRDefault="00455C80" w:rsidP="00455C80">
      <w:pPr>
        <w:pStyle w:val="SingleTxtG"/>
        <w:rPr>
          <w:lang w:val="en-US"/>
        </w:rPr>
      </w:pPr>
      <w:r w:rsidRPr="001204A6">
        <w:rPr>
          <w:lang w:val="en-US"/>
        </w:rPr>
        <w:t>Workplan implementation status (ECE/MP.EIA/WG.2/2021/INF.3)</w:t>
      </w:r>
    </w:p>
    <w:bookmarkEnd w:id="24"/>
    <w:p w14:paraId="652758C5" w14:textId="77777777" w:rsidR="00455C80" w:rsidRPr="00FE4086" w:rsidRDefault="00455C80" w:rsidP="00671BB8">
      <w:pPr>
        <w:pStyle w:val="H23G"/>
        <w:rPr>
          <w:lang w:val="fr-FR"/>
        </w:rPr>
      </w:pPr>
      <w:r w:rsidRPr="001204A6">
        <w:rPr>
          <w:lang w:val="en-US"/>
        </w:rPr>
        <w:tab/>
      </w:r>
      <w:r>
        <w:rPr>
          <w:lang w:val="fr-FR"/>
        </w:rPr>
        <w:t>c)</w:t>
      </w:r>
      <w:r>
        <w:rPr>
          <w:lang w:val="fr-FR"/>
        </w:rPr>
        <w:tab/>
        <w:t>Échange de bonnes pratiques</w:t>
      </w:r>
    </w:p>
    <w:p w14:paraId="31856BF0" w14:textId="443F830B" w:rsidR="00455C80" w:rsidRPr="00FE4086" w:rsidRDefault="00455C80" w:rsidP="00C51928">
      <w:pPr>
        <w:pStyle w:val="H4G"/>
        <w:rPr>
          <w:lang w:val="fr-FR"/>
        </w:rPr>
      </w:pPr>
      <w:r>
        <w:rPr>
          <w:lang w:val="fr-FR"/>
        </w:rPr>
        <w:tab/>
      </w:r>
      <w:r>
        <w:rPr>
          <w:lang w:val="fr-FR"/>
        </w:rPr>
        <w:tab/>
      </w:r>
      <w:r>
        <w:rPr>
          <w:lang w:val="fr-FR"/>
        </w:rPr>
        <w:tab/>
      </w:r>
      <w:r>
        <w:rPr>
          <w:iCs/>
          <w:lang w:val="fr-FR"/>
        </w:rPr>
        <w:t>Horaire indicatif</w:t>
      </w:r>
      <w:r w:rsidR="00671BB8">
        <w:rPr>
          <w:iCs/>
          <w:lang w:val="fr-FR"/>
        </w:rPr>
        <w:t> </w:t>
      </w:r>
      <w:r>
        <w:rPr>
          <w:iCs/>
          <w:lang w:val="fr-FR"/>
        </w:rPr>
        <w:t>: mercredi 1</w:t>
      </w:r>
      <w:r w:rsidRPr="00671BB8">
        <w:rPr>
          <w:iCs/>
          <w:vertAlign w:val="superscript"/>
          <w:lang w:val="fr-FR"/>
        </w:rPr>
        <w:t>er</w:t>
      </w:r>
      <w:r w:rsidR="00671BB8">
        <w:rPr>
          <w:iCs/>
          <w:lang w:val="fr-FR"/>
        </w:rPr>
        <w:t> </w:t>
      </w:r>
      <w:r>
        <w:rPr>
          <w:iCs/>
          <w:lang w:val="fr-FR"/>
        </w:rPr>
        <w:t>décembre, 17</w:t>
      </w:r>
      <w:r w:rsidR="00671BB8">
        <w:rPr>
          <w:iCs/>
          <w:lang w:val="fr-FR"/>
        </w:rPr>
        <w:t> </w:t>
      </w:r>
      <w:r>
        <w:rPr>
          <w:iCs/>
          <w:lang w:val="fr-FR"/>
        </w:rPr>
        <w:t>h</w:t>
      </w:r>
      <w:r w:rsidR="00671BB8">
        <w:rPr>
          <w:iCs/>
          <w:lang w:val="fr-FR"/>
        </w:rPr>
        <w:t> </w:t>
      </w:r>
      <w:r>
        <w:rPr>
          <w:iCs/>
          <w:lang w:val="fr-FR"/>
        </w:rPr>
        <w:t>30-18</w:t>
      </w:r>
      <w:r w:rsidR="00671BB8">
        <w:rPr>
          <w:iCs/>
          <w:lang w:val="fr-FR"/>
        </w:rPr>
        <w:t> </w:t>
      </w:r>
      <w:r>
        <w:rPr>
          <w:iCs/>
          <w:lang w:val="fr-FR"/>
        </w:rPr>
        <w:t>heures</w:t>
      </w:r>
    </w:p>
    <w:p w14:paraId="668A9F04" w14:textId="4DE575A5" w:rsidR="00455C80" w:rsidRPr="00FE4086" w:rsidRDefault="00455C80" w:rsidP="00455C80">
      <w:pPr>
        <w:pStyle w:val="SingleTxtG"/>
        <w:rPr>
          <w:lang w:val="fr-FR"/>
        </w:rPr>
      </w:pPr>
      <w:r>
        <w:rPr>
          <w:lang w:val="fr-FR"/>
        </w:rPr>
        <w:t>20.</w:t>
      </w:r>
      <w:r>
        <w:rPr>
          <w:lang w:val="fr-FR"/>
        </w:rPr>
        <w:tab/>
        <w:t xml:space="preserve">Le secrétariat et les pays ou organisations chefs de file seront invités à présenter les ateliers ou séminaires thématiques d’une demi-journée ou d’une journée entière </w:t>
      </w:r>
      <w:r w:rsidRPr="00274B08">
        <w:rPr>
          <w:lang w:val="fr-FR"/>
        </w:rPr>
        <w:t>qu</w:t>
      </w:r>
      <w:r>
        <w:rPr>
          <w:lang w:val="fr-FR"/>
        </w:rPr>
        <w:t>’</w:t>
      </w:r>
      <w:r w:rsidRPr="00274B08">
        <w:rPr>
          <w:lang w:val="fr-FR"/>
        </w:rPr>
        <w:t>ils projettent d</w:t>
      </w:r>
      <w:r>
        <w:rPr>
          <w:lang w:val="fr-FR"/>
        </w:rPr>
        <w:t>’</w:t>
      </w:r>
      <w:r w:rsidRPr="00274B08">
        <w:rPr>
          <w:lang w:val="fr-FR"/>
        </w:rPr>
        <w:t>organiser</w:t>
      </w:r>
      <w:r>
        <w:rPr>
          <w:lang w:val="fr-FR"/>
        </w:rPr>
        <w:t xml:space="preserve"> pendant les réunions du Groupe de travail qui se tiendront en 2022 et en </w:t>
      </w:r>
      <w:r w:rsidRPr="00671BB8">
        <w:rPr>
          <w:lang w:val="fr-FR"/>
        </w:rPr>
        <w:t>2023 ou les sessi</w:t>
      </w:r>
      <w:r>
        <w:rPr>
          <w:lang w:val="fr-FR"/>
        </w:rPr>
        <w:t>ons de la Réunion des Parties prévues en 2023, en relation avec l’échange de bonnes pratiques dans les domaines sélectionnés dans le plan de travail. La Présidente ou le Président du Bureau souhaitera peut-être transmettre tout avis que le Bureau pourrait formuler à ce sujet. Le Groupe de travail est invité à donner des orientations sur l’organisation des manifestations, en commençant par celle qui aura lieu à l’occasion de la onzième réunion du Groupe de travail, qui se tiendra à Genève du 19 au 21</w:t>
      </w:r>
      <w:r w:rsidR="00671BB8">
        <w:rPr>
          <w:lang w:val="fr-FR"/>
        </w:rPr>
        <w:t> </w:t>
      </w:r>
      <w:r>
        <w:rPr>
          <w:lang w:val="fr-FR"/>
        </w:rPr>
        <w:t>décembre 2022.</w:t>
      </w:r>
    </w:p>
    <w:p w14:paraId="6F034B92" w14:textId="77777777" w:rsidR="00455C80" w:rsidRPr="00FE4086" w:rsidRDefault="00455C80" w:rsidP="00455C80">
      <w:pPr>
        <w:pStyle w:val="SingleTxtG"/>
        <w:rPr>
          <w:lang w:val="fr-FR"/>
        </w:rPr>
      </w:pPr>
      <w:r>
        <w:rPr>
          <w:lang w:val="fr-FR"/>
        </w:rPr>
        <w:t>21.</w:t>
      </w:r>
      <w:r>
        <w:rPr>
          <w:lang w:val="fr-FR"/>
        </w:rPr>
        <w:tab/>
        <w:t>Les délégations sont invitées à soumettre des propositions concernant l’élaboration des fiches d’information sur l’application pratique de la Convention et du Protocole qui seront présentées pendant les réunions du Groupe de travail de l’évaluation de l’impact sur l’environnement et de l’évaluation stratégique environnementale et mises en ligne sur le site Web de la CEE.</w:t>
      </w:r>
    </w:p>
    <w:p w14:paraId="6C770830" w14:textId="77777777" w:rsidR="00455C80" w:rsidRPr="00FE4086" w:rsidRDefault="00455C80" w:rsidP="00455C80">
      <w:pPr>
        <w:pStyle w:val="SingleTxtG"/>
        <w:rPr>
          <w:lang w:val="fr-FR"/>
        </w:rPr>
      </w:pPr>
      <w:r>
        <w:rPr>
          <w:lang w:val="fr-FR"/>
        </w:rPr>
        <w:t>22.</w:t>
      </w:r>
      <w:r>
        <w:rPr>
          <w:lang w:val="fr-FR"/>
        </w:rPr>
        <w:tab/>
        <w:t>Les délégations sont appelées à participer au financement d’une base de données en ligne des bonnes pratiques des Parties prévue dans le plan de travail</w:t>
      </w:r>
      <w:r w:rsidRPr="00622C8E">
        <w:rPr>
          <w:rStyle w:val="Appelnotedebasdep"/>
        </w:rPr>
        <w:footnoteReference w:id="15"/>
      </w:r>
      <w:r>
        <w:rPr>
          <w:lang w:val="fr-FR"/>
        </w:rPr>
        <w:t xml:space="preserve">, </w:t>
      </w:r>
      <w:r w:rsidRPr="00223900">
        <w:rPr>
          <w:lang w:val="fr-FR"/>
        </w:rPr>
        <w:t>ou de la collecte et d</w:t>
      </w:r>
      <w:r>
        <w:rPr>
          <w:lang w:val="fr-FR"/>
        </w:rPr>
        <w:t>u traitement des informations nécessaires, sous réserve que des ressources supplémentaires soient débloquées et que les consultants soient financés.</w:t>
      </w:r>
      <w:bookmarkStart w:id="31" w:name="_Hlk73624032"/>
    </w:p>
    <w:bookmarkEnd w:id="31"/>
    <w:p w14:paraId="2D8205DC" w14:textId="77777777" w:rsidR="00455C80" w:rsidRPr="00FE4086" w:rsidRDefault="00455C80" w:rsidP="00671BB8">
      <w:pPr>
        <w:pStyle w:val="H1G"/>
        <w:rPr>
          <w:lang w:val="fr-FR"/>
        </w:rPr>
      </w:pPr>
      <w:r>
        <w:rPr>
          <w:lang w:val="fr-FR"/>
        </w:rPr>
        <w:tab/>
        <w:t>5.</w:t>
      </w:r>
      <w:r>
        <w:rPr>
          <w:lang w:val="fr-FR"/>
        </w:rPr>
        <w:tab/>
        <w:t>Séminaire sur les infrastructures durables</w:t>
      </w:r>
    </w:p>
    <w:p w14:paraId="70279C77" w14:textId="3A92A66A" w:rsidR="00455C80" w:rsidRPr="00FE4086" w:rsidRDefault="00455C80" w:rsidP="00C51928">
      <w:pPr>
        <w:pStyle w:val="H4G"/>
        <w:rPr>
          <w:lang w:val="fr-FR"/>
        </w:rPr>
      </w:pPr>
      <w:r>
        <w:rPr>
          <w:lang w:val="fr-FR"/>
        </w:rPr>
        <w:tab/>
      </w:r>
      <w:r>
        <w:rPr>
          <w:lang w:val="fr-FR"/>
        </w:rPr>
        <w:tab/>
      </w:r>
      <w:r>
        <w:rPr>
          <w:iCs/>
          <w:lang w:val="fr-FR"/>
        </w:rPr>
        <w:t>Jeudi 2</w:t>
      </w:r>
      <w:r w:rsidR="00671BB8">
        <w:rPr>
          <w:iCs/>
          <w:lang w:val="fr-FR"/>
        </w:rPr>
        <w:t> </w:t>
      </w:r>
      <w:r>
        <w:rPr>
          <w:iCs/>
          <w:lang w:val="fr-FR"/>
        </w:rPr>
        <w:t>décembre, 10</w:t>
      </w:r>
      <w:r w:rsidR="00671BB8">
        <w:rPr>
          <w:iCs/>
          <w:lang w:val="fr-FR"/>
        </w:rPr>
        <w:t> </w:t>
      </w:r>
      <w:r>
        <w:rPr>
          <w:iCs/>
          <w:lang w:val="fr-FR"/>
        </w:rPr>
        <w:t>heures-13</w:t>
      </w:r>
      <w:r w:rsidR="00671BB8">
        <w:rPr>
          <w:iCs/>
          <w:lang w:val="fr-FR"/>
        </w:rPr>
        <w:t> </w:t>
      </w:r>
      <w:r>
        <w:rPr>
          <w:iCs/>
          <w:lang w:val="fr-FR"/>
        </w:rPr>
        <w:t>heures et 15</w:t>
      </w:r>
      <w:r w:rsidR="00671BB8">
        <w:rPr>
          <w:iCs/>
          <w:lang w:val="fr-FR"/>
        </w:rPr>
        <w:t> </w:t>
      </w:r>
      <w:r>
        <w:rPr>
          <w:iCs/>
          <w:lang w:val="fr-FR"/>
        </w:rPr>
        <w:t>heures-18</w:t>
      </w:r>
      <w:r w:rsidR="00671BB8">
        <w:rPr>
          <w:iCs/>
          <w:lang w:val="fr-FR"/>
        </w:rPr>
        <w:t> </w:t>
      </w:r>
      <w:r>
        <w:rPr>
          <w:iCs/>
          <w:lang w:val="fr-FR"/>
        </w:rPr>
        <w:t>heures</w:t>
      </w:r>
    </w:p>
    <w:p w14:paraId="3AAA6F60" w14:textId="77777777" w:rsidR="00455C80" w:rsidRPr="00FE4086" w:rsidRDefault="00455C80" w:rsidP="00455C80">
      <w:pPr>
        <w:pStyle w:val="SingleTxtG"/>
        <w:rPr>
          <w:lang w:val="fr-FR"/>
        </w:rPr>
      </w:pPr>
      <w:r>
        <w:rPr>
          <w:lang w:val="fr-FR"/>
        </w:rPr>
        <w:t>23.</w:t>
      </w:r>
      <w:r>
        <w:rPr>
          <w:lang w:val="fr-FR"/>
        </w:rPr>
        <w:tab/>
        <w:t xml:space="preserve">La délégation suisse sera invitée à présider un séminaire sur les infrastructures durables qu’elle a coorganisé avec le secrétariat. L’objectif de ce séminaire est de servir de plateforme pour échange des bonnes pratiques et faire part des difficultés rencontrées et des leçons apprises dans le cadre de l’application du Protocole et de la Convention aux plans et projets d’infrastructure, ainsi que pour </w:t>
      </w:r>
      <w:r w:rsidRPr="009B1286">
        <w:rPr>
          <w:lang w:val="fr-FR"/>
        </w:rPr>
        <w:t>sensibiliser les</w:t>
      </w:r>
      <w:r>
        <w:rPr>
          <w:lang w:val="fr-FR"/>
        </w:rPr>
        <w:t xml:space="preserve"> participants au rôle des traités applicables au domaine et à leur intérêt.</w:t>
      </w:r>
    </w:p>
    <w:p w14:paraId="377F9050" w14:textId="317F8028" w:rsidR="00455C80" w:rsidRPr="00FE4086" w:rsidRDefault="00455C80" w:rsidP="00455C80">
      <w:pPr>
        <w:pStyle w:val="SingleTxtG"/>
        <w:rPr>
          <w:lang w:val="fr-FR"/>
        </w:rPr>
      </w:pPr>
      <w:r>
        <w:rPr>
          <w:lang w:val="fr-FR"/>
        </w:rPr>
        <w:t>24.</w:t>
      </w:r>
      <w:r>
        <w:rPr>
          <w:lang w:val="fr-FR"/>
        </w:rPr>
        <w:tab/>
        <w:t>Le séminaire se veut l’occasion d’étudier, par exemple, le rôle que jouent les traités dans la promotion d’une relance verte après la pandémie de maladie à coronavirus (COVID</w:t>
      </w:r>
      <w:r w:rsidR="00671BB8">
        <w:rPr>
          <w:lang w:val="fr-FR"/>
        </w:rPr>
        <w:noBreakHyphen/>
      </w:r>
      <w:r>
        <w:rPr>
          <w:lang w:val="fr-FR"/>
        </w:rPr>
        <w:t>19), l’élaboration de plans et projets d’infrastructure plus écologiques, y</w:t>
      </w:r>
      <w:r w:rsidR="001204A6">
        <w:rPr>
          <w:lang w:val="fr-FR"/>
        </w:rPr>
        <w:t> </w:t>
      </w:r>
      <w:r>
        <w:rPr>
          <w:lang w:val="fr-FR"/>
        </w:rPr>
        <w:t xml:space="preserve">compris dans le cadre de l’initiative </w:t>
      </w:r>
      <w:r w:rsidR="00671BB8">
        <w:rPr>
          <w:lang w:val="fr-FR"/>
        </w:rPr>
        <w:t>« </w:t>
      </w:r>
      <w:r>
        <w:rPr>
          <w:lang w:val="fr-FR"/>
        </w:rPr>
        <w:t>Belt and road</w:t>
      </w:r>
      <w:r w:rsidR="00671BB8">
        <w:rPr>
          <w:lang w:val="fr-FR"/>
        </w:rPr>
        <w:t> »</w:t>
      </w:r>
      <w:r>
        <w:rPr>
          <w:lang w:val="fr-FR"/>
        </w:rPr>
        <w:t xml:space="preserve"> (dite </w:t>
      </w:r>
      <w:r w:rsidR="00671BB8">
        <w:rPr>
          <w:lang w:val="fr-FR"/>
        </w:rPr>
        <w:t>« </w:t>
      </w:r>
      <w:r>
        <w:rPr>
          <w:lang w:val="fr-FR"/>
        </w:rPr>
        <w:t>des routes de la soie</w:t>
      </w:r>
      <w:r w:rsidR="00671BB8">
        <w:rPr>
          <w:lang w:val="fr-FR"/>
        </w:rPr>
        <w:t> »</w:t>
      </w:r>
      <w:r>
        <w:rPr>
          <w:lang w:val="fr-FR"/>
        </w:rPr>
        <w:t>), ou encore de la réalisation des objectifs de développement durable. Le Groupe de travail souhaitera peut-être se joindre au Bureau pour inviter les Parties à rendre compte des conclusions du séminaire à la neuvième Conférence ministérielle «</w:t>
      </w:r>
      <w:r w:rsidR="00671BB8">
        <w:rPr>
          <w:lang w:val="fr-FR"/>
        </w:rPr>
        <w:t> </w:t>
      </w:r>
      <w:r>
        <w:rPr>
          <w:lang w:val="fr-FR"/>
        </w:rPr>
        <w:t>Un environnement pour l’Europe</w:t>
      </w:r>
      <w:r w:rsidR="00671BB8">
        <w:rPr>
          <w:lang w:val="fr-FR"/>
        </w:rPr>
        <w:t> </w:t>
      </w:r>
      <w:r>
        <w:rPr>
          <w:lang w:val="fr-FR"/>
        </w:rPr>
        <w:t>» (Nicosie, 5</w:t>
      </w:r>
      <w:r w:rsidR="00671BB8">
        <w:rPr>
          <w:lang w:val="fr-FR"/>
        </w:rPr>
        <w:noBreakHyphen/>
      </w:r>
      <w:r>
        <w:rPr>
          <w:lang w:val="fr-FR"/>
        </w:rPr>
        <w:t>7</w:t>
      </w:r>
      <w:r w:rsidR="00671BB8">
        <w:rPr>
          <w:lang w:val="fr-FR"/>
        </w:rPr>
        <w:t> </w:t>
      </w:r>
      <w:r>
        <w:rPr>
          <w:lang w:val="fr-FR"/>
        </w:rPr>
        <w:t>octobre 2022), dont l’un des thèmes sera «</w:t>
      </w:r>
      <w:r w:rsidR="00671BB8">
        <w:rPr>
          <w:lang w:val="fr-FR"/>
        </w:rPr>
        <w:t> </w:t>
      </w:r>
      <w:r>
        <w:rPr>
          <w:lang w:val="fr-FR"/>
        </w:rPr>
        <w:t>Pour une économie plus verte dans la région paneuropéenne</w:t>
      </w:r>
      <w:r w:rsidR="00671BB8">
        <w:rPr>
          <w:lang w:val="fr-FR"/>
        </w:rPr>
        <w:t> </w:t>
      </w:r>
      <w:r>
        <w:rPr>
          <w:lang w:val="fr-FR"/>
        </w:rPr>
        <w:t>: œuvrer à la mise en place d’infrastructures durables</w:t>
      </w:r>
      <w:r w:rsidR="00671BB8">
        <w:rPr>
          <w:lang w:val="fr-FR"/>
        </w:rPr>
        <w:t> </w:t>
      </w:r>
      <w:r>
        <w:rPr>
          <w:lang w:val="fr-FR"/>
        </w:rPr>
        <w:t>».</w:t>
      </w:r>
    </w:p>
    <w:p w14:paraId="33D0301E" w14:textId="77777777" w:rsidR="00455C80" w:rsidRPr="00FE4086" w:rsidRDefault="00455C80" w:rsidP="00455C80">
      <w:pPr>
        <w:pStyle w:val="SingleTxtG"/>
        <w:rPr>
          <w:lang w:val="fr-FR"/>
        </w:rPr>
      </w:pPr>
      <w:r>
        <w:rPr>
          <w:lang w:val="fr-FR"/>
        </w:rPr>
        <w:t>25.</w:t>
      </w:r>
      <w:r>
        <w:rPr>
          <w:lang w:val="fr-FR"/>
        </w:rPr>
        <w:tab/>
        <w:t>Des renseignements plus précis sur le séminaire seront communiqués à l’avance.</w:t>
      </w:r>
    </w:p>
    <w:p w14:paraId="54D2CDAF" w14:textId="1008C4FB" w:rsidR="00455C80" w:rsidRPr="00FE4086" w:rsidRDefault="00455C80" w:rsidP="00455C80">
      <w:pPr>
        <w:pStyle w:val="SingleTxtG"/>
        <w:rPr>
          <w:lang w:val="fr-FR"/>
        </w:rPr>
      </w:pPr>
      <w:r>
        <w:rPr>
          <w:lang w:val="fr-FR"/>
        </w:rPr>
        <w:t>26.</w:t>
      </w:r>
      <w:r>
        <w:rPr>
          <w:lang w:val="fr-FR"/>
        </w:rPr>
        <w:tab/>
        <w:t>Les délégations souhaiteront peut-être participer activement à cette manifestation. Le</w:t>
      </w:r>
      <w:r w:rsidR="00671BB8">
        <w:rPr>
          <w:lang w:val="fr-FR"/>
        </w:rPr>
        <w:t> </w:t>
      </w:r>
      <w:r>
        <w:rPr>
          <w:lang w:val="fr-FR"/>
        </w:rPr>
        <w:t>Groupe de travail sera invité à prendre note des conclusions que la Présidente formulera sur le séminaire et à convenir de l’éventuelle suite à donner en fonction des enseignements de ce dernier.</w:t>
      </w:r>
    </w:p>
    <w:p w14:paraId="362983CC" w14:textId="77777777" w:rsidR="00455C80" w:rsidRPr="0028772D" w:rsidRDefault="00455C80" w:rsidP="00C51928">
      <w:pPr>
        <w:pStyle w:val="H23G"/>
        <w:rPr>
          <w:lang w:val="en-US"/>
        </w:rPr>
      </w:pPr>
      <w:r>
        <w:rPr>
          <w:lang w:val="fr-FR"/>
        </w:rPr>
        <w:tab/>
      </w:r>
      <w:r>
        <w:rPr>
          <w:lang w:val="fr-FR"/>
        </w:rPr>
        <w:tab/>
      </w:r>
      <w:r w:rsidRPr="0028772D">
        <w:rPr>
          <w:lang w:val="en-US"/>
        </w:rPr>
        <w:t>Document(s)</w:t>
      </w:r>
    </w:p>
    <w:p w14:paraId="71B1FF0D" w14:textId="77777777" w:rsidR="00455C80" w:rsidRPr="0028772D" w:rsidRDefault="00455C80" w:rsidP="00455C80">
      <w:pPr>
        <w:pStyle w:val="SingleTxtG"/>
        <w:rPr>
          <w:lang w:val="en-US"/>
        </w:rPr>
      </w:pPr>
      <w:r w:rsidRPr="0028772D">
        <w:rPr>
          <w:lang w:val="en-US"/>
        </w:rPr>
        <w:t>Draft programme for the seminar on sustainable infrastructure (ECE/MP.EIA/WG.2/2021/INF.8)</w:t>
      </w:r>
    </w:p>
    <w:p w14:paraId="54927CAC" w14:textId="77777777" w:rsidR="00455C80" w:rsidRPr="00FE4086" w:rsidRDefault="00455C80" w:rsidP="00671BB8">
      <w:pPr>
        <w:pStyle w:val="H1G"/>
        <w:rPr>
          <w:lang w:val="fr-FR"/>
        </w:rPr>
      </w:pPr>
      <w:bookmarkStart w:id="32" w:name="_Hlk73628224"/>
      <w:r w:rsidRPr="0028772D">
        <w:rPr>
          <w:lang w:val="en-US"/>
        </w:rPr>
        <w:tab/>
      </w:r>
      <w:r>
        <w:rPr>
          <w:lang w:val="fr-FR"/>
        </w:rPr>
        <w:t>6.</w:t>
      </w:r>
      <w:r>
        <w:rPr>
          <w:lang w:val="fr-FR"/>
        </w:rPr>
        <w:tab/>
        <w:t>Dispositions financières</w:t>
      </w:r>
    </w:p>
    <w:bookmarkEnd w:id="32"/>
    <w:p w14:paraId="12C5C281" w14:textId="58E3B29E" w:rsidR="00455C80" w:rsidRPr="00FE4086" w:rsidRDefault="00455C80" w:rsidP="00C51928">
      <w:pPr>
        <w:pStyle w:val="H4G"/>
        <w:rPr>
          <w:lang w:val="fr-FR"/>
        </w:rPr>
      </w:pPr>
      <w:r>
        <w:rPr>
          <w:lang w:val="fr-FR"/>
        </w:rPr>
        <w:tab/>
      </w:r>
      <w:r>
        <w:rPr>
          <w:lang w:val="fr-FR"/>
        </w:rPr>
        <w:tab/>
      </w:r>
      <w:r>
        <w:rPr>
          <w:iCs/>
          <w:lang w:val="fr-FR"/>
        </w:rPr>
        <w:t>Horaire indicatif</w:t>
      </w:r>
      <w:r w:rsidR="00671BB8">
        <w:rPr>
          <w:iCs/>
          <w:lang w:val="fr-FR"/>
        </w:rPr>
        <w:t> </w:t>
      </w:r>
      <w:r>
        <w:rPr>
          <w:iCs/>
          <w:lang w:val="fr-FR"/>
        </w:rPr>
        <w:t>: vendredi 3</w:t>
      </w:r>
      <w:r w:rsidR="00671BB8">
        <w:rPr>
          <w:iCs/>
          <w:lang w:val="fr-FR"/>
        </w:rPr>
        <w:t> </w:t>
      </w:r>
      <w:r>
        <w:rPr>
          <w:iCs/>
          <w:lang w:val="fr-FR"/>
        </w:rPr>
        <w:t>décembre, 10</w:t>
      </w:r>
      <w:r w:rsidR="00671BB8">
        <w:rPr>
          <w:iCs/>
          <w:lang w:val="fr-FR"/>
        </w:rPr>
        <w:t> </w:t>
      </w:r>
      <w:r>
        <w:rPr>
          <w:iCs/>
          <w:lang w:val="fr-FR"/>
        </w:rPr>
        <w:t>heures-12</w:t>
      </w:r>
      <w:r w:rsidR="00671BB8">
        <w:rPr>
          <w:iCs/>
          <w:lang w:val="fr-FR"/>
        </w:rPr>
        <w:t> </w:t>
      </w:r>
      <w:r>
        <w:rPr>
          <w:iCs/>
          <w:lang w:val="fr-FR"/>
        </w:rPr>
        <w:t>heures</w:t>
      </w:r>
      <w:bookmarkStart w:id="33" w:name="_Hlk502854113"/>
      <w:bookmarkStart w:id="34" w:name="_Hlk502943851"/>
      <w:bookmarkStart w:id="35" w:name="_Hlk73636222"/>
      <w:bookmarkEnd w:id="33"/>
      <w:bookmarkEnd w:id="34"/>
    </w:p>
    <w:bookmarkEnd w:id="35"/>
    <w:p w14:paraId="47C3978B" w14:textId="77777777" w:rsidR="00455C80" w:rsidRPr="00FE4086" w:rsidRDefault="00455C80" w:rsidP="00455C80">
      <w:pPr>
        <w:pStyle w:val="SingleTxtG"/>
        <w:rPr>
          <w:lang w:val="fr-FR"/>
        </w:rPr>
      </w:pPr>
      <w:r>
        <w:rPr>
          <w:lang w:val="fr-FR"/>
        </w:rPr>
        <w:t>27.</w:t>
      </w:r>
      <w:r>
        <w:rPr>
          <w:lang w:val="fr-FR"/>
        </w:rPr>
        <w:tab/>
        <w:t>Le secrétariat fera le point sur les contributions et dépenses au titre du fonds d’affectation spéciale pour la Convention et le Protocole. Le Groupe de travail souhaitera peut-être examiner et commenter tout écart décelé entre les crédits budgétaires ouverts pour la période actuelle et les contributions (annoncées) des Parties destinées à les financer. À la demande des Réunions des Parties, il pourra ensuite inviter le secrétariat, en consultation avec le Bureau, à établir un premier rapport financier annuel concernant la période intersessions 2021-2023, qui porterait jusqu’à la fin de 2021.</w:t>
      </w:r>
    </w:p>
    <w:p w14:paraId="359990AE" w14:textId="3E9E8159" w:rsidR="00455C80" w:rsidRPr="00FE4086" w:rsidRDefault="00455C80" w:rsidP="00455C80">
      <w:pPr>
        <w:pStyle w:val="SingleTxtG"/>
        <w:rPr>
          <w:lang w:val="fr-FR"/>
        </w:rPr>
      </w:pPr>
      <w:r>
        <w:rPr>
          <w:lang w:val="fr-FR"/>
        </w:rPr>
        <w:t>28.</w:t>
      </w:r>
      <w:r>
        <w:rPr>
          <w:lang w:val="fr-FR"/>
        </w:rPr>
        <w:tab/>
        <w:t>La Réunion des Parties ayant décidé que toutes les Parties étaient tenues de contribuer au partage des coûts du plan de travail, celles qui n’ont pas encore annoncé de contribution pour la période actuelle sont invitées à faire part au Groupe de travail de leurs intentions en la matière</w:t>
      </w:r>
      <w:r w:rsidRPr="00622C8E">
        <w:rPr>
          <w:rStyle w:val="Appelnotedebasdep"/>
        </w:rPr>
        <w:footnoteReference w:id="16"/>
      </w:r>
      <w:r>
        <w:rPr>
          <w:lang w:val="fr-FR"/>
        </w:rPr>
        <w:t>. Ce dernier est invité à prendre note de ces informations, à formuler d’éventuelles observations à leur sujet, et à demander au secrétariat d’écrire à toutes les Parties dont la contribution n’aurait pas été reçue au 31</w:t>
      </w:r>
      <w:r w:rsidR="00671BB8">
        <w:rPr>
          <w:lang w:val="fr-FR"/>
        </w:rPr>
        <w:t> </w:t>
      </w:r>
      <w:r>
        <w:rPr>
          <w:lang w:val="fr-FR"/>
        </w:rPr>
        <w:t>décembre 2021, comme demandé par les Réunions des Parties</w:t>
      </w:r>
      <w:r w:rsidRPr="00622C8E">
        <w:rPr>
          <w:rStyle w:val="Appelnotedebasdep"/>
        </w:rPr>
        <w:footnoteReference w:id="17"/>
      </w:r>
      <w:r>
        <w:rPr>
          <w:lang w:val="fr-FR"/>
        </w:rPr>
        <w:t>.</w:t>
      </w:r>
    </w:p>
    <w:p w14:paraId="5F502D3D" w14:textId="61D51C28" w:rsidR="00455C80" w:rsidRPr="00FE4086" w:rsidRDefault="00455C80" w:rsidP="00455C80">
      <w:pPr>
        <w:pStyle w:val="SingleTxtG"/>
        <w:rPr>
          <w:lang w:val="fr-FR"/>
        </w:rPr>
      </w:pPr>
      <w:r>
        <w:rPr>
          <w:lang w:val="fr-FR"/>
        </w:rPr>
        <w:t>29.</w:t>
      </w:r>
      <w:r>
        <w:rPr>
          <w:lang w:val="fr-FR"/>
        </w:rPr>
        <w:tab/>
        <w:t>La Présidente rendra compte des premières réflexions complémentaires du Bureau en ce qui concerne l’insuffisance, la répartition inégale et l’imprévisibilité des contributions destinées à l’exécution du plan de travail pour 2021-2023. Les Réunions des Parties avaient prié le Bureau de continuer à réfléchir aux solutions possibles à ces problèmes présentées précédemment, en tenant compte également de l’expérience acquise par les organes créés par les autres accords multilatéraux sur l’environnement de la CEE, et de présenter les résultats de ces réflexions au Groupe de travail en 2022</w:t>
      </w:r>
      <w:r w:rsidRPr="00622C8E">
        <w:rPr>
          <w:rStyle w:val="Appelnotedebasdep"/>
        </w:rPr>
        <w:footnoteReference w:id="18"/>
      </w:r>
      <w:r>
        <w:rPr>
          <w:lang w:val="fr-FR"/>
        </w:rPr>
        <w:t xml:space="preserve">. Le secrétariat informera également le Groupe de travail des éventuelles nouvelles dispositions financières récemment adoptées dans le cadre des autres accords de la CEE. Le Groupe de travail est invité à examiner les informations communiquées et à formuler des observations à leur propos, s’agissant en particulier de la recommandation faite aux Parties par le Bureau de financer un poste d’administrateur auxiliaire et sa </w:t>
      </w:r>
      <w:r w:rsidRPr="00664A42">
        <w:rPr>
          <w:lang w:val="fr-FR"/>
        </w:rPr>
        <w:t>proposition de prévoir</w:t>
      </w:r>
      <w:r>
        <w:rPr>
          <w:lang w:val="fr-FR"/>
        </w:rPr>
        <w:t xml:space="preserve"> une question sur le financement dans les questionnaires </w:t>
      </w:r>
      <w:r w:rsidRPr="00664A42">
        <w:rPr>
          <w:lang w:val="fr-FR"/>
        </w:rPr>
        <w:t>destiné</w:t>
      </w:r>
      <w:r>
        <w:rPr>
          <w:lang w:val="fr-FR"/>
        </w:rPr>
        <w:t>s</w:t>
      </w:r>
      <w:r w:rsidRPr="00664A42">
        <w:rPr>
          <w:lang w:val="fr-FR"/>
        </w:rPr>
        <w:t xml:space="preserve"> à permettre de rendre compte de</w:t>
      </w:r>
      <w:r>
        <w:rPr>
          <w:lang w:val="fr-FR"/>
        </w:rPr>
        <w:t xml:space="preserve"> l’application de la Convention et du Protocole par les Parties (voir aussi le paragraphe</w:t>
      </w:r>
      <w:r w:rsidR="00671BB8">
        <w:rPr>
          <w:lang w:val="fr-FR"/>
        </w:rPr>
        <w:t> </w:t>
      </w:r>
      <w:r>
        <w:rPr>
          <w:lang w:val="fr-FR"/>
        </w:rPr>
        <w:t>7 ci-dessus).</w:t>
      </w:r>
    </w:p>
    <w:p w14:paraId="21E468AF" w14:textId="1915A23A" w:rsidR="00455C80" w:rsidRPr="00FE4086" w:rsidRDefault="00455C80" w:rsidP="00455C80">
      <w:pPr>
        <w:pStyle w:val="SingleTxtG"/>
        <w:rPr>
          <w:lang w:val="fr-FR"/>
        </w:rPr>
      </w:pPr>
      <w:r>
        <w:rPr>
          <w:lang w:val="fr-FR"/>
        </w:rPr>
        <w:t>30.</w:t>
      </w:r>
      <w:r>
        <w:rPr>
          <w:lang w:val="fr-FR"/>
        </w:rPr>
        <w:tab/>
        <w:t xml:space="preserve">La Présidente ou le Président du Bureau tiendra ensuite la réunion informée des premières discussions du Bureau au sujet d’une autre demande formulée par les Réunions des Parties, à savoir que le Bureau élabore, avec l’aide du secrétariat, un système </w:t>
      </w:r>
      <w:r w:rsidR="00671BB8">
        <w:rPr>
          <w:lang w:val="fr-FR"/>
        </w:rPr>
        <w:t>« </w:t>
      </w:r>
      <w:r>
        <w:rPr>
          <w:lang w:val="fr-FR"/>
        </w:rPr>
        <w:t>permettant de comptabiliser correctement les contributions en nature dans le cadre du dispositif financier</w:t>
      </w:r>
      <w:r w:rsidR="00671BB8">
        <w:rPr>
          <w:lang w:val="fr-FR"/>
        </w:rPr>
        <w:t> »</w:t>
      </w:r>
      <w:r w:rsidRPr="00622C8E">
        <w:rPr>
          <w:rStyle w:val="Appelnotedebasdep"/>
        </w:rPr>
        <w:footnoteReference w:id="19"/>
      </w:r>
      <w:r>
        <w:rPr>
          <w:lang w:val="fr-FR"/>
        </w:rPr>
        <w:t>. La pratique établie à cet égard est la suivante</w:t>
      </w:r>
      <w:r w:rsidR="00671BB8">
        <w:rPr>
          <w:lang w:val="fr-FR"/>
        </w:rPr>
        <w:t> </w:t>
      </w:r>
      <w:r>
        <w:rPr>
          <w:lang w:val="fr-FR"/>
        </w:rPr>
        <w:t xml:space="preserve">: les contributions en nature sont comptabilisées dans les rapports financiers annuels du Bureau, du Groupe de travail et des Réunions des Parties ainsi qu’à chacune de leurs réunions, puis consignées dans les rapports de réunion correspondants. Le Bureau a estimé que la requête que lui avaient adressée les Réunions des Parties n’était pas claire. Il a également convenu qu’il ne serait pas possible de </w:t>
      </w:r>
      <w:r w:rsidR="00671BB8">
        <w:rPr>
          <w:lang w:val="fr-FR"/>
        </w:rPr>
        <w:t>« </w:t>
      </w:r>
      <w:r>
        <w:rPr>
          <w:lang w:val="fr-FR"/>
        </w:rPr>
        <w:t>monétiser</w:t>
      </w:r>
      <w:r w:rsidR="00671BB8">
        <w:rPr>
          <w:lang w:val="fr-FR"/>
        </w:rPr>
        <w:t> »</w:t>
      </w:r>
      <w:r>
        <w:rPr>
          <w:lang w:val="fr-FR"/>
        </w:rPr>
        <w:t xml:space="preserve"> systématiquement toutes les contributions en nature (par exemple de quantifier le temps investi par les fonctionnaires des différents pays, en tenant compte des différents niveaux de salaire et des devises nationales)</w:t>
      </w:r>
      <w:r w:rsidRPr="00DC323F">
        <w:rPr>
          <w:lang w:val="fr-FR"/>
        </w:rPr>
        <w:t>, car cela serait trop complexe</w:t>
      </w:r>
      <w:r>
        <w:rPr>
          <w:lang w:val="fr-FR"/>
        </w:rPr>
        <w:t>. Pour faciliter les délibérations futures sur la question, le Bureau a invité le Groupe de travail à examiner et à clarifier, par exemple, les questions suivantes</w:t>
      </w:r>
      <w:r w:rsidR="00671BB8">
        <w:rPr>
          <w:lang w:val="fr-FR"/>
        </w:rPr>
        <w:t> </w:t>
      </w:r>
      <w:r>
        <w:rPr>
          <w:lang w:val="fr-FR"/>
        </w:rPr>
        <w:t>:</w:t>
      </w:r>
      <w:bookmarkStart w:id="36" w:name="_Hlk73692244"/>
      <w:bookmarkEnd w:id="36"/>
    </w:p>
    <w:p w14:paraId="5290CE26" w14:textId="28E200B0" w:rsidR="00455C80" w:rsidRPr="00FE4086" w:rsidRDefault="00455C80" w:rsidP="00671BB8">
      <w:pPr>
        <w:pStyle w:val="SingleTxtG"/>
        <w:ind w:firstLine="567"/>
        <w:rPr>
          <w:lang w:val="fr-FR"/>
        </w:rPr>
      </w:pPr>
      <w:r>
        <w:rPr>
          <w:lang w:val="fr-FR"/>
        </w:rPr>
        <w:t>a)</w:t>
      </w:r>
      <w:r>
        <w:rPr>
          <w:lang w:val="fr-FR"/>
        </w:rPr>
        <w:tab/>
        <w:t>La détermination de la valeur monétaire des contributions en nature</w:t>
      </w:r>
      <w:r w:rsidR="00671BB8">
        <w:rPr>
          <w:lang w:val="fr-FR"/>
        </w:rPr>
        <w:t> </w:t>
      </w:r>
      <w:r>
        <w:rPr>
          <w:lang w:val="fr-FR"/>
        </w:rPr>
        <w:t>;</w:t>
      </w:r>
    </w:p>
    <w:p w14:paraId="18417A13" w14:textId="39841051" w:rsidR="00455C80" w:rsidRPr="00FE4086" w:rsidRDefault="00455C80" w:rsidP="00671BB8">
      <w:pPr>
        <w:pStyle w:val="SingleTxtG"/>
        <w:ind w:firstLine="567"/>
        <w:rPr>
          <w:lang w:val="fr-FR"/>
        </w:rPr>
      </w:pPr>
      <w:r>
        <w:rPr>
          <w:lang w:val="fr-FR"/>
        </w:rPr>
        <w:t>b)</w:t>
      </w:r>
      <w:r>
        <w:rPr>
          <w:lang w:val="fr-FR"/>
        </w:rPr>
        <w:tab/>
        <w:t>L’établissement d’éventuels seuils ou valeurs minimales aux fins de la comptabilisation des contributions en nature (par exemple, comptabiliser l’organisation d’un atelier mais pas la présentation d’un exposé dans le cadre de cet atelier)</w:t>
      </w:r>
      <w:r w:rsidR="00671BB8">
        <w:rPr>
          <w:lang w:val="fr-FR"/>
        </w:rPr>
        <w:t> </w:t>
      </w:r>
      <w:r>
        <w:rPr>
          <w:lang w:val="fr-FR"/>
        </w:rPr>
        <w:t>;</w:t>
      </w:r>
    </w:p>
    <w:p w14:paraId="22F4DE75" w14:textId="77777777" w:rsidR="00455C80" w:rsidRPr="00FE4086" w:rsidRDefault="00455C80" w:rsidP="00671BB8">
      <w:pPr>
        <w:pStyle w:val="SingleTxtG"/>
        <w:ind w:firstLine="567"/>
        <w:rPr>
          <w:lang w:val="fr-FR"/>
        </w:rPr>
      </w:pPr>
      <w:r>
        <w:rPr>
          <w:lang w:val="fr-FR"/>
        </w:rPr>
        <w:t>c)</w:t>
      </w:r>
      <w:r>
        <w:rPr>
          <w:lang w:val="fr-FR"/>
        </w:rPr>
        <w:tab/>
        <w:t>La mesure dans laquelle l’appui du secrétariat ou d’autres apports du fonds d’affectation spéciale étaient nécessaires à la mise en œuvre de l’activité pour laquelle des contributions en nature étaient disponibles.</w:t>
      </w:r>
    </w:p>
    <w:p w14:paraId="2706E0C8" w14:textId="435B900C" w:rsidR="00455C80" w:rsidRPr="00FE4086" w:rsidRDefault="00455C80" w:rsidP="00455C80">
      <w:pPr>
        <w:pStyle w:val="SingleTxtG"/>
        <w:rPr>
          <w:lang w:val="fr-FR"/>
        </w:rPr>
      </w:pPr>
      <w:r>
        <w:rPr>
          <w:lang w:val="fr-FR"/>
        </w:rPr>
        <w:t>31.</w:t>
      </w:r>
      <w:r>
        <w:rPr>
          <w:lang w:val="fr-FR"/>
        </w:rPr>
        <w:tab/>
        <w:t>Enfin, la Présidente ou le Président du Bureau informera le Groupe de travail des conclusions de l’examen par le Bureau des critères d’attribution d’une aide financière aux participants aux réunions et de la sélection, par le Bureau également, des spécialistes des organisations non gouvernementales suivantes qui recevront, sous réserve que les fonds disponibles le permettent, une aide financière pour participer aux réunions tenues au titre de la Convention et du Protocole</w:t>
      </w:r>
      <w:r w:rsidR="00671BB8">
        <w:rPr>
          <w:lang w:val="fr-FR"/>
        </w:rPr>
        <w:t> </w:t>
      </w:r>
      <w:r>
        <w:rPr>
          <w:lang w:val="fr-FR"/>
        </w:rPr>
        <w:t>: le Caucasus Environmental NGO Network (</w:t>
      </w:r>
      <w:r w:rsidRPr="004A0A85">
        <w:rPr>
          <w:lang w:val="fr-FR"/>
        </w:rPr>
        <w:t>Réseau des ONG de défense de l</w:t>
      </w:r>
      <w:r>
        <w:rPr>
          <w:lang w:val="fr-FR"/>
        </w:rPr>
        <w:t>’</w:t>
      </w:r>
      <w:r w:rsidRPr="004A0A85">
        <w:rPr>
          <w:lang w:val="fr-FR"/>
        </w:rPr>
        <w:t>environnement dans le Caucase</w:t>
      </w:r>
      <w:r>
        <w:rPr>
          <w:lang w:val="fr-FR"/>
        </w:rPr>
        <w:t xml:space="preserve">), l’ECO-Forum européen/Society and Environment </w:t>
      </w:r>
      <w:r w:rsidRPr="004A0A85">
        <w:rPr>
          <w:lang w:val="fr-FR"/>
        </w:rPr>
        <w:t>(Société et environnement)</w:t>
      </w:r>
      <w:r>
        <w:rPr>
          <w:lang w:val="fr-FR"/>
        </w:rPr>
        <w:t xml:space="preserve"> (Ukraine), le Bureau européen de l’environnement, l’IAIA et Nuclear Transparency Watch.</w:t>
      </w:r>
    </w:p>
    <w:p w14:paraId="4DEA2DED" w14:textId="77777777" w:rsidR="00455C80" w:rsidRPr="00622C8E" w:rsidRDefault="00455C80" w:rsidP="00C51928">
      <w:pPr>
        <w:pStyle w:val="H23G"/>
        <w:rPr>
          <w:lang w:val="en-US"/>
        </w:rPr>
      </w:pPr>
      <w:r>
        <w:rPr>
          <w:lang w:val="fr-FR"/>
        </w:rPr>
        <w:tab/>
      </w:r>
      <w:r>
        <w:rPr>
          <w:lang w:val="fr-FR"/>
        </w:rPr>
        <w:tab/>
      </w:r>
      <w:bookmarkStart w:id="37" w:name="_Hlk502943764"/>
      <w:bookmarkStart w:id="38" w:name="_Hlk503362386"/>
      <w:r>
        <w:rPr>
          <w:lang w:val="en-US"/>
        </w:rPr>
        <w:t>Document(s)</w:t>
      </w:r>
    </w:p>
    <w:bookmarkEnd w:id="37"/>
    <w:p w14:paraId="2BF0ABB3" w14:textId="77777777" w:rsidR="00455C80" w:rsidRPr="00622C8E" w:rsidRDefault="00455C80" w:rsidP="00671BB8">
      <w:pPr>
        <w:pStyle w:val="H4G"/>
        <w:rPr>
          <w:lang w:val="en-US"/>
        </w:rPr>
      </w:pPr>
      <w:r w:rsidRPr="00FE4086">
        <w:rPr>
          <w:lang w:val="en-US"/>
        </w:rPr>
        <w:tab/>
      </w:r>
      <w:r w:rsidRPr="00FE4086">
        <w:rPr>
          <w:lang w:val="en-US"/>
        </w:rPr>
        <w:tab/>
        <w:t>Documents informels</w:t>
      </w:r>
    </w:p>
    <w:p w14:paraId="4AF7BA42" w14:textId="77777777" w:rsidR="00455C80" w:rsidRPr="00622C8E" w:rsidRDefault="00455C80" w:rsidP="00455C80">
      <w:pPr>
        <w:pStyle w:val="SingleTxtG"/>
        <w:rPr>
          <w:lang w:val="en-US"/>
        </w:rPr>
      </w:pPr>
      <w:r w:rsidRPr="00FE4086">
        <w:rPr>
          <w:lang w:val="en-US"/>
        </w:rPr>
        <w:t>Status of the trust fund: contributions and expenditures (ECE/MP.EIA/WG.2/2021/INF.9)</w:t>
      </w:r>
    </w:p>
    <w:p w14:paraId="1CB153B7" w14:textId="77777777" w:rsidR="00455C80" w:rsidRPr="00622C8E" w:rsidRDefault="00455C80" w:rsidP="00455C80">
      <w:pPr>
        <w:pStyle w:val="SingleTxtG"/>
        <w:rPr>
          <w:lang w:val="en-US"/>
        </w:rPr>
      </w:pPr>
      <w:r w:rsidRPr="00FE4086">
        <w:rPr>
          <w:lang w:val="en-US"/>
        </w:rPr>
        <w:t>Bureau</w:t>
      </w:r>
      <w:r>
        <w:rPr>
          <w:lang w:val="en-US"/>
        </w:rPr>
        <w:t>’</w:t>
      </w:r>
      <w:r w:rsidRPr="00FE4086">
        <w:rPr>
          <w:lang w:val="en-US"/>
        </w:rPr>
        <w:t>s proposals on financial arrangements (ECE/MP.EIA/WG.2/2021/INF.10)</w:t>
      </w:r>
    </w:p>
    <w:p w14:paraId="59E54FDF" w14:textId="77777777" w:rsidR="00455C80" w:rsidRPr="00622C8E" w:rsidRDefault="00455C80" w:rsidP="00455C80">
      <w:pPr>
        <w:pStyle w:val="SingleTxtG"/>
        <w:rPr>
          <w:lang w:val="en-US"/>
        </w:rPr>
      </w:pPr>
      <w:r w:rsidRPr="00FE4086">
        <w:rPr>
          <w:lang w:val="en-US"/>
        </w:rPr>
        <w:t>Consideration of in-kind contributions (ECE/MP.EIA/WG.2/2021/INF.11)</w:t>
      </w:r>
    </w:p>
    <w:p w14:paraId="4D360749" w14:textId="77777777" w:rsidR="00455C80" w:rsidRPr="00FE4086" w:rsidRDefault="00455C80" w:rsidP="00671BB8">
      <w:pPr>
        <w:pStyle w:val="H1G"/>
        <w:rPr>
          <w:lang w:val="fr-FR"/>
        </w:rPr>
      </w:pPr>
      <w:r w:rsidRPr="0028772D">
        <w:rPr>
          <w:lang w:val="en-US"/>
        </w:rPr>
        <w:tab/>
      </w:r>
      <w:r>
        <w:rPr>
          <w:lang w:val="fr-FR"/>
        </w:rPr>
        <w:t>7.</w:t>
      </w:r>
      <w:r>
        <w:rPr>
          <w:lang w:val="fr-FR"/>
        </w:rPr>
        <w:tab/>
        <w:t>Gestion, coordination et visibilité des activités intersessions</w:t>
      </w:r>
    </w:p>
    <w:p w14:paraId="2CC25D3A" w14:textId="5D921143" w:rsidR="00455C80" w:rsidRPr="00FE4086" w:rsidRDefault="00455C80" w:rsidP="00C51928">
      <w:pPr>
        <w:pStyle w:val="H4G"/>
        <w:rPr>
          <w:lang w:val="fr-FR"/>
        </w:rPr>
      </w:pPr>
      <w:r>
        <w:rPr>
          <w:lang w:val="fr-FR"/>
        </w:rPr>
        <w:tab/>
      </w:r>
      <w:r>
        <w:rPr>
          <w:lang w:val="fr-FR"/>
        </w:rPr>
        <w:tab/>
      </w:r>
      <w:r>
        <w:rPr>
          <w:iCs/>
          <w:lang w:val="fr-FR"/>
        </w:rPr>
        <w:t>Horaire indicatif</w:t>
      </w:r>
      <w:r w:rsidR="00671BB8">
        <w:rPr>
          <w:iCs/>
          <w:lang w:val="fr-FR"/>
        </w:rPr>
        <w:t> </w:t>
      </w:r>
      <w:r>
        <w:rPr>
          <w:iCs/>
          <w:lang w:val="fr-FR"/>
        </w:rPr>
        <w:t>: vendredi 3</w:t>
      </w:r>
      <w:r w:rsidR="00671BB8">
        <w:rPr>
          <w:iCs/>
          <w:lang w:val="fr-FR"/>
        </w:rPr>
        <w:t> </w:t>
      </w:r>
      <w:r>
        <w:rPr>
          <w:iCs/>
          <w:lang w:val="fr-FR"/>
        </w:rPr>
        <w:t>décembre, 12</w:t>
      </w:r>
      <w:r w:rsidR="00671BB8">
        <w:rPr>
          <w:iCs/>
          <w:lang w:val="fr-FR"/>
        </w:rPr>
        <w:t> </w:t>
      </w:r>
      <w:r>
        <w:rPr>
          <w:iCs/>
          <w:lang w:val="fr-FR"/>
        </w:rPr>
        <w:t>heures-13</w:t>
      </w:r>
      <w:r w:rsidR="00671BB8">
        <w:rPr>
          <w:iCs/>
          <w:lang w:val="fr-FR"/>
        </w:rPr>
        <w:t> </w:t>
      </w:r>
      <w:r>
        <w:rPr>
          <w:iCs/>
          <w:lang w:val="fr-FR"/>
        </w:rPr>
        <w:t>heures</w:t>
      </w:r>
      <w:bookmarkStart w:id="39" w:name="_Hlk73636632"/>
      <w:bookmarkEnd w:id="39"/>
    </w:p>
    <w:p w14:paraId="377F4E84" w14:textId="77777777" w:rsidR="00455C80" w:rsidRPr="00FE4086" w:rsidRDefault="00455C80" w:rsidP="00455C80">
      <w:pPr>
        <w:pStyle w:val="SingleTxtG"/>
        <w:rPr>
          <w:lang w:val="fr-FR"/>
        </w:rPr>
      </w:pPr>
      <w:r>
        <w:rPr>
          <w:lang w:val="fr-FR"/>
        </w:rPr>
        <w:t>32.</w:t>
      </w:r>
      <w:r>
        <w:rPr>
          <w:lang w:val="fr-FR"/>
        </w:rPr>
        <w:tab/>
        <w:t>À leurs dernières sessions en date, en décembre 2020, les Réunions des Parties ont accusé réception de la note informelle sur les questions de procédure concernant les réunions avec participation à distance en cas de circonstances extraordinaires, qui avait été élaborée par le Bureau avec l’appui du secrétariat et en accord avec la Section des traités du Bureau des affaires juridiques</w:t>
      </w:r>
      <w:r w:rsidRPr="00622C8E">
        <w:rPr>
          <w:rStyle w:val="Appelnotedebasdep"/>
        </w:rPr>
        <w:footnoteReference w:id="20"/>
      </w:r>
      <w:r>
        <w:rPr>
          <w:lang w:val="fr-FR"/>
        </w:rPr>
        <w:t>. Suite à la proposition faite par la délégation de l’Union européenne, le secrétariat a été prié, en consultation avec le Bureau, d’aider les Réunions des Parties et leurs organes subsidiaires à continuer à régler, s’il y a lieu, les questions de procédure qui se posaient pour les réunions avec participation à distance, et de soumettre les conclusions de ces travaux aux Réunions des Parties pour examen à leurs prochaines sessions, actuellement prévues en décembre 2023.</w:t>
      </w:r>
    </w:p>
    <w:p w14:paraId="29F3ECA1" w14:textId="77777777" w:rsidR="00455C80" w:rsidRPr="00FE4086" w:rsidRDefault="00455C80" w:rsidP="00455C80">
      <w:pPr>
        <w:pStyle w:val="SingleTxtG"/>
        <w:rPr>
          <w:lang w:val="fr-FR"/>
        </w:rPr>
      </w:pPr>
      <w:r>
        <w:rPr>
          <w:lang w:val="fr-FR"/>
        </w:rPr>
        <w:t>33.</w:t>
      </w:r>
      <w:r>
        <w:rPr>
          <w:lang w:val="fr-FR"/>
        </w:rPr>
        <w:tab/>
        <w:t xml:space="preserve">Après avoir débattu de la question à sa réunion de juin 2021, le Bureau a invité la délégation de l’Union européenne, et éventuellement d’autres délégations, à préciser les points de la note informelle qui devaient éventuellement être encore développés, et à envoyer les projets de texte </w:t>
      </w:r>
      <w:r w:rsidRPr="00B41807">
        <w:rPr>
          <w:lang w:val="fr-FR"/>
        </w:rPr>
        <w:t>suffisamment à l</w:t>
      </w:r>
      <w:r>
        <w:rPr>
          <w:lang w:val="fr-FR"/>
        </w:rPr>
        <w:t>’</w:t>
      </w:r>
      <w:r w:rsidRPr="00B41807">
        <w:rPr>
          <w:lang w:val="fr-FR"/>
        </w:rPr>
        <w:t>avance pour que le Groupe de travail puisse les examiner à sa réunion</w:t>
      </w:r>
      <w:r>
        <w:rPr>
          <w:lang w:val="fr-FR"/>
        </w:rPr>
        <w:t xml:space="preserve">. Le Groupe de travail est invité à formuler des observations sur les éventuels projets de texte et à décider </w:t>
      </w:r>
      <w:r w:rsidRPr="00B41807">
        <w:rPr>
          <w:lang w:val="fr-FR"/>
        </w:rPr>
        <w:t>si nécessaire</w:t>
      </w:r>
      <w:r>
        <w:rPr>
          <w:lang w:val="fr-FR"/>
        </w:rPr>
        <w:t xml:space="preserve"> de la suite à donner, ainsi que du calendrier correspondant.</w:t>
      </w:r>
    </w:p>
    <w:p w14:paraId="0DC9ABB1" w14:textId="7C37BA2D" w:rsidR="00455C80" w:rsidRPr="00FE4086" w:rsidRDefault="00455C80" w:rsidP="00671BB8">
      <w:pPr>
        <w:pStyle w:val="H1G"/>
        <w:rPr>
          <w:lang w:val="fr-FR"/>
        </w:rPr>
      </w:pPr>
      <w:r>
        <w:rPr>
          <w:lang w:val="fr-FR"/>
        </w:rPr>
        <w:tab/>
        <w:t>8.</w:t>
      </w:r>
      <w:r>
        <w:rPr>
          <w:lang w:val="fr-FR"/>
        </w:rPr>
        <w:tab/>
        <w:t>Contributions à des processus internationaux connexes</w:t>
      </w:r>
    </w:p>
    <w:p w14:paraId="0CCC588E" w14:textId="3E9A4BAB" w:rsidR="00455C80" w:rsidRPr="00FE4086" w:rsidRDefault="00455C80" w:rsidP="00C51928">
      <w:pPr>
        <w:pStyle w:val="H4G"/>
        <w:rPr>
          <w:lang w:val="fr-FR"/>
        </w:rPr>
      </w:pPr>
      <w:r>
        <w:rPr>
          <w:lang w:val="fr-FR"/>
        </w:rPr>
        <w:tab/>
      </w:r>
      <w:r>
        <w:rPr>
          <w:lang w:val="fr-FR"/>
        </w:rPr>
        <w:tab/>
      </w:r>
      <w:r>
        <w:rPr>
          <w:iCs/>
          <w:lang w:val="fr-FR"/>
        </w:rPr>
        <w:t>Horaire indicatif</w:t>
      </w:r>
      <w:r w:rsidR="00671BB8">
        <w:rPr>
          <w:iCs/>
          <w:lang w:val="fr-FR"/>
        </w:rPr>
        <w:t> </w:t>
      </w:r>
      <w:r>
        <w:rPr>
          <w:iCs/>
          <w:lang w:val="fr-FR"/>
        </w:rPr>
        <w:t>: vendredi 3</w:t>
      </w:r>
      <w:r w:rsidR="00671BB8">
        <w:rPr>
          <w:iCs/>
          <w:lang w:val="fr-FR"/>
        </w:rPr>
        <w:t> </w:t>
      </w:r>
      <w:r>
        <w:rPr>
          <w:iCs/>
          <w:lang w:val="fr-FR"/>
        </w:rPr>
        <w:t>décembre, 15</w:t>
      </w:r>
      <w:r w:rsidR="00671BB8">
        <w:rPr>
          <w:iCs/>
          <w:lang w:val="fr-FR"/>
        </w:rPr>
        <w:t> </w:t>
      </w:r>
      <w:r>
        <w:rPr>
          <w:iCs/>
          <w:lang w:val="fr-FR"/>
        </w:rPr>
        <w:t>heures-15</w:t>
      </w:r>
      <w:r w:rsidR="00671BB8">
        <w:rPr>
          <w:iCs/>
          <w:lang w:val="fr-FR"/>
        </w:rPr>
        <w:t> </w:t>
      </w:r>
      <w:r>
        <w:rPr>
          <w:iCs/>
          <w:lang w:val="fr-FR"/>
        </w:rPr>
        <w:t>h</w:t>
      </w:r>
      <w:r w:rsidR="00671BB8">
        <w:rPr>
          <w:iCs/>
          <w:lang w:val="fr-FR"/>
        </w:rPr>
        <w:t> </w:t>
      </w:r>
      <w:r>
        <w:rPr>
          <w:iCs/>
          <w:lang w:val="fr-FR"/>
        </w:rPr>
        <w:t>30</w:t>
      </w:r>
      <w:bookmarkStart w:id="40" w:name="_Hlk508094877"/>
      <w:bookmarkStart w:id="41" w:name="_Hlk73636662"/>
      <w:bookmarkEnd w:id="40"/>
    </w:p>
    <w:bookmarkEnd w:id="41"/>
    <w:p w14:paraId="166DFC5B" w14:textId="3252564D" w:rsidR="00455C80" w:rsidRPr="00FE4086" w:rsidRDefault="00455C80" w:rsidP="00455C80">
      <w:pPr>
        <w:pStyle w:val="SingleTxtG"/>
        <w:rPr>
          <w:lang w:val="fr-FR"/>
        </w:rPr>
      </w:pPr>
      <w:r>
        <w:rPr>
          <w:lang w:val="fr-FR"/>
        </w:rPr>
        <w:t>34.</w:t>
      </w:r>
      <w:r>
        <w:rPr>
          <w:lang w:val="fr-FR"/>
        </w:rPr>
        <w:tab/>
        <w:t>Le secrétariat rendra compte des événements qui présentent un intérêt pour la Convention et son Protocole</w:t>
      </w:r>
      <w:r w:rsidR="00671BB8">
        <w:rPr>
          <w:lang w:val="fr-FR"/>
        </w:rPr>
        <w:t> </w:t>
      </w:r>
      <w:r w:rsidRPr="00934747">
        <w:rPr>
          <w:lang w:val="fr-FR"/>
        </w:rPr>
        <w:t>:</w:t>
      </w:r>
    </w:p>
    <w:p w14:paraId="1476EE73" w14:textId="2E9E01CA" w:rsidR="00455C80" w:rsidRPr="00FE4086" w:rsidRDefault="00455C80" w:rsidP="00671BB8">
      <w:pPr>
        <w:pStyle w:val="SingleTxtG"/>
        <w:ind w:firstLine="567"/>
        <w:rPr>
          <w:lang w:val="fr-FR"/>
        </w:rPr>
      </w:pPr>
      <w:bookmarkStart w:id="42" w:name="_Hlk505105406"/>
      <w:r>
        <w:rPr>
          <w:lang w:val="fr-FR"/>
        </w:rPr>
        <w:t>a)</w:t>
      </w:r>
      <w:r>
        <w:rPr>
          <w:lang w:val="fr-FR"/>
        </w:rPr>
        <w:tab/>
        <w:t>Il présentera les conclusions pertinentes de la réunion du Forum régional pour le développement durable de la région de la Commission économique pour l’Europe (organisée à Genève, en ligne, du 10 au 18</w:t>
      </w:r>
      <w:r w:rsidR="00671BB8">
        <w:rPr>
          <w:lang w:val="fr-FR"/>
        </w:rPr>
        <w:t> </w:t>
      </w:r>
      <w:r>
        <w:rPr>
          <w:lang w:val="fr-FR"/>
        </w:rPr>
        <w:t>mars 2021)</w:t>
      </w:r>
      <w:r w:rsidR="00671BB8">
        <w:rPr>
          <w:lang w:val="fr-FR"/>
        </w:rPr>
        <w:t> </w:t>
      </w:r>
      <w:r>
        <w:rPr>
          <w:lang w:val="fr-FR"/>
        </w:rPr>
        <w:t>;</w:t>
      </w:r>
    </w:p>
    <w:p w14:paraId="31A67EE1" w14:textId="00156211" w:rsidR="00455C80" w:rsidRPr="00FE4086" w:rsidRDefault="00455C80" w:rsidP="00671BB8">
      <w:pPr>
        <w:pStyle w:val="SingleTxtG"/>
        <w:ind w:firstLine="567"/>
        <w:rPr>
          <w:lang w:val="fr-FR"/>
        </w:rPr>
      </w:pPr>
      <w:r>
        <w:rPr>
          <w:lang w:val="fr-FR"/>
        </w:rPr>
        <w:t>b)</w:t>
      </w:r>
      <w:r>
        <w:rPr>
          <w:lang w:val="fr-FR"/>
        </w:rPr>
        <w:tab/>
      </w:r>
      <w:r w:rsidRPr="00934747">
        <w:rPr>
          <w:lang w:val="fr-FR"/>
        </w:rPr>
        <w:t xml:space="preserve">Il présentera </w:t>
      </w:r>
      <w:r>
        <w:rPr>
          <w:lang w:val="fr-FR"/>
        </w:rPr>
        <w:t>les conclusions pertinentes de la soixante-neuvième session de la Commission économique pour l’Europe, axée sur l’économie circulaire et l’utilisation durable des ressources naturelles dans la région de la CEE (Genève, 20 et 21</w:t>
      </w:r>
      <w:r w:rsidR="00671BB8">
        <w:rPr>
          <w:lang w:val="fr-FR"/>
        </w:rPr>
        <w:t> </w:t>
      </w:r>
      <w:r>
        <w:rPr>
          <w:lang w:val="fr-FR"/>
        </w:rPr>
        <w:t>avril 2021)</w:t>
      </w:r>
      <w:r w:rsidR="00671BB8">
        <w:rPr>
          <w:lang w:val="fr-FR"/>
        </w:rPr>
        <w:t> </w:t>
      </w:r>
      <w:r>
        <w:rPr>
          <w:lang w:val="fr-FR"/>
        </w:rPr>
        <w:t>;</w:t>
      </w:r>
    </w:p>
    <w:p w14:paraId="5B5E540E" w14:textId="78359DC4" w:rsidR="00455C80" w:rsidRPr="00FE4086" w:rsidRDefault="00455C80" w:rsidP="00671BB8">
      <w:pPr>
        <w:pStyle w:val="SingleTxtG"/>
        <w:ind w:firstLine="567"/>
        <w:rPr>
          <w:lang w:val="fr-FR"/>
        </w:rPr>
      </w:pPr>
      <w:r>
        <w:rPr>
          <w:lang w:val="fr-FR"/>
        </w:rPr>
        <w:t>c)</w:t>
      </w:r>
      <w:r>
        <w:rPr>
          <w:lang w:val="fr-FR"/>
        </w:rPr>
        <w:tab/>
        <w:t>Il évoquera l’organisation de la neuvième Conférence ministérielle «</w:t>
      </w:r>
      <w:r w:rsidR="00671BB8">
        <w:rPr>
          <w:lang w:val="fr-FR"/>
        </w:rPr>
        <w:t> </w:t>
      </w:r>
      <w:r>
        <w:rPr>
          <w:lang w:val="fr-FR"/>
        </w:rPr>
        <w:t>Un</w:t>
      </w:r>
      <w:r w:rsidR="00671BB8">
        <w:rPr>
          <w:lang w:val="fr-FR"/>
        </w:rPr>
        <w:t> </w:t>
      </w:r>
      <w:r>
        <w:rPr>
          <w:lang w:val="fr-FR"/>
        </w:rPr>
        <w:t>environnement pour l’Europe</w:t>
      </w:r>
      <w:r w:rsidR="00671BB8">
        <w:rPr>
          <w:lang w:val="fr-FR"/>
        </w:rPr>
        <w:t> </w:t>
      </w:r>
      <w:r>
        <w:rPr>
          <w:lang w:val="fr-FR"/>
        </w:rPr>
        <w:t>» (Nicosie, 5-7</w:t>
      </w:r>
      <w:r w:rsidR="00671BB8">
        <w:rPr>
          <w:lang w:val="fr-FR"/>
        </w:rPr>
        <w:t> </w:t>
      </w:r>
      <w:r>
        <w:rPr>
          <w:lang w:val="fr-FR"/>
        </w:rPr>
        <w:t>octobre 2022).</w:t>
      </w:r>
    </w:p>
    <w:p w14:paraId="4CCB8084" w14:textId="77777777" w:rsidR="00455C80" w:rsidRPr="00FE4086" w:rsidRDefault="00455C80" w:rsidP="00455C80">
      <w:pPr>
        <w:pStyle w:val="SingleTxtG"/>
        <w:rPr>
          <w:lang w:val="fr-FR"/>
        </w:rPr>
      </w:pPr>
      <w:r>
        <w:rPr>
          <w:lang w:val="fr-FR"/>
        </w:rPr>
        <w:t>35.</w:t>
      </w:r>
      <w:r>
        <w:rPr>
          <w:lang w:val="fr-FR"/>
        </w:rPr>
        <w:tab/>
        <w:t>Le Groupe de travail sera invité à commenter les informations fournies et, s’il y a lieu, à indiquer quelle suite y donner.</w:t>
      </w:r>
    </w:p>
    <w:bookmarkEnd w:id="38"/>
    <w:bookmarkEnd w:id="42"/>
    <w:p w14:paraId="360E2337" w14:textId="2CA73C83" w:rsidR="00455C80" w:rsidRPr="00FE4086" w:rsidRDefault="00455C80" w:rsidP="00671BB8">
      <w:pPr>
        <w:pStyle w:val="H1G"/>
        <w:rPr>
          <w:lang w:val="fr-FR"/>
        </w:rPr>
      </w:pPr>
      <w:r>
        <w:rPr>
          <w:lang w:val="fr-FR"/>
        </w:rPr>
        <w:tab/>
        <w:t>9.</w:t>
      </w:r>
      <w:r>
        <w:rPr>
          <w:lang w:val="fr-FR"/>
        </w:rPr>
        <w:tab/>
        <w:t xml:space="preserve">Préparatifs </w:t>
      </w:r>
      <w:r w:rsidRPr="00463B79">
        <w:rPr>
          <w:lang w:val="fr-FR"/>
        </w:rPr>
        <w:t xml:space="preserve">en vue </w:t>
      </w:r>
      <w:r>
        <w:rPr>
          <w:lang w:val="fr-FR"/>
        </w:rPr>
        <w:t>des prochaines sessions des Réunions des Parties</w:t>
      </w:r>
    </w:p>
    <w:p w14:paraId="5769D7F6" w14:textId="0E46597F" w:rsidR="00455C80" w:rsidRPr="00FE4086" w:rsidRDefault="00455C80" w:rsidP="00C51928">
      <w:pPr>
        <w:pStyle w:val="H4G"/>
        <w:rPr>
          <w:lang w:val="fr-FR"/>
        </w:rPr>
      </w:pPr>
      <w:r>
        <w:rPr>
          <w:lang w:val="fr-FR"/>
        </w:rPr>
        <w:tab/>
      </w:r>
      <w:r>
        <w:rPr>
          <w:lang w:val="fr-FR"/>
        </w:rPr>
        <w:tab/>
      </w:r>
      <w:r>
        <w:rPr>
          <w:iCs/>
          <w:lang w:val="fr-FR"/>
        </w:rPr>
        <w:t>Horaire indicatif</w:t>
      </w:r>
      <w:r w:rsidR="00671BB8">
        <w:rPr>
          <w:iCs/>
          <w:lang w:val="fr-FR"/>
        </w:rPr>
        <w:t> </w:t>
      </w:r>
      <w:r>
        <w:rPr>
          <w:iCs/>
          <w:lang w:val="fr-FR"/>
        </w:rPr>
        <w:t>: vendredi 3</w:t>
      </w:r>
      <w:r w:rsidR="00671BB8">
        <w:rPr>
          <w:iCs/>
          <w:lang w:val="fr-FR"/>
        </w:rPr>
        <w:t> </w:t>
      </w:r>
      <w:r>
        <w:rPr>
          <w:iCs/>
          <w:lang w:val="fr-FR"/>
        </w:rPr>
        <w:t>décembre, 15</w:t>
      </w:r>
      <w:r w:rsidR="00671BB8">
        <w:rPr>
          <w:iCs/>
          <w:lang w:val="fr-FR"/>
        </w:rPr>
        <w:t> </w:t>
      </w:r>
      <w:r>
        <w:rPr>
          <w:iCs/>
          <w:lang w:val="fr-FR"/>
        </w:rPr>
        <w:t>h</w:t>
      </w:r>
      <w:r w:rsidR="00671BB8">
        <w:rPr>
          <w:iCs/>
          <w:lang w:val="fr-FR"/>
        </w:rPr>
        <w:t> </w:t>
      </w:r>
      <w:r>
        <w:rPr>
          <w:iCs/>
          <w:lang w:val="fr-FR"/>
        </w:rPr>
        <w:t>30-16</w:t>
      </w:r>
      <w:r w:rsidR="00671BB8">
        <w:rPr>
          <w:iCs/>
          <w:lang w:val="fr-FR"/>
        </w:rPr>
        <w:t> </w:t>
      </w:r>
      <w:r>
        <w:rPr>
          <w:iCs/>
          <w:lang w:val="fr-FR"/>
        </w:rPr>
        <w:t>heures</w:t>
      </w:r>
    </w:p>
    <w:p w14:paraId="128ED030" w14:textId="77777777" w:rsidR="00455C80" w:rsidRPr="00FE4086" w:rsidRDefault="00455C80" w:rsidP="00455C80">
      <w:pPr>
        <w:pStyle w:val="SingleTxtG"/>
        <w:rPr>
          <w:lang w:val="fr-FR"/>
        </w:rPr>
      </w:pPr>
      <w:r>
        <w:rPr>
          <w:lang w:val="fr-FR"/>
        </w:rPr>
        <w:t>36.</w:t>
      </w:r>
      <w:r>
        <w:rPr>
          <w:lang w:val="fr-FR"/>
        </w:rPr>
        <w:tab/>
        <w:t>Les délégations souhaiteront peut-être faire des propositions pour l’accueil des prochaines sessions des Réunions des Parties, prévues, pour l’instant, en décembre 2023.</w:t>
      </w:r>
    </w:p>
    <w:p w14:paraId="0BD5706C" w14:textId="77777777" w:rsidR="00455C80" w:rsidRPr="00FE4086" w:rsidRDefault="00455C80" w:rsidP="00671BB8">
      <w:pPr>
        <w:pStyle w:val="H1G"/>
        <w:rPr>
          <w:lang w:val="fr-FR"/>
        </w:rPr>
      </w:pPr>
      <w:r>
        <w:rPr>
          <w:lang w:val="fr-FR"/>
        </w:rPr>
        <w:tab/>
        <w:t>10.</w:t>
      </w:r>
      <w:r>
        <w:rPr>
          <w:lang w:val="fr-FR"/>
        </w:rPr>
        <w:tab/>
        <w:t xml:space="preserve">Questions diverses </w:t>
      </w:r>
    </w:p>
    <w:p w14:paraId="16468E71" w14:textId="211BD9FE" w:rsidR="00455C80" w:rsidRPr="00FE4086" w:rsidRDefault="00455C80" w:rsidP="00C51928">
      <w:pPr>
        <w:pStyle w:val="H4G"/>
        <w:rPr>
          <w:lang w:val="fr-FR"/>
        </w:rPr>
      </w:pPr>
      <w:r>
        <w:rPr>
          <w:lang w:val="fr-FR"/>
        </w:rPr>
        <w:tab/>
      </w:r>
      <w:r>
        <w:rPr>
          <w:lang w:val="fr-FR"/>
        </w:rPr>
        <w:tab/>
      </w:r>
      <w:r>
        <w:rPr>
          <w:iCs/>
          <w:lang w:val="fr-FR"/>
        </w:rPr>
        <w:t>Horaire indicatif</w:t>
      </w:r>
      <w:r w:rsidR="00671BB8">
        <w:rPr>
          <w:iCs/>
          <w:lang w:val="fr-FR"/>
        </w:rPr>
        <w:t> </w:t>
      </w:r>
      <w:r>
        <w:rPr>
          <w:iCs/>
          <w:lang w:val="fr-FR"/>
        </w:rPr>
        <w:t>: vendredi 3</w:t>
      </w:r>
      <w:r w:rsidR="00671BB8">
        <w:rPr>
          <w:iCs/>
          <w:lang w:val="fr-FR"/>
        </w:rPr>
        <w:t> </w:t>
      </w:r>
      <w:r>
        <w:rPr>
          <w:iCs/>
          <w:lang w:val="fr-FR"/>
        </w:rPr>
        <w:t>décembre, 16</w:t>
      </w:r>
      <w:r w:rsidR="00671BB8">
        <w:rPr>
          <w:iCs/>
          <w:lang w:val="fr-FR"/>
        </w:rPr>
        <w:t> </w:t>
      </w:r>
      <w:r>
        <w:rPr>
          <w:iCs/>
          <w:lang w:val="fr-FR"/>
        </w:rPr>
        <w:t>heures-16</w:t>
      </w:r>
      <w:r w:rsidR="00671BB8">
        <w:rPr>
          <w:iCs/>
          <w:lang w:val="fr-FR"/>
        </w:rPr>
        <w:t> </w:t>
      </w:r>
      <w:r>
        <w:rPr>
          <w:iCs/>
          <w:lang w:val="fr-FR"/>
        </w:rPr>
        <w:t>h</w:t>
      </w:r>
      <w:r w:rsidR="00671BB8">
        <w:rPr>
          <w:iCs/>
          <w:lang w:val="fr-FR"/>
        </w:rPr>
        <w:t> </w:t>
      </w:r>
      <w:r>
        <w:rPr>
          <w:iCs/>
          <w:lang w:val="fr-FR"/>
        </w:rPr>
        <w:t>30</w:t>
      </w:r>
    </w:p>
    <w:p w14:paraId="2BD3492A" w14:textId="77777777" w:rsidR="00455C80" w:rsidRPr="00FE4086" w:rsidRDefault="00455C80" w:rsidP="00455C80">
      <w:pPr>
        <w:pStyle w:val="SingleTxtG"/>
        <w:rPr>
          <w:lang w:val="fr-FR"/>
        </w:rPr>
      </w:pPr>
      <w:r>
        <w:rPr>
          <w:lang w:val="fr-FR"/>
        </w:rPr>
        <w:t>37.</w:t>
      </w:r>
      <w:r>
        <w:rPr>
          <w:lang w:val="fr-FR"/>
        </w:rPr>
        <w:tab/>
        <w:t>Les délégations qui souhaitent soulever d’autres questions sont invitées à prendre contact avec la Présidente et le secrétariat le plus tôt possible avant la réunion.</w:t>
      </w:r>
    </w:p>
    <w:p w14:paraId="63AA8801" w14:textId="77777777" w:rsidR="00455C80" w:rsidRPr="00FE4086" w:rsidRDefault="00455C80" w:rsidP="00671BB8">
      <w:pPr>
        <w:pStyle w:val="H1G"/>
        <w:rPr>
          <w:lang w:val="fr-FR"/>
        </w:rPr>
      </w:pPr>
      <w:r>
        <w:rPr>
          <w:lang w:val="fr-FR"/>
        </w:rPr>
        <w:tab/>
        <w:t>11.</w:t>
      </w:r>
      <w:r>
        <w:rPr>
          <w:lang w:val="fr-FR"/>
        </w:rPr>
        <w:tab/>
        <w:t>Présentation des principales décisions adoptées et clôture de la réunion</w:t>
      </w:r>
    </w:p>
    <w:p w14:paraId="20306D99" w14:textId="337E3850" w:rsidR="00455C80" w:rsidRPr="00FE4086" w:rsidRDefault="00455C80" w:rsidP="00C51928">
      <w:pPr>
        <w:pStyle w:val="H4G"/>
        <w:rPr>
          <w:lang w:val="fr-FR"/>
        </w:rPr>
      </w:pPr>
      <w:r>
        <w:rPr>
          <w:lang w:val="fr-FR"/>
        </w:rPr>
        <w:tab/>
      </w:r>
      <w:r>
        <w:rPr>
          <w:lang w:val="fr-FR"/>
        </w:rPr>
        <w:tab/>
      </w:r>
      <w:r>
        <w:rPr>
          <w:iCs/>
          <w:lang w:val="fr-FR"/>
        </w:rPr>
        <w:t>Horaire indicatif</w:t>
      </w:r>
      <w:r w:rsidR="00671BB8">
        <w:rPr>
          <w:iCs/>
          <w:lang w:val="fr-FR"/>
        </w:rPr>
        <w:t> </w:t>
      </w:r>
      <w:r>
        <w:rPr>
          <w:iCs/>
          <w:lang w:val="fr-FR"/>
        </w:rPr>
        <w:t>: vendredi 3</w:t>
      </w:r>
      <w:r w:rsidR="00671BB8">
        <w:rPr>
          <w:iCs/>
          <w:lang w:val="fr-FR"/>
        </w:rPr>
        <w:t> </w:t>
      </w:r>
      <w:r>
        <w:rPr>
          <w:iCs/>
          <w:lang w:val="fr-FR"/>
        </w:rPr>
        <w:t>décembre, 16</w:t>
      </w:r>
      <w:r w:rsidR="00671BB8">
        <w:rPr>
          <w:iCs/>
          <w:lang w:val="fr-FR"/>
        </w:rPr>
        <w:t> </w:t>
      </w:r>
      <w:r>
        <w:rPr>
          <w:iCs/>
          <w:lang w:val="fr-FR"/>
        </w:rPr>
        <w:t>h</w:t>
      </w:r>
      <w:r w:rsidR="00671BB8">
        <w:rPr>
          <w:iCs/>
          <w:lang w:val="fr-FR"/>
        </w:rPr>
        <w:t> </w:t>
      </w:r>
      <w:r>
        <w:rPr>
          <w:iCs/>
          <w:lang w:val="fr-FR"/>
        </w:rPr>
        <w:t>30-18</w:t>
      </w:r>
      <w:r w:rsidR="00671BB8">
        <w:rPr>
          <w:iCs/>
          <w:lang w:val="fr-FR"/>
        </w:rPr>
        <w:t> </w:t>
      </w:r>
      <w:r>
        <w:rPr>
          <w:iCs/>
          <w:lang w:val="fr-FR"/>
        </w:rPr>
        <w:t>heures</w:t>
      </w:r>
      <w:bookmarkStart w:id="43" w:name="_Hlk73603386"/>
      <w:bookmarkEnd w:id="43"/>
    </w:p>
    <w:p w14:paraId="7CE95B3F" w14:textId="06A21A28" w:rsidR="00455C80" w:rsidRPr="00FE4086" w:rsidRDefault="00455C80" w:rsidP="00455C80">
      <w:pPr>
        <w:pStyle w:val="SingleTxtG"/>
        <w:rPr>
          <w:lang w:val="fr-FR"/>
        </w:rPr>
      </w:pPr>
      <w:r>
        <w:rPr>
          <w:lang w:val="fr-FR"/>
        </w:rPr>
        <w:t>38.</w:t>
      </w:r>
      <w:r>
        <w:rPr>
          <w:lang w:val="fr-FR"/>
        </w:rPr>
        <w:tab/>
        <w:t>Il sera demandé au Groupe de travail d’approuver les principales décisions prises à sa dixième réunion, d’autoriser le secrétariat à établir ensuite le texte définitif du rapport y relatif sous la direction de la Présidente, et de confirmer la date et le lieu de sa prochaine réunion (prévue, pour l’instant, à Genève du 19 au 21</w:t>
      </w:r>
      <w:r w:rsidR="00671BB8">
        <w:rPr>
          <w:lang w:val="fr-FR"/>
        </w:rPr>
        <w:t> </w:t>
      </w:r>
      <w:r>
        <w:rPr>
          <w:lang w:val="fr-FR"/>
        </w:rPr>
        <w:t>décembre 2022).</w:t>
      </w:r>
    </w:p>
    <w:p w14:paraId="1F5E89D5" w14:textId="77777777" w:rsidR="00455C80" w:rsidRPr="00B61162" w:rsidRDefault="00455C80" w:rsidP="00C51928">
      <w:pPr>
        <w:pStyle w:val="HChG"/>
      </w:pPr>
      <w:r>
        <w:rPr>
          <w:lang w:val="fr-FR"/>
        </w:rPr>
        <w:tab/>
        <w:t>III.</w:t>
      </w:r>
      <w:r>
        <w:rPr>
          <w:lang w:val="fr-FR"/>
        </w:rPr>
        <w:tab/>
        <w:t>Organisation des travaux</w:t>
      </w:r>
    </w:p>
    <w:tbl>
      <w:tblPr>
        <w:tblW w:w="7370" w:type="dxa"/>
        <w:tblInd w:w="1134" w:type="dxa"/>
        <w:tblLayout w:type="fixed"/>
        <w:tblCellMar>
          <w:left w:w="0" w:type="dxa"/>
          <w:right w:w="0" w:type="dxa"/>
        </w:tblCellMar>
        <w:tblLook w:val="04A0" w:firstRow="1" w:lastRow="0" w:firstColumn="1" w:lastColumn="0" w:noHBand="0" w:noVBand="1"/>
      </w:tblPr>
      <w:tblGrid>
        <w:gridCol w:w="2127"/>
        <w:gridCol w:w="1984"/>
        <w:gridCol w:w="3259"/>
      </w:tblGrid>
      <w:tr w:rsidR="00C51928" w:rsidRPr="00C51928" w14:paraId="595DD0A5" w14:textId="77777777" w:rsidTr="00326C3E">
        <w:trPr>
          <w:tblHeader/>
        </w:trPr>
        <w:tc>
          <w:tcPr>
            <w:tcW w:w="2127" w:type="dxa"/>
            <w:tcBorders>
              <w:top w:val="single" w:sz="4" w:space="0" w:color="auto"/>
              <w:bottom w:val="single" w:sz="12" w:space="0" w:color="auto"/>
            </w:tcBorders>
            <w:shd w:val="clear" w:color="auto" w:fill="auto"/>
            <w:vAlign w:val="bottom"/>
          </w:tcPr>
          <w:p w14:paraId="08DA734B" w14:textId="77777777" w:rsidR="00455C80" w:rsidRPr="00C51928" w:rsidRDefault="00455C80" w:rsidP="00C51928">
            <w:pPr>
              <w:spacing w:before="80" w:after="80" w:line="200" w:lineRule="exact"/>
              <w:ind w:right="113"/>
              <w:rPr>
                <w:i/>
                <w:sz w:val="16"/>
              </w:rPr>
            </w:pPr>
            <w:r w:rsidRPr="00C51928">
              <w:rPr>
                <w:i/>
                <w:sz w:val="16"/>
                <w:lang w:val="fr-FR"/>
              </w:rPr>
              <w:t>Date et heure</w:t>
            </w:r>
          </w:p>
        </w:tc>
        <w:tc>
          <w:tcPr>
            <w:tcW w:w="1984" w:type="dxa"/>
            <w:tcBorders>
              <w:top w:val="single" w:sz="4" w:space="0" w:color="auto"/>
              <w:bottom w:val="single" w:sz="12" w:space="0" w:color="auto"/>
            </w:tcBorders>
            <w:shd w:val="clear" w:color="auto" w:fill="auto"/>
            <w:vAlign w:val="bottom"/>
          </w:tcPr>
          <w:p w14:paraId="3F85BF97" w14:textId="77777777" w:rsidR="00455C80" w:rsidRPr="00C51928" w:rsidDel="00867375" w:rsidRDefault="00455C80" w:rsidP="00C51928">
            <w:pPr>
              <w:spacing w:before="80" w:after="80" w:line="200" w:lineRule="exact"/>
              <w:ind w:right="113"/>
              <w:rPr>
                <w:i/>
                <w:sz w:val="16"/>
                <w:lang w:val="fr-FR"/>
              </w:rPr>
            </w:pPr>
            <w:r w:rsidRPr="00C51928">
              <w:rPr>
                <w:i/>
                <w:sz w:val="16"/>
                <w:lang w:val="fr-FR"/>
              </w:rPr>
              <w:t>Point de l’ordre du jour</w:t>
            </w:r>
          </w:p>
        </w:tc>
        <w:tc>
          <w:tcPr>
            <w:tcW w:w="3259" w:type="dxa"/>
            <w:tcBorders>
              <w:top w:val="single" w:sz="4" w:space="0" w:color="auto"/>
              <w:bottom w:val="single" w:sz="12" w:space="0" w:color="auto"/>
            </w:tcBorders>
            <w:shd w:val="clear" w:color="auto" w:fill="auto"/>
            <w:vAlign w:val="bottom"/>
          </w:tcPr>
          <w:p w14:paraId="0913D84E" w14:textId="77777777" w:rsidR="00455C80" w:rsidRPr="00C51928" w:rsidRDefault="00455C80" w:rsidP="00C51928">
            <w:pPr>
              <w:spacing w:before="80" w:after="80" w:line="200" w:lineRule="exact"/>
              <w:ind w:right="113"/>
              <w:rPr>
                <w:i/>
                <w:sz w:val="16"/>
              </w:rPr>
            </w:pPr>
            <w:r w:rsidRPr="00C51928">
              <w:rPr>
                <w:i/>
                <w:sz w:val="16"/>
                <w:lang w:val="fr-FR"/>
              </w:rPr>
              <w:t xml:space="preserve">Intitulé </w:t>
            </w:r>
          </w:p>
        </w:tc>
      </w:tr>
      <w:tr w:rsidR="00C51928" w:rsidRPr="00C51928" w14:paraId="64DCE61B" w14:textId="77777777" w:rsidTr="00326C3E">
        <w:trPr>
          <w:trHeight w:hRule="exact" w:val="113"/>
          <w:tblHeader/>
        </w:trPr>
        <w:tc>
          <w:tcPr>
            <w:tcW w:w="2127" w:type="dxa"/>
            <w:tcBorders>
              <w:top w:val="single" w:sz="12" w:space="0" w:color="auto"/>
            </w:tcBorders>
            <w:shd w:val="clear" w:color="auto" w:fill="auto"/>
          </w:tcPr>
          <w:p w14:paraId="0BAE77A5" w14:textId="77777777" w:rsidR="00C51928" w:rsidRPr="00C51928" w:rsidRDefault="00C51928" w:rsidP="00C51928">
            <w:pPr>
              <w:spacing w:before="40" w:after="120"/>
              <w:ind w:right="113"/>
              <w:rPr>
                <w:lang w:val="fr-FR"/>
              </w:rPr>
            </w:pPr>
          </w:p>
        </w:tc>
        <w:tc>
          <w:tcPr>
            <w:tcW w:w="1984" w:type="dxa"/>
            <w:tcBorders>
              <w:top w:val="single" w:sz="12" w:space="0" w:color="auto"/>
            </w:tcBorders>
            <w:shd w:val="clear" w:color="auto" w:fill="auto"/>
          </w:tcPr>
          <w:p w14:paraId="3F30B1DC" w14:textId="77777777" w:rsidR="00C51928" w:rsidRPr="00C51928" w:rsidRDefault="00C51928" w:rsidP="00C51928">
            <w:pPr>
              <w:spacing w:before="40" w:after="120"/>
              <w:ind w:right="113"/>
              <w:rPr>
                <w:lang w:val="fr-FR"/>
              </w:rPr>
            </w:pPr>
          </w:p>
        </w:tc>
        <w:tc>
          <w:tcPr>
            <w:tcW w:w="3259" w:type="dxa"/>
            <w:tcBorders>
              <w:top w:val="single" w:sz="12" w:space="0" w:color="auto"/>
            </w:tcBorders>
            <w:shd w:val="clear" w:color="auto" w:fill="auto"/>
          </w:tcPr>
          <w:p w14:paraId="4A24123F" w14:textId="77777777" w:rsidR="00C51928" w:rsidRPr="00C51928" w:rsidRDefault="00C51928" w:rsidP="00C51928">
            <w:pPr>
              <w:spacing w:before="40" w:after="120"/>
              <w:ind w:right="113"/>
              <w:rPr>
                <w:lang w:val="fr-FR"/>
              </w:rPr>
            </w:pPr>
          </w:p>
        </w:tc>
      </w:tr>
      <w:tr w:rsidR="00326C3E" w:rsidRPr="00671BB8" w14:paraId="40C7C26F" w14:textId="77777777" w:rsidTr="00A94BBF">
        <w:tc>
          <w:tcPr>
            <w:tcW w:w="7370" w:type="dxa"/>
            <w:gridSpan w:val="3"/>
            <w:shd w:val="clear" w:color="auto" w:fill="auto"/>
          </w:tcPr>
          <w:p w14:paraId="2D58BFED" w14:textId="66FE130E" w:rsidR="00326C3E" w:rsidRPr="00671BB8" w:rsidRDefault="00326C3E" w:rsidP="00C51928">
            <w:pPr>
              <w:spacing w:before="40" w:after="120"/>
              <w:ind w:right="113"/>
              <w:rPr>
                <w:b/>
                <w:bCs/>
              </w:rPr>
            </w:pPr>
            <w:r w:rsidRPr="00671BB8">
              <w:rPr>
                <w:b/>
                <w:bCs/>
                <w:lang w:val="fr-FR"/>
              </w:rPr>
              <w:t>Mercredi 1</w:t>
            </w:r>
            <w:r w:rsidRPr="00671BB8">
              <w:rPr>
                <w:b/>
                <w:bCs/>
                <w:vertAlign w:val="superscript"/>
                <w:lang w:val="fr-FR"/>
              </w:rPr>
              <w:t>er</w:t>
            </w:r>
            <w:r w:rsidRPr="00671BB8">
              <w:rPr>
                <w:b/>
                <w:bCs/>
                <w:lang w:val="fr-FR"/>
              </w:rPr>
              <w:t> décembre</w:t>
            </w:r>
          </w:p>
        </w:tc>
      </w:tr>
      <w:tr w:rsidR="00C51928" w:rsidRPr="00C51928" w14:paraId="7C9A3603" w14:textId="77777777" w:rsidTr="00326C3E">
        <w:tc>
          <w:tcPr>
            <w:tcW w:w="2127" w:type="dxa"/>
            <w:shd w:val="clear" w:color="auto" w:fill="auto"/>
          </w:tcPr>
          <w:p w14:paraId="4A7B0646" w14:textId="29FE3EA9" w:rsidR="00455C80" w:rsidRPr="00C51928" w:rsidRDefault="00455C80" w:rsidP="00C51928">
            <w:pPr>
              <w:spacing w:before="40" w:after="120"/>
              <w:ind w:right="113"/>
            </w:pPr>
            <w:r w:rsidRPr="00C51928">
              <w:rPr>
                <w:lang w:val="fr-FR"/>
              </w:rPr>
              <w:t>10</w:t>
            </w:r>
            <w:r w:rsidR="00C51928">
              <w:rPr>
                <w:lang w:val="fr-FR"/>
              </w:rPr>
              <w:t> </w:t>
            </w:r>
            <w:r w:rsidRPr="00C51928">
              <w:rPr>
                <w:lang w:val="fr-FR"/>
              </w:rPr>
              <w:t>heures-10</w:t>
            </w:r>
            <w:r w:rsidR="00C51928">
              <w:rPr>
                <w:lang w:val="fr-FR"/>
              </w:rPr>
              <w:t> </w:t>
            </w:r>
            <w:r w:rsidRPr="00C51928">
              <w:rPr>
                <w:lang w:val="fr-FR"/>
              </w:rPr>
              <w:t>h</w:t>
            </w:r>
            <w:r w:rsidR="00C51928">
              <w:rPr>
                <w:lang w:val="fr-FR"/>
              </w:rPr>
              <w:t> </w:t>
            </w:r>
            <w:r w:rsidRPr="00C51928">
              <w:rPr>
                <w:lang w:val="fr-FR"/>
              </w:rPr>
              <w:t>15</w:t>
            </w:r>
          </w:p>
        </w:tc>
        <w:tc>
          <w:tcPr>
            <w:tcW w:w="1984" w:type="dxa"/>
            <w:shd w:val="clear" w:color="auto" w:fill="auto"/>
          </w:tcPr>
          <w:p w14:paraId="6CAC7F1F" w14:textId="77777777" w:rsidR="00455C80" w:rsidRPr="00C51928" w:rsidRDefault="00455C80" w:rsidP="00C51928">
            <w:pPr>
              <w:spacing w:before="40" w:after="120"/>
              <w:ind w:right="113"/>
            </w:pPr>
            <w:r w:rsidRPr="00C51928">
              <w:rPr>
                <w:lang w:val="fr-FR"/>
              </w:rPr>
              <w:t>1</w:t>
            </w:r>
          </w:p>
        </w:tc>
        <w:tc>
          <w:tcPr>
            <w:tcW w:w="3259" w:type="dxa"/>
            <w:shd w:val="clear" w:color="auto" w:fill="auto"/>
          </w:tcPr>
          <w:p w14:paraId="3095C458" w14:textId="77777777" w:rsidR="00455C80" w:rsidRPr="00C51928" w:rsidRDefault="00455C80" w:rsidP="00C51928">
            <w:pPr>
              <w:spacing w:before="40" w:after="120"/>
              <w:ind w:right="113"/>
              <w:rPr>
                <w:lang w:val="fr-FR"/>
              </w:rPr>
            </w:pPr>
            <w:r w:rsidRPr="00C51928">
              <w:rPr>
                <w:lang w:val="fr-FR"/>
              </w:rPr>
              <w:t>Adoption de l’ordre du jour</w:t>
            </w:r>
          </w:p>
        </w:tc>
      </w:tr>
      <w:tr w:rsidR="00C51928" w:rsidRPr="00C51928" w14:paraId="1DB4631A" w14:textId="77777777" w:rsidTr="00326C3E">
        <w:tc>
          <w:tcPr>
            <w:tcW w:w="2127" w:type="dxa"/>
            <w:shd w:val="clear" w:color="auto" w:fill="auto"/>
          </w:tcPr>
          <w:p w14:paraId="43170D52" w14:textId="5FF7E54F" w:rsidR="00455C80" w:rsidRPr="00C51928" w:rsidRDefault="00455C80" w:rsidP="00C51928">
            <w:pPr>
              <w:spacing w:before="40" w:after="120"/>
              <w:ind w:right="113"/>
            </w:pPr>
            <w:r w:rsidRPr="00C51928">
              <w:rPr>
                <w:lang w:val="fr-FR"/>
              </w:rPr>
              <w:t>10</w:t>
            </w:r>
            <w:r w:rsidR="00C51928">
              <w:rPr>
                <w:lang w:val="fr-FR"/>
              </w:rPr>
              <w:t> </w:t>
            </w:r>
            <w:r w:rsidRPr="00C51928">
              <w:rPr>
                <w:lang w:val="fr-FR"/>
              </w:rPr>
              <w:t>h</w:t>
            </w:r>
            <w:r w:rsidR="00C51928">
              <w:rPr>
                <w:lang w:val="fr-FR"/>
              </w:rPr>
              <w:t> </w:t>
            </w:r>
            <w:r w:rsidRPr="00C51928">
              <w:rPr>
                <w:lang w:val="fr-FR"/>
              </w:rPr>
              <w:t>15-11</w:t>
            </w:r>
            <w:r w:rsidR="00C51928">
              <w:rPr>
                <w:lang w:val="fr-FR"/>
              </w:rPr>
              <w:t> </w:t>
            </w:r>
            <w:r w:rsidRPr="00C51928">
              <w:rPr>
                <w:lang w:val="fr-FR"/>
              </w:rPr>
              <w:t>heures</w:t>
            </w:r>
          </w:p>
        </w:tc>
        <w:tc>
          <w:tcPr>
            <w:tcW w:w="1984" w:type="dxa"/>
            <w:shd w:val="clear" w:color="auto" w:fill="auto"/>
          </w:tcPr>
          <w:p w14:paraId="6666E2EC" w14:textId="77777777" w:rsidR="00455C80" w:rsidRPr="00C51928" w:rsidRDefault="00455C80" w:rsidP="00C51928">
            <w:pPr>
              <w:spacing w:before="40" w:after="120"/>
              <w:ind w:right="113"/>
            </w:pPr>
            <w:r w:rsidRPr="00C51928">
              <w:rPr>
                <w:lang w:val="fr-FR"/>
              </w:rPr>
              <w:t>2</w:t>
            </w:r>
          </w:p>
        </w:tc>
        <w:tc>
          <w:tcPr>
            <w:tcW w:w="3259" w:type="dxa"/>
            <w:shd w:val="clear" w:color="auto" w:fill="auto"/>
          </w:tcPr>
          <w:p w14:paraId="141C534D" w14:textId="77777777" w:rsidR="00455C80" w:rsidRPr="00C51928" w:rsidRDefault="00455C80" w:rsidP="00C51928">
            <w:pPr>
              <w:spacing w:before="40" w:after="120"/>
              <w:ind w:right="113"/>
            </w:pPr>
            <w:r w:rsidRPr="00C51928">
              <w:rPr>
                <w:lang w:val="fr-FR"/>
              </w:rPr>
              <w:t>État des ratifications</w:t>
            </w:r>
          </w:p>
        </w:tc>
      </w:tr>
      <w:tr w:rsidR="00C51928" w:rsidRPr="00C51928" w14:paraId="0D9570F2" w14:textId="77777777" w:rsidTr="00326C3E">
        <w:tc>
          <w:tcPr>
            <w:tcW w:w="2127" w:type="dxa"/>
            <w:shd w:val="clear" w:color="auto" w:fill="auto"/>
          </w:tcPr>
          <w:p w14:paraId="2C4AA3C7" w14:textId="17969E4E" w:rsidR="00455C80" w:rsidRPr="00C51928" w:rsidRDefault="00455C80" w:rsidP="00C51928">
            <w:pPr>
              <w:spacing w:before="40" w:after="120"/>
              <w:ind w:right="113"/>
            </w:pPr>
            <w:r w:rsidRPr="00C51928">
              <w:rPr>
                <w:lang w:val="fr-FR"/>
              </w:rPr>
              <w:t>11</w:t>
            </w:r>
            <w:r w:rsidR="00C51928">
              <w:rPr>
                <w:lang w:val="fr-FR"/>
              </w:rPr>
              <w:t> </w:t>
            </w:r>
            <w:r w:rsidRPr="00C51928">
              <w:rPr>
                <w:lang w:val="fr-FR"/>
              </w:rPr>
              <w:t>heures-13</w:t>
            </w:r>
            <w:r w:rsidR="00C51928">
              <w:rPr>
                <w:lang w:val="fr-FR"/>
              </w:rPr>
              <w:t> </w:t>
            </w:r>
            <w:r w:rsidRPr="00C51928">
              <w:rPr>
                <w:lang w:val="fr-FR"/>
              </w:rPr>
              <w:t>heures</w:t>
            </w:r>
          </w:p>
        </w:tc>
        <w:tc>
          <w:tcPr>
            <w:tcW w:w="1984" w:type="dxa"/>
            <w:shd w:val="clear" w:color="auto" w:fill="auto"/>
          </w:tcPr>
          <w:p w14:paraId="4679E023" w14:textId="77777777" w:rsidR="00455C80" w:rsidRPr="00C51928" w:rsidRDefault="00455C80" w:rsidP="00C51928">
            <w:pPr>
              <w:spacing w:before="40" w:after="120"/>
              <w:ind w:right="113"/>
            </w:pPr>
            <w:r w:rsidRPr="00C51928">
              <w:rPr>
                <w:lang w:val="fr-FR"/>
              </w:rPr>
              <w:t>3</w:t>
            </w:r>
          </w:p>
        </w:tc>
        <w:tc>
          <w:tcPr>
            <w:tcW w:w="3259" w:type="dxa"/>
            <w:shd w:val="clear" w:color="auto" w:fill="auto"/>
          </w:tcPr>
          <w:p w14:paraId="4C986632" w14:textId="77777777" w:rsidR="00455C80" w:rsidRPr="00C51928" w:rsidRDefault="00455C80" w:rsidP="00C51928">
            <w:pPr>
              <w:spacing w:before="40" w:after="120"/>
              <w:ind w:right="113"/>
              <w:rPr>
                <w:lang w:val="fr-FR"/>
              </w:rPr>
            </w:pPr>
            <w:r w:rsidRPr="00C51928">
              <w:rPr>
                <w:lang w:val="fr-FR"/>
              </w:rPr>
              <w:t>Application et respect des dispositions de la Convention et du Protocole</w:t>
            </w:r>
          </w:p>
        </w:tc>
      </w:tr>
      <w:tr w:rsidR="00326C3E" w:rsidRPr="00C51928" w14:paraId="00EAE360" w14:textId="77777777" w:rsidTr="00326C3E">
        <w:tc>
          <w:tcPr>
            <w:tcW w:w="2127" w:type="dxa"/>
            <w:shd w:val="clear" w:color="auto" w:fill="auto"/>
          </w:tcPr>
          <w:p w14:paraId="41780F27" w14:textId="76622690" w:rsidR="00326C3E" w:rsidRPr="00C51928" w:rsidRDefault="00326C3E" w:rsidP="00C51928">
            <w:pPr>
              <w:spacing w:before="40" w:after="120"/>
              <w:ind w:right="113"/>
              <w:rPr>
                <w:lang w:val="fr-FR"/>
              </w:rPr>
            </w:pPr>
            <w:r w:rsidRPr="00C51928">
              <w:rPr>
                <w:lang w:val="fr-FR"/>
              </w:rPr>
              <w:t>15</w:t>
            </w:r>
            <w:r>
              <w:rPr>
                <w:lang w:val="fr-FR"/>
              </w:rPr>
              <w:t> </w:t>
            </w:r>
            <w:r w:rsidRPr="00C51928">
              <w:rPr>
                <w:lang w:val="fr-FR"/>
              </w:rPr>
              <w:t>heures-18</w:t>
            </w:r>
            <w:r>
              <w:rPr>
                <w:lang w:val="fr-FR"/>
              </w:rPr>
              <w:t> </w:t>
            </w:r>
            <w:r w:rsidRPr="00C51928">
              <w:rPr>
                <w:lang w:val="fr-FR"/>
              </w:rPr>
              <w:t>heures</w:t>
            </w:r>
          </w:p>
        </w:tc>
        <w:tc>
          <w:tcPr>
            <w:tcW w:w="1984" w:type="dxa"/>
            <w:shd w:val="clear" w:color="auto" w:fill="auto"/>
          </w:tcPr>
          <w:p w14:paraId="35EA3006" w14:textId="77C7EB9B" w:rsidR="00326C3E" w:rsidRPr="00C51928" w:rsidRDefault="00326C3E" w:rsidP="00C51928">
            <w:pPr>
              <w:spacing w:before="40" w:after="120"/>
              <w:ind w:right="113"/>
              <w:rPr>
                <w:lang w:val="fr-FR"/>
              </w:rPr>
            </w:pPr>
            <w:r>
              <w:rPr>
                <w:lang w:val="fr-FR"/>
              </w:rPr>
              <w:t>4</w:t>
            </w:r>
          </w:p>
        </w:tc>
        <w:tc>
          <w:tcPr>
            <w:tcW w:w="3259" w:type="dxa"/>
            <w:shd w:val="clear" w:color="auto" w:fill="auto"/>
          </w:tcPr>
          <w:p w14:paraId="74411C62" w14:textId="5437C24A" w:rsidR="00326C3E" w:rsidRPr="00C51928" w:rsidRDefault="00326C3E" w:rsidP="00C51928">
            <w:pPr>
              <w:spacing w:before="40" w:after="120"/>
              <w:ind w:right="113"/>
              <w:rPr>
                <w:lang w:val="fr-FR"/>
              </w:rPr>
            </w:pPr>
            <w:r w:rsidRPr="00C51928">
              <w:rPr>
                <w:lang w:val="fr-FR"/>
              </w:rPr>
              <w:t>Promotion de l’application de la Convention et du Protocole</w:t>
            </w:r>
          </w:p>
        </w:tc>
      </w:tr>
      <w:tr w:rsidR="00326C3E" w:rsidRPr="00C51928" w14:paraId="284E4286" w14:textId="77777777" w:rsidTr="00326C3E">
        <w:tc>
          <w:tcPr>
            <w:tcW w:w="2127" w:type="dxa"/>
            <w:shd w:val="clear" w:color="auto" w:fill="auto"/>
          </w:tcPr>
          <w:p w14:paraId="5E17699F" w14:textId="74C2F56C" w:rsidR="00326C3E" w:rsidRPr="00C51928" w:rsidRDefault="00326C3E" w:rsidP="00C51928">
            <w:pPr>
              <w:spacing w:before="40" w:after="120"/>
              <w:ind w:right="113"/>
              <w:rPr>
                <w:lang w:val="fr-FR"/>
              </w:rPr>
            </w:pPr>
            <w:r w:rsidRPr="00C51928">
              <w:rPr>
                <w:lang w:val="fr-FR"/>
              </w:rPr>
              <w:t>15</w:t>
            </w:r>
            <w:r>
              <w:rPr>
                <w:lang w:val="fr-FR"/>
              </w:rPr>
              <w:t> </w:t>
            </w:r>
            <w:r w:rsidRPr="00C51928">
              <w:rPr>
                <w:lang w:val="fr-FR"/>
              </w:rPr>
              <w:t>heures-16</w:t>
            </w:r>
            <w:r>
              <w:rPr>
                <w:lang w:val="fr-FR"/>
              </w:rPr>
              <w:t> </w:t>
            </w:r>
            <w:r w:rsidRPr="00C51928">
              <w:rPr>
                <w:lang w:val="fr-FR"/>
              </w:rPr>
              <w:t>heures</w:t>
            </w:r>
          </w:p>
        </w:tc>
        <w:tc>
          <w:tcPr>
            <w:tcW w:w="1984" w:type="dxa"/>
            <w:shd w:val="clear" w:color="auto" w:fill="auto"/>
          </w:tcPr>
          <w:p w14:paraId="433BD0BA" w14:textId="7F1FF7BD" w:rsidR="00326C3E" w:rsidRDefault="00326C3E" w:rsidP="00C51928">
            <w:pPr>
              <w:spacing w:before="40" w:after="120"/>
              <w:ind w:right="113"/>
              <w:rPr>
                <w:lang w:val="fr-FR"/>
              </w:rPr>
            </w:pPr>
            <w:r w:rsidRPr="00C51928">
              <w:rPr>
                <w:lang w:val="fr-FR"/>
              </w:rPr>
              <w:t>4</w:t>
            </w:r>
            <w:r>
              <w:rPr>
                <w:lang w:val="fr-FR"/>
              </w:rPr>
              <w:t> </w:t>
            </w:r>
            <w:r w:rsidRPr="00C51928">
              <w:rPr>
                <w:lang w:val="fr-FR"/>
              </w:rPr>
              <w:t>a)</w:t>
            </w:r>
          </w:p>
        </w:tc>
        <w:tc>
          <w:tcPr>
            <w:tcW w:w="3259" w:type="dxa"/>
            <w:shd w:val="clear" w:color="auto" w:fill="auto"/>
          </w:tcPr>
          <w:p w14:paraId="68C352D9" w14:textId="398612C5" w:rsidR="00326C3E" w:rsidRPr="00C51928" w:rsidRDefault="00326C3E" w:rsidP="00C51928">
            <w:pPr>
              <w:spacing w:before="40" w:after="120"/>
              <w:ind w:right="113"/>
              <w:rPr>
                <w:lang w:val="fr-FR"/>
              </w:rPr>
            </w:pPr>
            <w:r w:rsidRPr="00C51928">
              <w:rPr>
                <w:lang w:val="fr-FR"/>
              </w:rPr>
              <w:t>Coopération et renforcement des capacités à l’échelle sous-régionale</w:t>
            </w:r>
          </w:p>
        </w:tc>
      </w:tr>
      <w:tr w:rsidR="00326C3E" w:rsidRPr="00C51928" w14:paraId="58249EFC" w14:textId="77777777" w:rsidTr="00326C3E">
        <w:tc>
          <w:tcPr>
            <w:tcW w:w="2127" w:type="dxa"/>
            <w:shd w:val="clear" w:color="auto" w:fill="auto"/>
          </w:tcPr>
          <w:p w14:paraId="1A5089D7" w14:textId="19F5D1F5" w:rsidR="00326C3E" w:rsidRPr="00C51928" w:rsidRDefault="00326C3E" w:rsidP="00C51928">
            <w:pPr>
              <w:spacing w:before="40" w:after="120"/>
              <w:ind w:right="113"/>
              <w:rPr>
                <w:lang w:val="fr-FR"/>
              </w:rPr>
            </w:pPr>
            <w:r w:rsidRPr="00C51928">
              <w:rPr>
                <w:lang w:val="fr-FR"/>
              </w:rPr>
              <w:t>16</w:t>
            </w:r>
            <w:r>
              <w:rPr>
                <w:lang w:val="fr-FR"/>
              </w:rPr>
              <w:t> </w:t>
            </w:r>
            <w:r w:rsidRPr="00C51928">
              <w:rPr>
                <w:lang w:val="fr-FR"/>
              </w:rPr>
              <w:t>heures-17</w:t>
            </w:r>
            <w:r>
              <w:rPr>
                <w:lang w:val="fr-FR"/>
              </w:rPr>
              <w:t> </w:t>
            </w:r>
            <w:r w:rsidRPr="00C51928">
              <w:rPr>
                <w:lang w:val="fr-FR"/>
              </w:rPr>
              <w:t>h</w:t>
            </w:r>
            <w:r>
              <w:rPr>
                <w:lang w:val="fr-FR"/>
              </w:rPr>
              <w:t> </w:t>
            </w:r>
            <w:r w:rsidRPr="00C51928">
              <w:rPr>
                <w:lang w:val="fr-FR"/>
              </w:rPr>
              <w:t>30</w:t>
            </w:r>
          </w:p>
        </w:tc>
        <w:tc>
          <w:tcPr>
            <w:tcW w:w="1984" w:type="dxa"/>
            <w:shd w:val="clear" w:color="auto" w:fill="auto"/>
          </w:tcPr>
          <w:p w14:paraId="1EC4CD48" w14:textId="3037504E" w:rsidR="00326C3E" w:rsidRPr="00C51928" w:rsidRDefault="00326C3E" w:rsidP="00C51928">
            <w:pPr>
              <w:spacing w:before="40" w:after="120"/>
              <w:ind w:right="113"/>
              <w:rPr>
                <w:lang w:val="fr-FR"/>
              </w:rPr>
            </w:pPr>
            <w:r w:rsidRPr="00C51928">
              <w:rPr>
                <w:lang w:val="fr-FR"/>
              </w:rPr>
              <w:t>4</w:t>
            </w:r>
            <w:r>
              <w:rPr>
                <w:lang w:val="fr-FR"/>
              </w:rPr>
              <w:t> </w:t>
            </w:r>
            <w:r w:rsidRPr="00C51928">
              <w:rPr>
                <w:lang w:val="fr-FR"/>
              </w:rPr>
              <w:t>b)</w:t>
            </w:r>
          </w:p>
        </w:tc>
        <w:tc>
          <w:tcPr>
            <w:tcW w:w="3259" w:type="dxa"/>
            <w:shd w:val="clear" w:color="auto" w:fill="auto"/>
          </w:tcPr>
          <w:p w14:paraId="7F040444" w14:textId="387EA0CE" w:rsidR="00326C3E" w:rsidRPr="00C51928" w:rsidRDefault="00326C3E" w:rsidP="00C51928">
            <w:pPr>
              <w:spacing w:before="40" w:after="120"/>
              <w:ind w:right="113"/>
              <w:rPr>
                <w:lang w:val="fr-FR"/>
              </w:rPr>
            </w:pPr>
            <w:r w:rsidRPr="00C51928">
              <w:rPr>
                <w:lang w:val="fr-FR"/>
              </w:rPr>
              <w:t>Renforcement des capacités</w:t>
            </w:r>
          </w:p>
        </w:tc>
      </w:tr>
      <w:tr w:rsidR="00C51928" w:rsidRPr="00C51928" w14:paraId="48F3326A" w14:textId="77777777" w:rsidTr="00326C3E">
        <w:tc>
          <w:tcPr>
            <w:tcW w:w="2127" w:type="dxa"/>
            <w:shd w:val="clear" w:color="auto" w:fill="auto"/>
          </w:tcPr>
          <w:p w14:paraId="73B1D062" w14:textId="6E50BD43" w:rsidR="00455C80" w:rsidRPr="00C51928" w:rsidRDefault="00455C80" w:rsidP="00C51928">
            <w:pPr>
              <w:spacing w:before="40" w:after="120"/>
              <w:ind w:right="113"/>
            </w:pPr>
            <w:r w:rsidRPr="00C51928">
              <w:rPr>
                <w:lang w:val="fr-FR"/>
              </w:rPr>
              <w:t>17</w:t>
            </w:r>
            <w:r w:rsidR="00C51928">
              <w:rPr>
                <w:lang w:val="fr-FR"/>
              </w:rPr>
              <w:t> </w:t>
            </w:r>
            <w:r w:rsidRPr="00C51928">
              <w:rPr>
                <w:lang w:val="fr-FR"/>
              </w:rPr>
              <w:t>h</w:t>
            </w:r>
            <w:r w:rsidR="00C51928">
              <w:rPr>
                <w:lang w:val="fr-FR"/>
              </w:rPr>
              <w:t> </w:t>
            </w:r>
            <w:r w:rsidRPr="00C51928">
              <w:rPr>
                <w:lang w:val="fr-FR"/>
              </w:rPr>
              <w:t>30-18</w:t>
            </w:r>
            <w:r w:rsidR="00C51928">
              <w:rPr>
                <w:lang w:val="fr-FR"/>
              </w:rPr>
              <w:t> </w:t>
            </w:r>
            <w:r w:rsidRPr="00C51928">
              <w:rPr>
                <w:lang w:val="fr-FR"/>
              </w:rPr>
              <w:t>heures</w:t>
            </w:r>
          </w:p>
        </w:tc>
        <w:tc>
          <w:tcPr>
            <w:tcW w:w="1984" w:type="dxa"/>
            <w:shd w:val="clear" w:color="auto" w:fill="auto"/>
          </w:tcPr>
          <w:p w14:paraId="0164D18A" w14:textId="446A2FF7" w:rsidR="00455C80" w:rsidRPr="00C51928" w:rsidRDefault="00455C80" w:rsidP="00C51928">
            <w:pPr>
              <w:spacing w:before="40" w:after="120"/>
              <w:ind w:right="113"/>
            </w:pPr>
            <w:r w:rsidRPr="00C51928">
              <w:rPr>
                <w:lang w:val="fr-FR"/>
              </w:rPr>
              <w:t>4</w:t>
            </w:r>
            <w:r w:rsidR="00C51928">
              <w:rPr>
                <w:lang w:val="fr-FR"/>
              </w:rPr>
              <w:t> </w:t>
            </w:r>
            <w:r w:rsidRPr="00C51928">
              <w:rPr>
                <w:lang w:val="fr-FR"/>
              </w:rPr>
              <w:t>c)</w:t>
            </w:r>
          </w:p>
        </w:tc>
        <w:tc>
          <w:tcPr>
            <w:tcW w:w="3259" w:type="dxa"/>
            <w:shd w:val="clear" w:color="auto" w:fill="auto"/>
          </w:tcPr>
          <w:p w14:paraId="416E8BBA" w14:textId="77777777" w:rsidR="00455C80" w:rsidRPr="00C51928" w:rsidRDefault="00455C80" w:rsidP="00C51928">
            <w:pPr>
              <w:spacing w:before="40" w:after="120"/>
              <w:ind w:right="113"/>
              <w:rPr>
                <w:lang w:val="fr-FR"/>
              </w:rPr>
            </w:pPr>
            <w:r w:rsidRPr="00C51928">
              <w:rPr>
                <w:lang w:val="fr-FR"/>
              </w:rPr>
              <w:t>Échange de bonnes pratiques</w:t>
            </w:r>
          </w:p>
        </w:tc>
      </w:tr>
      <w:tr w:rsidR="00326C3E" w:rsidRPr="00671BB8" w14:paraId="11F44DE7" w14:textId="77777777" w:rsidTr="00F2485B">
        <w:tc>
          <w:tcPr>
            <w:tcW w:w="7370" w:type="dxa"/>
            <w:gridSpan w:val="3"/>
            <w:shd w:val="clear" w:color="auto" w:fill="auto"/>
          </w:tcPr>
          <w:p w14:paraId="29B14D6E" w14:textId="13C0B0DA" w:rsidR="00326C3E" w:rsidRPr="00671BB8" w:rsidRDefault="00326C3E" w:rsidP="00326C3E">
            <w:pPr>
              <w:keepNext/>
              <w:keepLines/>
              <w:spacing w:before="40" w:after="120"/>
              <w:ind w:right="113"/>
              <w:rPr>
                <w:b/>
                <w:bCs/>
              </w:rPr>
            </w:pPr>
            <w:r w:rsidRPr="00671BB8">
              <w:rPr>
                <w:b/>
                <w:bCs/>
                <w:lang w:val="fr-FR"/>
              </w:rPr>
              <w:t>Jeudi 2 décembre</w:t>
            </w:r>
          </w:p>
        </w:tc>
      </w:tr>
      <w:tr w:rsidR="00C51928" w:rsidRPr="00C51928" w14:paraId="3D1306A2" w14:textId="77777777" w:rsidTr="00326C3E">
        <w:tc>
          <w:tcPr>
            <w:tcW w:w="2127" w:type="dxa"/>
            <w:shd w:val="clear" w:color="auto" w:fill="auto"/>
          </w:tcPr>
          <w:p w14:paraId="645D61B2" w14:textId="189F0F27" w:rsidR="00455C80" w:rsidRPr="00C51928" w:rsidRDefault="00455C80" w:rsidP="00C51928">
            <w:pPr>
              <w:spacing w:before="40" w:after="120"/>
              <w:ind w:right="113"/>
            </w:pPr>
            <w:r w:rsidRPr="00C51928">
              <w:rPr>
                <w:lang w:val="fr-FR"/>
              </w:rPr>
              <w:t>10</w:t>
            </w:r>
            <w:r w:rsidR="00C51928">
              <w:rPr>
                <w:lang w:val="fr-FR"/>
              </w:rPr>
              <w:t> </w:t>
            </w:r>
            <w:r w:rsidRPr="00C51928">
              <w:rPr>
                <w:lang w:val="fr-FR"/>
              </w:rPr>
              <w:t>heures</w:t>
            </w:r>
            <w:r w:rsidR="00C51928">
              <w:rPr>
                <w:lang w:val="fr-FR"/>
              </w:rPr>
              <w:t>-</w:t>
            </w:r>
            <w:r w:rsidRPr="00C51928">
              <w:rPr>
                <w:lang w:val="fr-FR"/>
              </w:rPr>
              <w:t>13</w:t>
            </w:r>
            <w:r w:rsidR="00C51928">
              <w:rPr>
                <w:lang w:val="fr-FR"/>
              </w:rPr>
              <w:t> </w:t>
            </w:r>
            <w:r w:rsidRPr="00C51928">
              <w:rPr>
                <w:lang w:val="fr-FR"/>
              </w:rPr>
              <w:t>heures</w:t>
            </w:r>
          </w:p>
        </w:tc>
        <w:tc>
          <w:tcPr>
            <w:tcW w:w="1984" w:type="dxa"/>
            <w:shd w:val="clear" w:color="auto" w:fill="auto"/>
          </w:tcPr>
          <w:p w14:paraId="6D79CE24" w14:textId="77777777" w:rsidR="00455C80" w:rsidRPr="00C51928" w:rsidRDefault="00455C80" w:rsidP="00C51928">
            <w:pPr>
              <w:spacing w:before="40" w:after="120"/>
              <w:ind w:right="113"/>
            </w:pPr>
            <w:r w:rsidRPr="00C51928">
              <w:rPr>
                <w:lang w:val="fr-FR"/>
              </w:rPr>
              <w:t>5</w:t>
            </w:r>
          </w:p>
        </w:tc>
        <w:tc>
          <w:tcPr>
            <w:tcW w:w="3259" w:type="dxa"/>
            <w:shd w:val="clear" w:color="auto" w:fill="auto"/>
          </w:tcPr>
          <w:p w14:paraId="74E62B2B" w14:textId="77777777" w:rsidR="00455C80" w:rsidRPr="00C51928" w:rsidRDefault="00455C80" w:rsidP="00C51928">
            <w:pPr>
              <w:spacing w:before="40" w:after="120"/>
              <w:ind w:right="113"/>
              <w:rPr>
                <w:lang w:val="fr-FR"/>
              </w:rPr>
            </w:pPr>
            <w:r w:rsidRPr="00C51928">
              <w:rPr>
                <w:lang w:val="fr-FR"/>
              </w:rPr>
              <w:t xml:space="preserve">Séminaire sur les infrastructures durables </w:t>
            </w:r>
          </w:p>
        </w:tc>
      </w:tr>
      <w:tr w:rsidR="00C51928" w:rsidRPr="00C51928" w14:paraId="7263D60D" w14:textId="77777777" w:rsidTr="00326C3E">
        <w:tc>
          <w:tcPr>
            <w:tcW w:w="2127" w:type="dxa"/>
            <w:shd w:val="clear" w:color="auto" w:fill="auto"/>
          </w:tcPr>
          <w:p w14:paraId="1DF251FD" w14:textId="535182B5" w:rsidR="00455C80" w:rsidRPr="00C51928" w:rsidRDefault="00455C80" w:rsidP="00C51928">
            <w:pPr>
              <w:spacing w:before="40" w:after="120"/>
              <w:ind w:right="113"/>
            </w:pPr>
            <w:r w:rsidRPr="00C51928">
              <w:rPr>
                <w:lang w:val="fr-FR"/>
              </w:rPr>
              <w:t>15</w:t>
            </w:r>
            <w:r w:rsidR="00C51928">
              <w:rPr>
                <w:lang w:val="fr-FR"/>
              </w:rPr>
              <w:t> </w:t>
            </w:r>
            <w:r w:rsidRPr="00C51928">
              <w:rPr>
                <w:lang w:val="fr-FR"/>
              </w:rPr>
              <w:t>heures-18</w:t>
            </w:r>
            <w:r w:rsidR="00C51928">
              <w:rPr>
                <w:lang w:val="fr-FR"/>
              </w:rPr>
              <w:t> </w:t>
            </w:r>
            <w:r w:rsidRPr="00C51928">
              <w:rPr>
                <w:lang w:val="fr-FR"/>
              </w:rPr>
              <w:t>heures</w:t>
            </w:r>
          </w:p>
        </w:tc>
        <w:tc>
          <w:tcPr>
            <w:tcW w:w="1984" w:type="dxa"/>
            <w:shd w:val="clear" w:color="auto" w:fill="auto"/>
          </w:tcPr>
          <w:p w14:paraId="74402848" w14:textId="77777777" w:rsidR="00455C80" w:rsidRPr="00C51928" w:rsidRDefault="00455C80" w:rsidP="00C51928">
            <w:pPr>
              <w:spacing w:before="40" w:after="120"/>
              <w:ind w:right="113"/>
            </w:pPr>
            <w:r w:rsidRPr="00C51928">
              <w:rPr>
                <w:lang w:val="fr-FR"/>
              </w:rPr>
              <w:t>5</w:t>
            </w:r>
          </w:p>
        </w:tc>
        <w:tc>
          <w:tcPr>
            <w:tcW w:w="3259" w:type="dxa"/>
            <w:shd w:val="clear" w:color="auto" w:fill="auto"/>
          </w:tcPr>
          <w:p w14:paraId="5C563609" w14:textId="77777777" w:rsidR="00455C80" w:rsidRPr="00C51928" w:rsidRDefault="00455C80" w:rsidP="00C51928">
            <w:pPr>
              <w:spacing w:before="40" w:after="120"/>
              <w:ind w:right="113"/>
              <w:rPr>
                <w:lang w:val="fr-FR"/>
              </w:rPr>
            </w:pPr>
            <w:r w:rsidRPr="00C51928">
              <w:rPr>
                <w:lang w:val="fr-FR"/>
              </w:rPr>
              <w:t>Séminaire sur les infrastructures durables (</w:t>
            </w:r>
            <w:r w:rsidRPr="00C51928">
              <w:rPr>
                <w:i/>
                <w:iCs/>
                <w:lang w:val="fr-FR"/>
              </w:rPr>
              <w:t>suite</w:t>
            </w:r>
            <w:r w:rsidRPr="00C51928">
              <w:rPr>
                <w:lang w:val="fr-FR"/>
              </w:rPr>
              <w:t>)</w:t>
            </w:r>
          </w:p>
        </w:tc>
      </w:tr>
      <w:tr w:rsidR="00326C3E" w:rsidRPr="00F30EAB" w14:paraId="33EEB0C8" w14:textId="77777777" w:rsidTr="008E7726">
        <w:tc>
          <w:tcPr>
            <w:tcW w:w="7370" w:type="dxa"/>
            <w:gridSpan w:val="3"/>
            <w:shd w:val="clear" w:color="auto" w:fill="auto"/>
          </w:tcPr>
          <w:p w14:paraId="113EDE9C" w14:textId="32BF25AF" w:rsidR="00326C3E" w:rsidRPr="00F30EAB" w:rsidRDefault="00326C3E" w:rsidP="00C51928">
            <w:pPr>
              <w:spacing w:before="40" w:after="120"/>
              <w:ind w:right="113"/>
              <w:rPr>
                <w:b/>
                <w:bCs/>
              </w:rPr>
            </w:pPr>
            <w:r w:rsidRPr="00F30EAB">
              <w:rPr>
                <w:b/>
                <w:bCs/>
                <w:lang w:val="fr-FR"/>
              </w:rPr>
              <w:t>Vendredi 3 décembre</w:t>
            </w:r>
          </w:p>
        </w:tc>
      </w:tr>
      <w:tr w:rsidR="00C51928" w:rsidRPr="00C51928" w14:paraId="3E566899" w14:textId="77777777" w:rsidTr="00326C3E">
        <w:tc>
          <w:tcPr>
            <w:tcW w:w="2127" w:type="dxa"/>
            <w:shd w:val="clear" w:color="auto" w:fill="auto"/>
          </w:tcPr>
          <w:p w14:paraId="6700C5A4" w14:textId="55E667F9" w:rsidR="00455C80" w:rsidRPr="00C51928" w:rsidRDefault="00455C80" w:rsidP="00C51928">
            <w:pPr>
              <w:spacing w:before="40" w:after="120"/>
              <w:ind w:right="113"/>
            </w:pPr>
            <w:r w:rsidRPr="00C51928">
              <w:rPr>
                <w:lang w:val="fr-FR"/>
              </w:rPr>
              <w:t>10</w:t>
            </w:r>
            <w:r w:rsidR="00C51928">
              <w:rPr>
                <w:lang w:val="fr-FR"/>
              </w:rPr>
              <w:t> </w:t>
            </w:r>
            <w:r w:rsidRPr="00C51928">
              <w:rPr>
                <w:lang w:val="fr-FR"/>
              </w:rPr>
              <w:t>heures-12</w:t>
            </w:r>
            <w:r w:rsidR="00C51928">
              <w:rPr>
                <w:lang w:val="fr-FR"/>
              </w:rPr>
              <w:t> </w:t>
            </w:r>
            <w:r w:rsidRPr="00C51928">
              <w:rPr>
                <w:lang w:val="fr-FR"/>
              </w:rPr>
              <w:t>heures</w:t>
            </w:r>
          </w:p>
        </w:tc>
        <w:tc>
          <w:tcPr>
            <w:tcW w:w="1984" w:type="dxa"/>
            <w:shd w:val="clear" w:color="auto" w:fill="auto"/>
          </w:tcPr>
          <w:p w14:paraId="23AB0E61" w14:textId="77777777" w:rsidR="00455C80" w:rsidRPr="00C51928" w:rsidRDefault="00455C80" w:rsidP="00C51928">
            <w:pPr>
              <w:spacing w:before="40" w:after="120"/>
              <w:ind w:right="113"/>
            </w:pPr>
            <w:r w:rsidRPr="00C51928">
              <w:rPr>
                <w:lang w:val="fr-FR"/>
              </w:rPr>
              <w:t>6</w:t>
            </w:r>
          </w:p>
        </w:tc>
        <w:tc>
          <w:tcPr>
            <w:tcW w:w="3259" w:type="dxa"/>
            <w:shd w:val="clear" w:color="auto" w:fill="auto"/>
          </w:tcPr>
          <w:p w14:paraId="745364FE" w14:textId="77777777" w:rsidR="00455C80" w:rsidRPr="00C51928" w:rsidRDefault="00455C80" w:rsidP="00C51928">
            <w:pPr>
              <w:spacing w:before="40" w:after="120"/>
              <w:ind w:right="113"/>
            </w:pPr>
            <w:r w:rsidRPr="00C51928">
              <w:rPr>
                <w:lang w:val="fr-FR"/>
              </w:rPr>
              <w:t>Dispositions financières</w:t>
            </w:r>
          </w:p>
        </w:tc>
      </w:tr>
      <w:tr w:rsidR="00C51928" w:rsidRPr="00C51928" w14:paraId="76B051FF" w14:textId="77777777" w:rsidTr="00326C3E">
        <w:tc>
          <w:tcPr>
            <w:tcW w:w="2127" w:type="dxa"/>
            <w:shd w:val="clear" w:color="auto" w:fill="auto"/>
          </w:tcPr>
          <w:p w14:paraId="13F78708" w14:textId="00CA91C6" w:rsidR="00455C80" w:rsidRPr="00C51928" w:rsidRDefault="00455C80" w:rsidP="00C51928">
            <w:pPr>
              <w:spacing w:before="40" w:after="120"/>
              <w:ind w:right="113"/>
            </w:pPr>
            <w:r w:rsidRPr="00C51928">
              <w:rPr>
                <w:lang w:val="fr-FR"/>
              </w:rPr>
              <w:t>12</w:t>
            </w:r>
            <w:r w:rsidR="00C51928">
              <w:rPr>
                <w:lang w:val="fr-FR"/>
              </w:rPr>
              <w:t> </w:t>
            </w:r>
            <w:r w:rsidRPr="00C51928">
              <w:rPr>
                <w:lang w:val="fr-FR"/>
              </w:rPr>
              <w:t>heures-13</w:t>
            </w:r>
            <w:r w:rsidR="00C51928">
              <w:rPr>
                <w:lang w:val="fr-FR"/>
              </w:rPr>
              <w:t> </w:t>
            </w:r>
            <w:r w:rsidRPr="00C51928">
              <w:rPr>
                <w:lang w:val="fr-FR"/>
              </w:rPr>
              <w:t>heures</w:t>
            </w:r>
          </w:p>
        </w:tc>
        <w:tc>
          <w:tcPr>
            <w:tcW w:w="1984" w:type="dxa"/>
            <w:shd w:val="clear" w:color="auto" w:fill="auto"/>
          </w:tcPr>
          <w:p w14:paraId="1A040265" w14:textId="77777777" w:rsidR="00455C80" w:rsidRPr="00C51928" w:rsidRDefault="00455C80" w:rsidP="00C51928">
            <w:pPr>
              <w:spacing w:before="40" w:after="120"/>
              <w:ind w:right="113"/>
            </w:pPr>
            <w:r w:rsidRPr="00C51928">
              <w:rPr>
                <w:lang w:val="fr-FR"/>
              </w:rPr>
              <w:t>7</w:t>
            </w:r>
          </w:p>
        </w:tc>
        <w:tc>
          <w:tcPr>
            <w:tcW w:w="3259" w:type="dxa"/>
            <w:shd w:val="clear" w:color="auto" w:fill="auto"/>
          </w:tcPr>
          <w:p w14:paraId="26DC90EB" w14:textId="5159A7C2" w:rsidR="00455C80" w:rsidRPr="00C51928" w:rsidRDefault="00455C80" w:rsidP="00C51928">
            <w:pPr>
              <w:spacing w:before="40" w:after="120"/>
              <w:ind w:right="113"/>
              <w:rPr>
                <w:lang w:val="fr-FR"/>
              </w:rPr>
            </w:pPr>
            <w:r w:rsidRPr="00C51928">
              <w:rPr>
                <w:lang w:val="fr-FR"/>
              </w:rPr>
              <w:t>Gestion, coordination et visibilité des</w:t>
            </w:r>
            <w:r w:rsidR="00C51928">
              <w:rPr>
                <w:lang w:val="fr-FR"/>
              </w:rPr>
              <w:t> </w:t>
            </w:r>
            <w:r w:rsidRPr="00C51928">
              <w:rPr>
                <w:lang w:val="fr-FR"/>
              </w:rPr>
              <w:t>activités intersessions</w:t>
            </w:r>
          </w:p>
        </w:tc>
      </w:tr>
      <w:tr w:rsidR="00C51928" w:rsidRPr="00C51928" w14:paraId="7BEC07C4" w14:textId="77777777" w:rsidTr="00326C3E">
        <w:tc>
          <w:tcPr>
            <w:tcW w:w="2127" w:type="dxa"/>
            <w:shd w:val="clear" w:color="auto" w:fill="auto"/>
          </w:tcPr>
          <w:p w14:paraId="6546A08A" w14:textId="2813EE02" w:rsidR="00455C80" w:rsidRPr="00C51928" w:rsidRDefault="00455C80" w:rsidP="00C51928">
            <w:pPr>
              <w:spacing w:before="40" w:after="120"/>
              <w:ind w:right="113"/>
            </w:pPr>
            <w:r w:rsidRPr="00C51928">
              <w:rPr>
                <w:lang w:val="fr-FR"/>
              </w:rPr>
              <w:t>15</w:t>
            </w:r>
            <w:r w:rsidR="00C51928">
              <w:rPr>
                <w:lang w:val="fr-FR"/>
              </w:rPr>
              <w:t> </w:t>
            </w:r>
            <w:r w:rsidRPr="00C51928">
              <w:rPr>
                <w:lang w:val="fr-FR"/>
              </w:rPr>
              <w:t>heures-15</w:t>
            </w:r>
            <w:r w:rsidR="00C51928">
              <w:rPr>
                <w:lang w:val="fr-FR"/>
              </w:rPr>
              <w:t> </w:t>
            </w:r>
            <w:r w:rsidRPr="00C51928">
              <w:rPr>
                <w:lang w:val="fr-FR"/>
              </w:rPr>
              <w:t>h</w:t>
            </w:r>
            <w:r w:rsidR="00C51928">
              <w:rPr>
                <w:lang w:val="fr-FR"/>
              </w:rPr>
              <w:t> </w:t>
            </w:r>
            <w:r w:rsidRPr="00C51928">
              <w:rPr>
                <w:lang w:val="fr-FR"/>
              </w:rPr>
              <w:t>30</w:t>
            </w:r>
          </w:p>
        </w:tc>
        <w:tc>
          <w:tcPr>
            <w:tcW w:w="1984" w:type="dxa"/>
            <w:shd w:val="clear" w:color="auto" w:fill="auto"/>
          </w:tcPr>
          <w:p w14:paraId="6189C68A" w14:textId="77777777" w:rsidR="00455C80" w:rsidRPr="00C51928" w:rsidRDefault="00455C80" w:rsidP="00C51928">
            <w:pPr>
              <w:spacing w:before="40" w:after="120"/>
              <w:ind w:right="113"/>
            </w:pPr>
            <w:r w:rsidRPr="00C51928">
              <w:rPr>
                <w:lang w:val="fr-FR"/>
              </w:rPr>
              <w:t>8</w:t>
            </w:r>
          </w:p>
        </w:tc>
        <w:tc>
          <w:tcPr>
            <w:tcW w:w="3259" w:type="dxa"/>
            <w:shd w:val="clear" w:color="auto" w:fill="auto"/>
          </w:tcPr>
          <w:p w14:paraId="7D92985C" w14:textId="77777777" w:rsidR="00455C80" w:rsidRPr="00C51928" w:rsidRDefault="00455C80" w:rsidP="00C51928">
            <w:pPr>
              <w:spacing w:before="40" w:after="120"/>
              <w:ind w:right="113"/>
              <w:rPr>
                <w:lang w:val="fr-FR"/>
              </w:rPr>
            </w:pPr>
            <w:r w:rsidRPr="00C51928">
              <w:rPr>
                <w:lang w:val="fr-FR"/>
              </w:rPr>
              <w:t xml:space="preserve">Contributions à des processus internationaux connexes </w:t>
            </w:r>
          </w:p>
        </w:tc>
      </w:tr>
      <w:tr w:rsidR="00C51928" w:rsidRPr="00C51928" w14:paraId="55C0B8AC" w14:textId="77777777" w:rsidTr="00326C3E">
        <w:tc>
          <w:tcPr>
            <w:tcW w:w="2127" w:type="dxa"/>
            <w:shd w:val="clear" w:color="auto" w:fill="auto"/>
          </w:tcPr>
          <w:p w14:paraId="28F2DE45" w14:textId="7AAE51EE" w:rsidR="00455C80" w:rsidRPr="00C51928" w:rsidRDefault="00455C80" w:rsidP="00C51928">
            <w:pPr>
              <w:spacing w:before="40" w:after="120"/>
              <w:ind w:right="113"/>
            </w:pPr>
            <w:r w:rsidRPr="00C51928">
              <w:rPr>
                <w:lang w:val="fr-FR"/>
              </w:rPr>
              <w:t>15</w:t>
            </w:r>
            <w:r w:rsidR="00C51928">
              <w:rPr>
                <w:lang w:val="fr-FR"/>
              </w:rPr>
              <w:t> </w:t>
            </w:r>
            <w:r w:rsidRPr="00C51928">
              <w:rPr>
                <w:lang w:val="fr-FR"/>
              </w:rPr>
              <w:t>h</w:t>
            </w:r>
            <w:r w:rsidR="00C51928">
              <w:rPr>
                <w:lang w:val="fr-FR"/>
              </w:rPr>
              <w:t> </w:t>
            </w:r>
            <w:r w:rsidRPr="00C51928">
              <w:rPr>
                <w:lang w:val="fr-FR"/>
              </w:rPr>
              <w:t>30-16</w:t>
            </w:r>
            <w:r w:rsidR="00C51928">
              <w:rPr>
                <w:lang w:val="fr-FR"/>
              </w:rPr>
              <w:t> </w:t>
            </w:r>
            <w:r w:rsidRPr="00C51928">
              <w:rPr>
                <w:lang w:val="fr-FR"/>
              </w:rPr>
              <w:t>heures</w:t>
            </w:r>
          </w:p>
        </w:tc>
        <w:tc>
          <w:tcPr>
            <w:tcW w:w="1984" w:type="dxa"/>
            <w:shd w:val="clear" w:color="auto" w:fill="auto"/>
          </w:tcPr>
          <w:p w14:paraId="0845BE7C" w14:textId="77777777" w:rsidR="00455C80" w:rsidRPr="00C51928" w:rsidRDefault="00455C80" w:rsidP="00C51928">
            <w:pPr>
              <w:spacing w:before="40" w:after="120"/>
              <w:ind w:right="113"/>
            </w:pPr>
            <w:r w:rsidRPr="00C51928">
              <w:rPr>
                <w:lang w:val="fr-FR"/>
              </w:rPr>
              <w:t>9</w:t>
            </w:r>
          </w:p>
        </w:tc>
        <w:tc>
          <w:tcPr>
            <w:tcW w:w="3259" w:type="dxa"/>
            <w:shd w:val="clear" w:color="auto" w:fill="auto"/>
          </w:tcPr>
          <w:p w14:paraId="76A93E1C" w14:textId="7785B0CA" w:rsidR="00455C80" w:rsidRPr="00C51928" w:rsidRDefault="00455C80" w:rsidP="00C51928">
            <w:pPr>
              <w:spacing w:before="40" w:after="120"/>
              <w:ind w:right="113"/>
              <w:rPr>
                <w:lang w:val="fr-FR"/>
              </w:rPr>
            </w:pPr>
            <w:r w:rsidRPr="00C51928">
              <w:rPr>
                <w:lang w:val="fr-FR"/>
              </w:rPr>
              <w:t>Préparatifs en vue des prochaines sessions des Réunions des Parties</w:t>
            </w:r>
          </w:p>
        </w:tc>
      </w:tr>
      <w:tr w:rsidR="00C51928" w:rsidRPr="00C51928" w14:paraId="06A922C1" w14:textId="77777777" w:rsidTr="00326C3E">
        <w:tc>
          <w:tcPr>
            <w:tcW w:w="2127" w:type="dxa"/>
            <w:shd w:val="clear" w:color="auto" w:fill="auto"/>
          </w:tcPr>
          <w:p w14:paraId="5D798C1A" w14:textId="071926F8" w:rsidR="00455C80" w:rsidRPr="00C51928" w:rsidRDefault="00455C80" w:rsidP="00C51928">
            <w:pPr>
              <w:spacing w:before="40" w:after="120"/>
              <w:ind w:right="113"/>
            </w:pPr>
            <w:r w:rsidRPr="00C51928">
              <w:rPr>
                <w:lang w:val="fr-FR"/>
              </w:rPr>
              <w:t>16</w:t>
            </w:r>
            <w:r w:rsidR="00C51928">
              <w:rPr>
                <w:lang w:val="fr-FR"/>
              </w:rPr>
              <w:t> </w:t>
            </w:r>
            <w:r w:rsidRPr="00C51928">
              <w:rPr>
                <w:lang w:val="fr-FR"/>
              </w:rPr>
              <w:t>heures-16</w:t>
            </w:r>
            <w:r w:rsidR="00C51928">
              <w:rPr>
                <w:lang w:val="fr-FR"/>
              </w:rPr>
              <w:t> </w:t>
            </w:r>
            <w:r w:rsidRPr="00C51928">
              <w:rPr>
                <w:lang w:val="fr-FR"/>
              </w:rPr>
              <w:t>h</w:t>
            </w:r>
            <w:r w:rsidR="00C51928">
              <w:rPr>
                <w:lang w:val="fr-FR"/>
              </w:rPr>
              <w:t> </w:t>
            </w:r>
            <w:r w:rsidRPr="00C51928">
              <w:rPr>
                <w:lang w:val="fr-FR"/>
              </w:rPr>
              <w:t>30</w:t>
            </w:r>
          </w:p>
        </w:tc>
        <w:tc>
          <w:tcPr>
            <w:tcW w:w="1984" w:type="dxa"/>
            <w:shd w:val="clear" w:color="auto" w:fill="auto"/>
          </w:tcPr>
          <w:p w14:paraId="1B00B7AF" w14:textId="77777777" w:rsidR="00455C80" w:rsidRPr="00C51928" w:rsidRDefault="00455C80" w:rsidP="00C51928">
            <w:pPr>
              <w:spacing w:before="40" w:after="120"/>
              <w:ind w:right="113"/>
            </w:pPr>
            <w:r w:rsidRPr="00C51928">
              <w:rPr>
                <w:lang w:val="fr-FR"/>
              </w:rPr>
              <w:t>10</w:t>
            </w:r>
          </w:p>
        </w:tc>
        <w:tc>
          <w:tcPr>
            <w:tcW w:w="3259" w:type="dxa"/>
            <w:shd w:val="clear" w:color="auto" w:fill="auto"/>
          </w:tcPr>
          <w:p w14:paraId="0593802E" w14:textId="77777777" w:rsidR="00455C80" w:rsidRPr="00C51928" w:rsidRDefault="00455C80" w:rsidP="00C51928">
            <w:pPr>
              <w:spacing w:before="40" w:after="120"/>
              <w:ind w:right="113"/>
            </w:pPr>
            <w:r w:rsidRPr="00C51928">
              <w:rPr>
                <w:lang w:val="fr-FR"/>
              </w:rPr>
              <w:t>Questions diverses</w:t>
            </w:r>
          </w:p>
        </w:tc>
      </w:tr>
      <w:tr w:rsidR="00C51928" w:rsidRPr="00C51928" w14:paraId="5DB2FCEA" w14:textId="77777777" w:rsidTr="00326C3E">
        <w:tc>
          <w:tcPr>
            <w:tcW w:w="2127" w:type="dxa"/>
            <w:tcBorders>
              <w:bottom w:val="single" w:sz="12" w:space="0" w:color="auto"/>
            </w:tcBorders>
            <w:shd w:val="clear" w:color="auto" w:fill="auto"/>
          </w:tcPr>
          <w:p w14:paraId="21A708E0" w14:textId="52A73FDD" w:rsidR="00455C80" w:rsidRPr="00C51928" w:rsidRDefault="00455C80" w:rsidP="00C51928">
            <w:pPr>
              <w:spacing w:before="40" w:after="120"/>
              <w:ind w:right="113"/>
            </w:pPr>
            <w:r w:rsidRPr="00C51928">
              <w:rPr>
                <w:lang w:val="fr-FR"/>
              </w:rPr>
              <w:t>16</w:t>
            </w:r>
            <w:r w:rsidR="00C51928">
              <w:rPr>
                <w:lang w:val="fr-FR"/>
              </w:rPr>
              <w:t> </w:t>
            </w:r>
            <w:r w:rsidRPr="00C51928">
              <w:rPr>
                <w:lang w:val="fr-FR"/>
              </w:rPr>
              <w:t>h</w:t>
            </w:r>
            <w:r w:rsidR="00C51928">
              <w:rPr>
                <w:lang w:val="fr-FR"/>
              </w:rPr>
              <w:t> </w:t>
            </w:r>
            <w:r w:rsidRPr="00C51928">
              <w:rPr>
                <w:lang w:val="fr-FR"/>
              </w:rPr>
              <w:t>30-18</w:t>
            </w:r>
            <w:r w:rsidR="00C51928">
              <w:rPr>
                <w:lang w:val="fr-FR"/>
              </w:rPr>
              <w:t> </w:t>
            </w:r>
            <w:r w:rsidRPr="00C51928">
              <w:rPr>
                <w:lang w:val="fr-FR"/>
              </w:rPr>
              <w:t>heures</w:t>
            </w:r>
          </w:p>
        </w:tc>
        <w:tc>
          <w:tcPr>
            <w:tcW w:w="1984" w:type="dxa"/>
            <w:tcBorders>
              <w:bottom w:val="single" w:sz="12" w:space="0" w:color="auto"/>
            </w:tcBorders>
            <w:shd w:val="clear" w:color="auto" w:fill="auto"/>
          </w:tcPr>
          <w:p w14:paraId="200C4D26" w14:textId="77777777" w:rsidR="00455C80" w:rsidRPr="00C51928" w:rsidRDefault="00455C80" w:rsidP="00C51928">
            <w:pPr>
              <w:spacing w:before="40" w:after="120"/>
              <w:ind w:right="113"/>
            </w:pPr>
            <w:r w:rsidRPr="00C51928">
              <w:rPr>
                <w:lang w:val="fr-FR"/>
              </w:rPr>
              <w:t>11</w:t>
            </w:r>
          </w:p>
        </w:tc>
        <w:tc>
          <w:tcPr>
            <w:tcW w:w="3259" w:type="dxa"/>
            <w:tcBorders>
              <w:bottom w:val="single" w:sz="12" w:space="0" w:color="auto"/>
            </w:tcBorders>
            <w:shd w:val="clear" w:color="auto" w:fill="auto"/>
          </w:tcPr>
          <w:p w14:paraId="12F86121" w14:textId="77777777" w:rsidR="00455C80" w:rsidRPr="00C51928" w:rsidRDefault="00455C80" w:rsidP="00C51928">
            <w:pPr>
              <w:spacing w:before="40" w:after="120"/>
              <w:ind w:right="113"/>
              <w:rPr>
                <w:lang w:val="fr-FR"/>
              </w:rPr>
            </w:pPr>
            <w:r w:rsidRPr="00C51928">
              <w:rPr>
                <w:lang w:val="fr-FR"/>
              </w:rPr>
              <w:t>Présentation des principales décisions adoptées et clôture de la réunion</w:t>
            </w:r>
          </w:p>
        </w:tc>
      </w:tr>
    </w:tbl>
    <w:p w14:paraId="1E0A3817" w14:textId="15823C0D" w:rsidR="00455C80" w:rsidRPr="00C51928" w:rsidRDefault="00C51928" w:rsidP="00C51928">
      <w:pPr>
        <w:pStyle w:val="SingleTxtG"/>
        <w:spacing w:before="240" w:after="0"/>
        <w:jc w:val="center"/>
        <w:rPr>
          <w:u w:val="single"/>
        </w:rPr>
      </w:pPr>
      <w:r>
        <w:rPr>
          <w:u w:val="single"/>
        </w:rPr>
        <w:tab/>
      </w:r>
      <w:r>
        <w:rPr>
          <w:u w:val="single"/>
        </w:rPr>
        <w:tab/>
      </w:r>
      <w:r>
        <w:rPr>
          <w:u w:val="single"/>
        </w:rPr>
        <w:tab/>
      </w:r>
    </w:p>
    <w:sectPr w:rsidR="00455C80" w:rsidRPr="00C51928" w:rsidSect="00455C8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C85D7" w14:textId="77777777" w:rsidR="00C51928" w:rsidRDefault="00C51928" w:rsidP="00F95C08">
      <w:pPr>
        <w:spacing w:line="240" w:lineRule="auto"/>
      </w:pPr>
    </w:p>
  </w:endnote>
  <w:endnote w:type="continuationSeparator" w:id="0">
    <w:p w14:paraId="04508D47" w14:textId="77777777" w:rsidR="00C51928" w:rsidRPr="00AC3823" w:rsidRDefault="00C51928" w:rsidP="00AC3823">
      <w:pPr>
        <w:pStyle w:val="Pieddepage"/>
      </w:pPr>
    </w:p>
  </w:endnote>
  <w:endnote w:type="continuationNotice" w:id="1">
    <w:p w14:paraId="7926A97A" w14:textId="77777777" w:rsidR="00C51928" w:rsidRDefault="00C5192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45421" w14:textId="5B150054" w:rsidR="00C51928" w:rsidRPr="00455C80" w:rsidRDefault="00C51928" w:rsidP="00455C80">
    <w:pPr>
      <w:pStyle w:val="Pieddepage"/>
      <w:tabs>
        <w:tab w:val="right" w:pos="9638"/>
      </w:tabs>
    </w:pPr>
    <w:r w:rsidRPr="00455C80">
      <w:rPr>
        <w:b/>
        <w:sz w:val="18"/>
      </w:rPr>
      <w:fldChar w:fldCharType="begin"/>
    </w:r>
    <w:r w:rsidRPr="00455C80">
      <w:rPr>
        <w:b/>
        <w:sz w:val="18"/>
      </w:rPr>
      <w:instrText xml:space="preserve"> PAGE  \* MERGEFORMAT </w:instrText>
    </w:r>
    <w:r w:rsidRPr="00455C80">
      <w:rPr>
        <w:b/>
        <w:sz w:val="18"/>
      </w:rPr>
      <w:fldChar w:fldCharType="separate"/>
    </w:r>
    <w:r w:rsidRPr="00455C80">
      <w:rPr>
        <w:b/>
        <w:noProof/>
        <w:sz w:val="18"/>
      </w:rPr>
      <w:t>2</w:t>
    </w:r>
    <w:r w:rsidRPr="00455C80">
      <w:rPr>
        <w:b/>
        <w:sz w:val="18"/>
      </w:rPr>
      <w:fldChar w:fldCharType="end"/>
    </w:r>
    <w:r>
      <w:rPr>
        <w:b/>
        <w:sz w:val="18"/>
      </w:rPr>
      <w:tab/>
    </w:r>
    <w:r>
      <w:t>GE.21-11836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C3E6D" w14:textId="153DD926" w:rsidR="00C51928" w:rsidRPr="00455C80" w:rsidRDefault="00C51928" w:rsidP="00455C80">
    <w:pPr>
      <w:pStyle w:val="Pieddepage"/>
      <w:tabs>
        <w:tab w:val="right" w:pos="9638"/>
      </w:tabs>
      <w:rPr>
        <w:b/>
        <w:sz w:val="18"/>
      </w:rPr>
    </w:pPr>
    <w:r>
      <w:t>GE.21-11836</w:t>
    </w:r>
    <w:r>
      <w:tab/>
    </w:r>
    <w:r w:rsidRPr="00455C80">
      <w:rPr>
        <w:b/>
        <w:sz w:val="18"/>
      </w:rPr>
      <w:fldChar w:fldCharType="begin"/>
    </w:r>
    <w:r w:rsidRPr="00455C80">
      <w:rPr>
        <w:b/>
        <w:sz w:val="18"/>
      </w:rPr>
      <w:instrText xml:space="preserve"> PAGE  \* MERGEFORMAT </w:instrText>
    </w:r>
    <w:r w:rsidRPr="00455C80">
      <w:rPr>
        <w:b/>
        <w:sz w:val="18"/>
      </w:rPr>
      <w:fldChar w:fldCharType="separate"/>
    </w:r>
    <w:r w:rsidRPr="00455C80">
      <w:rPr>
        <w:b/>
        <w:noProof/>
        <w:sz w:val="18"/>
      </w:rPr>
      <w:t>3</w:t>
    </w:r>
    <w:r w:rsidRPr="00455C8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9ECF3" w14:textId="545FF7BD" w:rsidR="00C51928" w:rsidRPr="00455C80" w:rsidRDefault="00C51928" w:rsidP="00455C80">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FD7116A" wp14:editId="4AA3DE7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21-11836  (F)</w:t>
    </w:r>
    <w:r>
      <w:rPr>
        <w:noProof/>
        <w:sz w:val="20"/>
      </w:rPr>
      <w:drawing>
        <wp:anchor distT="0" distB="0" distL="114300" distR="114300" simplePos="0" relativeHeight="251660288" behindDoc="0" locked="0" layoutInCell="1" allowOverlap="1" wp14:anchorId="13BA6D72" wp14:editId="3173A41C">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280921    280921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D0C50" w14:textId="77777777" w:rsidR="00C51928" w:rsidRPr="00AC3823" w:rsidRDefault="00C51928" w:rsidP="00AC3823">
      <w:pPr>
        <w:pStyle w:val="Pieddepage"/>
        <w:tabs>
          <w:tab w:val="right" w:pos="2155"/>
        </w:tabs>
        <w:spacing w:after="80" w:line="240" w:lineRule="atLeast"/>
        <w:ind w:left="680"/>
        <w:rPr>
          <w:u w:val="single"/>
        </w:rPr>
      </w:pPr>
      <w:r>
        <w:rPr>
          <w:u w:val="single"/>
        </w:rPr>
        <w:tab/>
      </w:r>
    </w:p>
  </w:footnote>
  <w:footnote w:type="continuationSeparator" w:id="0">
    <w:p w14:paraId="6D96DAE1" w14:textId="77777777" w:rsidR="00C51928" w:rsidRPr="00AC3823" w:rsidRDefault="00C51928" w:rsidP="00AC3823">
      <w:pPr>
        <w:pStyle w:val="Pieddepage"/>
        <w:tabs>
          <w:tab w:val="right" w:pos="2155"/>
        </w:tabs>
        <w:spacing w:after="80" w:line="240" w:lineRule="atLeast"/>
        <w:ind w:left="680"/>
        <w:rPr>
          <w:u w:val="single"/>
        </w:rPr>
      </w:pPr>
      <w:r>
        <w:rPr>
          <w:u w:val="single"/>
        </w:rPr>
        <w:tab/>
      </w:r>
    </w:p>
  </w:footnote>
  <w:footnote w:type="continuationNotice" w:id="1">
    <w:p w14:paraId="7B129028" w14:textId="77777777" w:rsidR="00C51928" w:rsidRPr="00AC3823" w:rsidRDefault="00C51928">
      <w:pPr>
        <w:spacing w:line="240" w:lineRule="auto"/>
        <w:rPr>
          <w:sz w:val="2"/>
          <w:szCs w:val="2"/>
        </w:rPr>
      </w:pPr>
    </w:p>
  </w:footnote>
  <w:footnote w:id="2">
    <w:p w14:paraId="2FF7257E" w14:textId="39F33801" w:rsidR="00C51928" w:rsidRPr="0076036E" w:rsidRDefault="00C51928">
      <w:pPr>
        <w:pStyle w:val="Notedebasdepage"/>
        <w:rPr>
          <w:spacing w:val="-2"/>
        </w:rPr>
      </w:pPr>
      <w:r w:rsidRPr="0076036E">
        <w:rPr>
          <w:rStyle w:val="Appelnotedebasdep"/>
          <w:spacing w:val="-2"/>
        </w:rPr>
        <w:tab/>
      </w:r>
      <w:r w:rsidRPr="0076036E">
        <w:rPr>
          <w:rStyle w:val="Appelnotedebasdep"/>
          <w:spacing w:val="-2"/>
          <w:sz w:val="20"/>
          <w:vertAlign w:val="baseline"/>
        </w:rPr>
        <w:t>*</w:t>
      </w:r>
      <w:r w:rsidRPr="0076036E">
        <w:rPr>
          <w:rStyle w:val="Appelnotedebasdep"/>
          <w:spacing w:val="-2"/>
          <w:sz w:val="20"/>
          <w:vertAlign w:val="baseline"/>
        </w:rPr>
        <w:tab/>
      </w:r>
      <w:r w:rsidRPr="0076036E">
        <w:rPr>
          <w:spacing w:val="-2"/>
          <w:lang w:val="fr-FR"/>
        </w:rPr>
        <w:t xml:space="preserve">Les représentants qui participeront à la réunion, en personne ou à distance, sont priés de s’inscrire en ligne en indiquant leur mode de participation au plus tard le </w:t>
      </w:r>
      <w:r w:rsidRPr="0076036E">
        <w:rPr>
          <w:b/>
          <w:bCs/>
          <w:spacing w:val="-2"/>
          <w:lang w:val="fr-FR"/>
        </w:rPr>
        <w:t>25 octobre 2021</w:t>
      </w:r>
      <w:r w:rsidRPr="0076036E">
        <w:rPr>
          <w:spacing w:val="-2"/>
          <w:lang w:val="fr-FR"/>
        </w:rPr>
        <w:t>, à l’adresse suivante : https://indico.un.org/event/34758/. En raison des restrictions liées à la pandémie de coronavirus (COVID-19), seul un nombre limité de représentants sera autorisé dans la salle. Les autres représentants participeront en ligne. Pour de plus amples informations sur la procédure d’inscription et d’autres questions pratiques, veuillez consulter la page Web de la réunion (https://unece.org/info/Environmental-Policy/Environmental-Impact-Assessment/events/350793) ou contacter le secrétariat par courriel (maricar.delacruz@un.org ; eia.conv@un.org) pour obtenir de l’aide. Des instructions plus précises seront communiquées aux représentants inscrits à l’approche de la réunion.</w:t>
      </w:r>
    </w:p>
  </w:footnote>
  <w:footnote w:id="3">
    <w:p w14:paraId="33E83781" w14:textId="4C023C84" w:rsidR="00C51928" w:rsidRPr="00FE4086" w:rsidRDefault="00C51928" w:rsidP="00C51928">
      <w:pPr>
        <w:pStyle w:val="Notedebasdepage"/>
        <w:rPr>
          <w:lang w:val="fr-FR"/>
        </w:rPr>
      </w:pPr>
      <w:r>
        <w:rPr>
          <w:lang w:val="fr-FR"/>
        </w:rPr>
        <w:tab/>
      </w:r>
      <w:r w:rsidRPr="00622C8E">
        <w:rPr>
          <w:rStyle w:val="Appelnotedebasdep"/>
        </w:rPr>
        <w:footnoteRef/>
      </w:r>
      <w:r>
        <w:rPr>
          <w:lang w:val="fr-FR"/>
        </w:rPr>
        <w:tab/>
        <w:t>Tous les documents de la réunion seront disponibles sur une page dédiée du site Web de la Commission économique pour l’Europe (unece.org/environmental-policy/events/working-group-eia-and-sea-espoo-convention-10th-meeting). Merci de noter que les documents dont la cote se termine par « INF. » suivi d’un chiffre sont des documents informels qui peuvent être repérés dans le tableau des documents par un clic sur l’onglet « informal documents ».</w:t>
      </w:r>
    </w:p>
  </w:footnote>
  <w:footnote w:id="4">
    <w:p w14:paraId="6EA60C1A" w14:textId="0B7E8443" w:rsidR="00C51928" w:rsidRPr="00FE4086" w:rsidRDefault="00C51928" w:rsidP="00C51928">
      <w:pPr>
        <w:pStyle w:val="Notedebasdepage"/>
        <w:rPr>
          <w:lang w:val="fr-FR"/>
        </w:rPr>
      </w:pPr>
      <w:r w:rsidRPr="002618F2">
        <w:rPr>
          <w:lang w:val="fr-FR"/>
        </w:rPr>
        <w:tab/>
      </w:r>
      <w:r w:rsidRPr="00622C8E">
        <w:rPr>
          <w:rStyle w:val="Appelnotedebasdep"/>
        </w:rPr>
        <w:footnoteRef/>
      </w:r>
      <w:r>
        <w:rPr>
          <w:lang w:val="fr-FR"/>
        </w:rPr>
        <w:tab/>
        <w:t>Les rapports sur les sessions du Comité d’application en 2021 sont disponibles à l’adresse suivante : https://unece.org/sessions-3.</w:t>
      </w:r>
    </w:p>
  </w:footnote>
  <w:footnote w:id="5">
    <w:p w14:paraId="732B4325" w14:textId="594A6AC3" w:rsidR="00C51928" w:rsidRPr="0028772D" w:rsidRDefault="00C51928" w:rsidP="00C51928">
      <w:pPr>
        <w:pStyle w:val="Notedebasdepage"/>
        <w:rPr>
          <w:lang w:val="fr-FR"/>
        </w:rPr>
      </w:pPr>
      <w:r w:rsidRPr="002618F2">
        <w:rPr>
          <w:lang w:val="fr-FR"/>
        </w:rPr>
        <w:tab/>
      </w:r>
      <w:r w:rsidRPr="00622C8E">
        <w:rPr>
          <w:rStyle w:val="Appelnotedebasdep"/>
        </w:rPr>
        <w:footnoteRef/>
      </w:r>
      <w:r w:rsidRPr="0028772D">
        <w:rPr>
          <w:lang w:val="fr-FR"/>
        </w:rPr>
        <w:tab/>
        <w:t>ECE/MP.EIA/30/Add.1−ECE/MP.EIA/SEA/13/Add.1, décision</w:t>
      </w:r>
      <w:r w:rsidR="00851CF8">
        <w:rPr>
          <w:lang w:val="fr-FR"/>
        </w:rPr>
        <w:t> </w:t>
      </w:r>
      <w:r w:rsidRPr="0028772D">
        <w:rPr>
          <w:lang w:val="fr-FR"/>
        </w:rPr>
        <w:t>VIII/2–IV/2, annexe</w:t>
      </w:r>
      <w:r>
        <w:rPr>
          <w:lang w:val="fr-FR"/>
        </w:rPr>
        <w:t> </w:t>
      </w:r>
      <w:r w:rsidRPr="0028772D">
        <w:rPr>
          <w:lang w:val="fr-FR"/>
        </w:rPr>
        <w:t>I, point</w:t>
      </w:r>
      <w:r>
        <w:rPr>
          <w:lang w:val="fr-FR"/>
        </w:rPr>
        <w:t> </w:t>
      </w:r>
      <w:r w:rsidRPr="0028772D">
        <w:rPr>
          <w:lang w:val="fr-FR"/>
        </w:rPr>
        <w:t>II.B.1.</w:t>
      </w:r>
      <w:bookmarkStart w:id="8" w:name="_Hlk79596962"/>
      <w:bookmarkEnd w:id="8"/>
    </w:p>
  </w:footnote>
  <w:footnote w:id="6">
    <w:p w14:paraId="5DBBCC77" w14:textId="59B6C9A0" w:rsidR="00C51928" w:rsidRPr="00851CF8" w:rsidRDefault="00C51928" w:rsidP="00C51928">
      <w:pPr>
        <w:pStyle w:val="Notedebasdepage"/>
        <w:rPr>
          <w:lang w:val="fr-FR"/>
        </w:rPr>
      </w:pPr>
      <w:r w:rsidRPr="0028772D">
        <w:rPr>
          <w:lang w:val="fr-FR"/>
        </w:rPr>
        <w:tab/>
      </w:r>
      <w:r w:rsidRPr="00622C8E">
        <w:rPr>
          <w:rStyle w:val="Appelnotedebasdep"/>
        </w:rPr>
        <w:footnoteRef/>
      </w:r>
      <w:r>
        <w:rPr>
          <w:lang w:val="fr-FR"/>
        </w:rPr>
        <w:tab/>
        <w:t>Rapport sur le sixième examen de l’application de la Convention sur l’évaluation de l’impact sur l’environnement dans un contexte transfrontière (2016-2018) (publication des Nations Unies, ECE/MP.EIA/32), Rapport sur le troisième examen de l’application du Protocole relatif à l’évaluation stratégique environnementale (2016-2018) (publication des Nations</w:t>
      </w:r>
      <w:r w:rsidR="00851CF8">
        <w:rPr>
          <w:lang w:val="fr-FR"/>
        </w:rPr>
        <w:t> </w:t>
      </w:r>
      <w:r>
        <w:rPr>
          <w:lang w:val="fr-FR"/>
        </w:rPr>
        <w:t xml:space="preserve">Unies, ECE/MP.EIA/SEA/14) et Avis du Comité d’application (2001-2021) (à paraître). Ces publications sont disponibles à l’adresse suivante : </w:t>
      </w:r>
      <w:hyperlink r:id="rId1" w:history="1">
        <w:r w:rsidRPr="00851CF8">
          <w:rPr>
            <w:rStyle w:val="Lienhypertexte"/>
            <w:color w:val="auto"/>
            <w:lang w:val="fr-FR"/>
          </w:rPr>
          <w:t>unece.org/publications/environmental-assessment</w:t>
        </w:r>
      </w:hyperlink>
      <w:r w:rsidRPr="00851CF8">
        <w:rPr>
          <w:lang w:val="fr-FR"/>
        </w:rPr>
        <w:t>.</w:t>
      </w:r>
      <w:bookmarkStart w:id="10" w:name="_Hlk73624280"/>
      <w:bookmarkEnd w:id="10"/>
    </w:p>
  </w:footnote>
  <w:footnote w:id="7">
    <w:p w14:paraId="089FCBF9" w14:textId="7F56C017" w:rsidR="00C51928" w:rsidRPr="00FE4086" w:rsidRDefault="00C51928" w:rsidP="00C51928">
      <w:pPr>
        <w:pStyle w:val="Notedebasdepage"/>
        <w:rPr>
          <w:lang w:val="fr-FR"/>
        </w:rPr>
      </w:pPr>
      <w:r w:rsidRPr="00C46A38">
        <w:rPr>
          <w:lang w:val="fr-FR"/>
        </w:rPr>
        <w:tab/>
      </w:r>
      <w:r w:rsidRPr="00622C8E">
        <w:rPr>
          <w:rStyle w:val="Appelnotedebasdep"/>
        </w:rPr>
        <w:footnoteRef/>
      </w:r>
      <w:r>
        <w:rPr>
          <w:lang w:val="fr-FR"/>
        </w:rPr>
        <w:t xml:space="preserve"> </w:t>
      </w:r>
      <w:r>
        <w:rPr>
          <w:lang w:val="fr-FR"/>
        </w:rPr>
        <w:tab/>
        <w:t>Publication des Nations Unies, ECE/MP.EIA/31.</w:t>
      </w:r>
    </w:p>
  </w:footnote>
  <w:footnote w:id="8">
    <w:p w14:paraId="7560C1A8" w14:textId="27C001F3" w:rsidR="00C51928" w:rsidRPr="00FE4086" w:rsidRDefault="00C51928" w:rsidP="00C51928">
      <w:pPr>
        <w:pStyle w:val="Notedebasdepage"/>
        <w:rPr>
          <w:lang w:val="es-ES"/>
        </w:rPr>
      </w:pPr>
      <w:r w:rsidRPr="00C46A38">
        <w:rPr>
          <w:lang w:val="fr-FR"/>
        </w:rPr>
        <w:tab/>
      </w:r>
      <w:r w:rsidRPr="00622C8E">
        <w:rPr>
          <w:rStyle w:val="Appelnotedebasdep"/>
        </w:rPr>
        <w:footnoteRef/>
      </w:r>
      <w:bookmarkStart w:id="25" w:name="_Hlk79573307"/>
      <w:r w:rsidRPr="00FE4086">
        <w:rPr>
          <w:lang w:val="es-ES"/>
        </w:rPr>
        <w:tab/>
        <w:t>ECE/MP.EIA/30</w:t>
      </w:r>
      <w:r w:rsidR="007D1D6C">
        <w:rPr>
          <w:lang w:val="es-ES"/>
        </w:rPr>
        <w:t>-</w:t>
      </w:r>
      <w:r w:rsidRPr="00FE4086">
        <w:rPr>
          <w:lang w:val="es-ES"/>
        </w:rPr>
        <w:t>ECE/MP.EIA/SEA/13, par.</w:t>
      </w:r>
      <w:r w:rsidR="00671BB8">
        <w:rPr>
          <w:lang w:val="es-ES"/>
        </w:rPr>
        <w:t> </w:t>
      </w:r>
      <w:r w:rsidRPr="00FE4086">
        <w:rPr>
          <w:lang w:val="es-ES"/>
        </w:rPr>
        <w:t>33.</w:t>
      </w:r>
      <w:bookmarkEnd w:id="25"/>
    </w:p>
  </w:footnote>
  <w:footnote w:id="9">
    <w:p w14:paraId="1BF23EB2" w14:textId="77777777" w:rsidR="00C51928" w:rsidRPr="00FE4086" w:rsidRDefault="00C51928" w:rsidP="00C51928">
      <w:pPr>
        <w:pStyle w:val="Notedebasdepage"/>
        <w:rPr>
          <w:lang w:val="fr-FR"/>
        </w:rPr>
      </w:pPr>
      <w:r w:rsidRPr="00FE4086">
        <w:rPr>
          <w:lang w:val="es-ES"/>
        </w:rPr>
        <w:tab/>
      </w:r>
      <w:r w:rsidRPr="00622C8E">
        <w:rPr>
          <w:rStyle w:val="Appelnotedebasdep"/>
        </w:rPr>
        <w:footnoteRef/>
      </w:r>
      <w:r>
        <w:rPr>
          <w:lang w:val="fr-FR"/>
        </w:rPr>
        <w:tab/>
        <w:t>ECE/MP.EIA/WG.2/2020/7.</w:t>
      </w:r>
    </w:p>
  </w:footnote>
  <w:footnote w:id="10">
    <w:p w14:paraId="375C0576" w14:textId="27724603" w:rsidR="00C51928" w:rsidRPr="00671BB8" w:rsidRDefault="00C51928" w:rsidP="00C51928">
      <w:pPr>
        <w:pStyle w:val="Notedebasdepage"/>
        <w:rPr>
          <w:spacing w:val="-3"/>
          <w:lang w:val="fr-FR"/>
        </w:rPr>
      </w:pPr>
      <w:r w:rsidRPr="00671BB8">
        <w:rPr>
          <w:spacing w:val="-3"/>
          <w:lang w:val="fr-FR"/>
        </w:rPr>
        <w:tab/>
      </w:r>
      <w:r w:rsidRPr="00671BB8">
        <w:rPr>
          <w:rStyle w:val="Appelnotedebasdep"/>
          <w:spacing w:val="-3"/>
        </w:rPr>
        <w:footnoteRef/>
      </w:r>
      <w:r w:rsidRPr="00671BB8">
        <w:rPr>
          <w:spacing w:val="-3"/>
          <w:lang w:val="fr-FR"/>
        </w:rPr>
        <w:tab/>
        <w:t>ECE/MP.EIA/WG.2/2020/2, par.</w:t>
      </w:r>
      <w:r w:rsidR="00671BB8" w:rsidRPr="00671BB8">
        <w:rPr>
          <w:spacing w:val="-3"/>
          <w:lang w:val="fr-FR"/>
        </w:rPr>
        <w:t> </w:t>
      </w:r>
      <w:r w:rsidRPr="00671BB8">
        <w:rPr>
          <w:spacing w:val="-3"/>
          <w:lang w:val="fr-FR"/>
        </w:rPr>
        <w:t>41, et observations portant sur les documents soumis par les délégations.</w:t>
      </w:r>
    </w:p>
  </w:footnote>
  <w:footnote w:id="11">
    <w:p w14:paraId="604A4EB1" w14:textId="2A09D130" w:rsidR="00C51928" w:rsidRPr="00FE4086" w:rsidRDefault="00C51928" w:rsidP="00C51928">
      <w:pPr>
        <w:pStyle w:val="Notedebasdepage"/>
        <w:rPr>
          <w:lang w:val="fr-FR"/>
        </w:rPr>
      </w:pPr>
      <w:r w:rsidRPr="000F182B">
        <w:rPr>
          <w:lang w:val="fr-FR"/>
        </w:rPr>
        <w:tab/>
      </w:r>
      <w:r w:rsidRPr="00622C8E">
        <w:rPr>
          <w:rStyle w:val="Appelnotedebasdep"/>
        </w:rPr>
        <w:footnoteRef/>
      </w:r>
      <w:r>
        <w:rPr>
          <w:lang w:val="fr-FR"/>
        </w:rPr>
        <w:tab/>
        <w:t>ECE/MP.EIA/30/Add.1</w:t>
      </w:r>
      <w:r w:rsidR="007D1D6C">
        <w:rPr>
          <w:lang w:val="fr-FR"/>
        </w:rPr>
        <w:t>-</w:t>
      </w:r>
      <w:r>
        <w:rPr>
          <w:lang w:val="fr-FR"/>
        </w:rPr>
        <w:t>ECE/MP.EIA/SEA/13/Add.1, décision</w:t>
      </w:r>
      <w:r w:rsidR="00671BB8">
        <w:rPr>
          <w:lang w:val="fr-FR"/>
        </w:rPr>
        <w:t> </w:t>
      </w:r>
      <w:r>
        <w:rPr>
          <w:lang w:val="fr-FR"/>
        </w:rPr>
        <w:t>VIII/3–IV/3, annexe, Déclaration de</w:t>
      </w:r>
      <w:r w:rsidR="00671BB8">
        <w:rPr>
          <w:lang w:val="fr-FR"/>
        </w:rPr>
        <w:t> </w:t>
      </w:r>
      <w:r>
        <w:rPr>
          <w:lang w:val="fr-FR"/>
        </w:rPr>
        <w:t>Vilnius, par.</w:t>
      </w:r>
      <w:r w:rsidR="00671BB8">
        <w:rPr>
          <w:lang w:val="fr-FR"/>
        </w:rPr>
        <w:t> </w:t>
      </w:r>
      <w:r>
        <w:rPr>
          <w:lang w:val="fr-FR"/>
        </w:rPr>
        <w:t>13.</w:t>
      </w:r>
      <w:bookmarkStart w:id="26" w:name="_Hlk79597200"/>
      <w:bookmarkEnd w:id="26"/>
    </w:p>
  </w:footnote>
  <w:footnote w:id="12">
    <w:p w14:paraId="1DB9B970" w14:textId="1A00D91B" w:rsidR="00C51928" w:rsidRPr="00FE4086" w:rsidRDefault="00C51928" w:rsidP="00C51928">
      <w:pPr>
        <w:pStyle w:val="Notedebasdepage"/>
        <w:rPr>
          <w:lang w:val="es-ES"/>
        </w:rPr>
      </w:pPr>
      <w:r w:rsidRPr="00C1274E">
        <w:rPr>
          <w:lang w:val="fr-FR"/>
        </w:rPr>
        <w:tab/>
      </w:r>
      <w:r w:rsidRPr="00622C8E">
        <w:rPr>
          <w:rStyle w:val="Appelnotedebasdep"/>
        </w:rPr>
        <w:footnoteRef/>
      </w:r>
      <w:bookmarkStart w:id="27" w:name="_Hlk79573545"/>
      <w:r w:rsidRPr="00FE4086">
        <w:rPr>
          <w:lang w:val="es-ES"/>
        </w:rPr>
        <w:tab/>
        <w:t>ECE/MP.EIA/30</w:t>
      </w:r>
      <w:r w:rsidR="007D1D6C">
        <w:rPr>
          <w:lang w:val="es-ES"/>
        </w:rPr>
        <w:t>-</w:t>
      </w:r>
      <w:r w:rsidRPr="00FE4086">
        <w:rPr>
          <w:lang w:val="es-ES"/>
        </w:rPr>
        <w:t>ECE/MP.EIA/SEA/13, par.</w:t>
      </w:r>
      <w:r w:rsidR="00671BB8">
        <w:rPr>
          <w:lang w:val="es-ES"/>
        </w:rPr>
        <w:t> </w:t>
      </w:r>
      <w:r w:rsidRPr="00FE4086">
        <w:rPr>
          <w:lang w:val="es-ES"/>
        </w:rPr>
        <w:t>33.</w:t>
      </w:r>
      <w:bookmarkEnd w:id="27"/>
    </w:p>
  </w:footnote>
  <w:footnote w:id="13">
    <w:p w14:paraId="790BCF0E" w14:textId="18E259DF" w:rsidR="00C51928" w:rsidRPr="001204A6" w:rsidRDefault="00C51928" w:rsidP="00C51928">
      <w:pPr>
        <w:pStyle w:val="Notedebasdepage"/>
        <w:rPr>
          <w:lang w:val="es-ES"/>
        </w:rPr>
      </w:pPr>
      <w:r w:rsidRPr="001204A6">
        <w:rPr>
          <w:lang w:val="es-ES"/>
        </w:rPr>
        <w:tab/>
      </w:r>
      <w:r w:rsidRPr="001204A6">
        <w:rPr>
          <w:rStyle w:val="Appelnotedebasdep"/>
        </w:rPr>
        <w:footnoteRef/>
      </w:r>
      <w:r w:rsidRPr="001204A6">
        <w:rPr>
          <w:lang w:val="es-ES"/>
        </w:rPr>
        <w:tab/>
        <w:t>ECE/MP.EIA/30/Add.1</w:t>
      </w:r>
      <w:r w:rsidR="001204A6" w:rsidRPr="001204A6">
        <w:rPr>
          <w:lang w:val="es-ES"/>
        </w:rPr>
        <w:t>-</w:t>
      </w:r>
      <w:r w:rsidRPr="001204A6">
        <w:rPr>
          <w:lang w:val="es-ES"/>
        </w:rPr>
        <w:t xml:space="preserve">ECE/MP.EIA/SEA/13/Add.1, </w:t>
      </w:r>
      <w:r w:rsidR="00671BB8" w:rsidRPr="001204A6">
        <w:rPr>
          <w:lang w:val="es-ES"/>
        </w:rPr>
        <w:t>d</w:t>
      </w:r>
      <w:r w:rsidR="007D7168">
        <w:rPr>
          <w:lang w:val="es-ES"/>
        </w:rPr>
        <w:t>é</w:t>
      </w:r>
      <w:r w:rsidR="00671BB8" w:rsidRPr="001204A6">
        <w:rPr>
          <w:lang w:val="es-ES"/>
        </w:rPr>
        <w:t>cisi</w:t>
      </w:r>
      <w:r w:rsidR="007D7168">
        <w:rPr>
          <w:lang w:val="es-ES"/>
        </w:rPr>
        <w:t>o</w:t>
      </w:r>
      <w:r w:rsidR="00671BB8" w:rsidRPr="001204A6">
        <w:rPr>
          <w:lang w:val="es-ES"/>
        </w:rPr>
        <w:t>n </w:t>
      </w:r>
      <w:r w:rsidRPr="001204A6">
        <w:rPr>
          <w:lang w:val="es-ES"/>
        </w:rPr>
        <w:t>VIII/2–IV/2, annexe</w:t>
      </w:r>
      <w:r w:rsidR="00671BB8" w:rsidRPr="001204A6">
        <w:rPr>
          <w:lang w:val="es-ES"/>
        </w:rPr>
        <w:t> </w:t>
      </w:r>
      <w:r w:rsidRPr="001204A6">
        <w:rPr>
          <w:lang w:val="es-ES"/>
        </w:rPr>
        <w:t>I, points</w:t>
      </w:r>
      <w:r w:rsidR="00671BB8" w:rsidRPr="001204A6">
        <w:rPr>
          <w:lang w:val="es-ES"/>
        </w:rPr>
        <w:t> </w:t>
      </w:r>
      <w:r w:rsidRPr="001204A6">
        <w:rPr>
          <w:lang w:val="es-ES"/>
        </w:rPr>
        <w:t>III.C.1</w:t>
      </w:r>
      <w:r w:rsidR="001204A6" w:rsidRPr="001204A6">
        <w:rPr>
          <w:lang w:val="es-ES"/>
        </w:rPr>
        <w:noBreakHyphen/>
      </w:r>
      <w:r w:rsidRPr="001204A6">
        <w:rPr>
          <w:lang w:val="es-ES"/>
        </w:rPr>
        <w:t>III.C.7.</w:t>
      </w:r>
    </w:p>
  </w:footnote>
  <w:footnote w:id="14">
    <w:p w14:paraId="55135654" w14:textId="57906486" w:rsidR="00C51928" w:rsidRPr="00671BB8" w:rsidRDefault="00C51928" w:rsidP="00C51928">
      <w:pPr>
        <w:pStyle w:val="Notedebasdepage"/>
        <w:rPr>
          <w:lang w:val="es-ES"/>
        </w:rPr>
      </w:pPr>
      <w:r w:rsidRPr="00FE4086">
        <w:rPr>
          <w:lang w:val="es-ES"/>
        </w:rPr>
        <w:tab/>
      </w:r>
      <w:r w:rsidRPr="00622C8E">
        <w:rPr>
          <w:rStyle w:val="Appelnotedebasdep"/>
        </w:rPr>
        <w:footnoteRef/>
      </w:r>
      <w:r w:rsidRPr="00671BB8">
        <w:rPr>
          <w:lang w:val="es-ES"/>
        </w:rPr>
        <w:tab/>
        <w:t>Disponible à l’adresse suivante</w:t>
      </w:r>
      <w:r w:rsidR="00671BB8" w:rsidRPr="00671BB8">
        <w:rPr>
          <w:lang w:val="es-ES"/>
        </w:rPr>
        <w:t> </w:t>
      </w:r>
      <w:r w:rsidRPr="00671BB8">
        <w:rPr>
          <w:lang w:val="es-ES"/>
        </w:rPr>
        <w:t>: https://www.iaia.org/fasttips.php.</w:t>
      </w:r>
    </w:p>
  </w:footnote>
  <w:footnote w:id="15">
    <w:p w14:paraId="61E3B34C" w14:textId="13552058" w:rsidR="00C51928" w:rsidRPr="001204A6" w:rsidRDefault="00C51928" w:rsidP="00C51928">
      <w:pPr>
        <w:pStyle w:val="Notedebasdepage"/>
        <w:rPr>
          <w:lang w:val="en-US"/>
        </w:rPr>
      </w:pPr>
      <w:r w:rsidRPr="00671BB8">
        <w:rPr>
          <w:lang w:val="es-ES"/>
        </w:rPr>
        <w:tab/>
      </w:r>
      <w:r w:rsidRPr="00622C8E">
        <w:rPr>
          <w:rStyle w:val="Appelnotedebasdep"/>
        </w:rPr>
        <w:footnoteRef/>
      </w:r>
      <w:r w:rsidRPr="001204A6">
        <w:rPr>
          <w:lang w:val="en-US"/>
        </w:rPr>
        <w:tab/>
        <w:t>ECE/MP.EIA/30/Add.1</w:t>
      </w:r>
      <w:r w:rsidR="001204A6" w:rsidRPr="001204A6">
        <w:rPr>
          <w:lang w:val="en-US"/>
        </w:rPr>
        <w:t>-</w:t>
      </w:r>
      <w:r w:rsidRPr="001204A6">
        <w:rPr>
          <w:lang w:val="en-US"/>
        </w:rPr>
        <w:t>ECE/MP.EIA/SEA/13/Add.1, décision</w:t>
      </w:r>
      <w:r w:rsidR="00671BB8" w:rsidRPr="001204A6">
        <w:rPr>
          <w:lang w:val="en-US"/>
        </w:rPr>
        <w:t> </w:t>
      </w:r>
      <w:r w:rsidRPr="001204A6">
        <w:rPr>
          <w:lang w:val="en-US"/>
        </w:rPr>
        <w:t>VIII/2–IV/2, annexe</w:t>
      </w:r>
      <w:r w:rsidR="00671BB8" w:rsidRPr="001204A6">
        <w:rPr>
          <w:lang w:val="en-US"/>
        </w:rPr>
        <w:t> </w:t>
      </w:r>
      <w:r w:rsidRPr="001204A6">
        <w:rPr>
          <w:lang w:val="en-US"/>
        </w:rPr>
        <w:t>I, point</w:t>
      </w:r>
      <w:r w:rsidR="00671BB8" w:rsidRPr="001204A6">
        <w:rPr>
          <w:lang w:val="en-US"/>
        </w:rPr>
        <w:t> </w:t>
      </w:r>
      <w:r w:rsidRPr="001204A6">
        <w:rPr>
          <w:lang w:val="en-US"/>
        </w:rPr>
        <w:t>III.B.3.</w:t>
      </w:r>
    </w:p>
  </w:footnote>
  <w:footnote w:id="16">
    <w:p w14:paraId="77626231" w14:textId="03C16BD0" w:rsidR="00C51928" w:rsidRPr="00FE4086" w:rsidRDefault="00C51928" w:rsidP="00C51928">
      <w:pPr>
        <w:pStyle w:val="Notedebasdepage"/>
        <w:rPr>
          <w:lang w:val="es-ES"/>
        </w:rPr>
      </w:pPr>
      <w:r w:rsidRPr="001204A6">
        <w:rPr>
          <w:lang w:val="en-US"/>
        </w:rPr>
        <w:tab/>
      </w:r>
      <w:r w:rsidRPr="00622C8E">
        <w:rPr>
          <w:rStyle w:val="Appelnotedebasdep"/>
        </w:rPr>
        <w:footnoteRef/>
      </w:r>
      <w:r w:rsidRPr="00FE4086">
        <w:rPr>
          <w:lang w:val="es-ES"/>
        </w:rPr>
        <w:t xml:space="preserve"> </w:t>
      </w:r>
      <w:r w:rsidRPr="00FE4086">
        <w:rPr>
          <w:lang w:val="es-ES"/>
        </w:rPr>
        <w:tab/>
      </w:r>
      <w:r w:rsidRPr="00671BB8">
        <w:rPr>
          <w:lang w:val="es-ES"/>
        </w:rPr>
        <w:t>ECE</w:t>
      </w:r>
      <w:r w:rsidRPr="00FE4086">
        <w:rPr>
          <w:lang w:val="es-ES"/>
        </w:rPr>
        <w:t>/MP.EIA/30/Add.1</w:t>
      </w:r>
      <w:r w:rsidR="001204A6">
        <w:rPr>
          <w:lang w:val="es-ES"/>
        </w:rPr>
        <w:t>-</w:t>
      </w:r>
      <w:r w:rsidRPr="00FE4086">
        <w:rPr>
          <w:lang w:val="es-ES"/>
        </w:rPr>
        <w:t xml:space="preserve">ECE/MP.EIA/SEA/13/Add.1, </w:t>
      </w:r>
      <w:r w:rsidR="00671BB8">
        <w:rPr>
          <w:lang w:val="es-ES"/>
        </w:rPr>
        <w:t>d</w:t>
      </w:r>
      <w:r w:rsidR="001204A6">
        <w:rPr>
          <w:lang w:val="es-ES"/>
        </w:rPr>
        <w:t>é</w:t>
      </w:r>
      <w:r w:rsidR="00671BB8">
        <w:rPr>
          <w:lang w:val="es-ES"/>
        </w:rPr>
        <w:t>cisi</w:t>
      </w:r>
      <w:r w:rsidR="001204A6">
        <w:rPr>
          <w:lang w:val="es-ES"/>
        </w:rPr>
        <w:t>o</w:t>
      </w:r>
      <w:r w:rsidR="00671BB8">
        <w:rPr>
          <w:lang w:val="es-ES"/>
        </w:rPr>
        <w:t>n </w:t>
      </w:r>
      <w:r w:rsidRPr="00FE4086">
        <w:rPr>
          <w:lang w:val="es-ES"/>
        </w:rPr>
        <w:t>VIII/1–IV/1, par.</w:t>
      </w:r>
      <w:r w:rsidR="00671BB8">
        <w:rPr>
          <w:lang w:val="es-ES"/>
        </w:rPr>
        <w:t> </w:t>
      </w:r>
      <w:r w:rsidRPr="00FE4086">
        <w:rPr>
          <w:lang w:val="es-ES"/>
        </w:rPr>
        <w:t>1.</w:t>
      </w:r>
    </w:p>
  </w:footnote>
  <w:footnote w:id="17">
    <w:p w14:paraId="145DEE1C" w14:textId="466B6D30" w:rsidR="00C51928" w:rsidRPr="00FE4086" w:rsidRDefault="00C51928" w:rsidP="00C51928">
      <w:pPr>
        <w:pStyle w:val="Notedebasdepage"/>
        <w:rPr>
          <w:lang w:val="fr-FR"/>
        </w:rPr>
      </w:pPr>
      <w:r w:rsidRPr="00FE4086">
        <w:rPr>
          <w:lang w:val="es-ES"/>
        </w:rPr>
        <w:tab/>
      </w:r>
      <w:r w:rsidRPr="00622C8E">
        <w:rPr>
          <w:rStyle w:val="Appelnotedebasdep"/>
        </w:rPr>
        <w:footnoteRef/>
      </w:r>
      <w:r>
        <w:rPr>
          <w:lang w:val="fr-FR"/>
        </w:rPr>
        <w:tab/>
        <w:t>Ibid., par.</w:t>
      </w:r>
      <w:r w:rsidR="00671BB8">
        <w:rPr>
          <w:lang w:val="fr-FR"/>
        </w:rPr>
        <w:t> </w:t>
      </w:r>
      <w:r>
        <w:rPr>
          <w:lang w:val="fr-FR"/>
        </w:rPr>
        <w:t>12</w:t>
      </w:r>
      <w:r w:rsidR="00671BB8">
        <w:rPr>
          <w:lang w:val="fr-FR"/>
        </w:rPr>
        <w:t> </w:t>
      </w:r>
      <w:r>
        <w:rPr>
          <w:lang w:val="fr-FR"/>
        </w:rPr>
        <w:t>d).</w:t>
      </w:r>
    </w:p>
  </w:footnote>
  <w:footnote w:id="18">
    <w:p w14:paraId="728468D5" w14:textId="57462FCD" w:rsidR="00C51928" w:rsidRPr="00FE4086" w:rsidRDefault="00C51928" w:rsidP="00C51928">
      <w:pPr>
        <w:pStyle w:val="Notedebasdepage"/>
        <w:rPr>
          <w:lang w:val="fr-FR"/>
        </w:rPr>
      </w:pPr>
      <w:r w:rsidRPr="00F366C1">
        <w:rPr>
          <w:lang w:val="fr-FR"/>
        </w:rPr>
        <w:tab/>
      </w:r>
      <w:r w:rsidRPr="00622C8E">
        <w:rPr>
          <w:rStyle w:val="Appelnotedebasdep"/>
        </w:rPr>
        <w:footnoteRef/>
      </w:r>
      <w:r>
        <w:rPr>
          <w:lang w:val="fr-FR"/>
        </w:rPr>
        <w:tab/>
        <w:t>Ibid., par.</w:t>
      </w:r>
      <w:r w:rsidR="00671BB8">
        <w:rPr>
          <w:lang w:val="fr-FR"/>
        </w:rPr>
        <w:t> </w:t>
      </w:r>
      <w:r>
        <w:rPr>
          <w:lang w:val="fr-FR"/>
        </w:rPr>
        <w:t>13.</w:t>
      </w:r>
    </w:p>
  </w:footnote>
  <w:footnote w:id="19">
    <w:p w14:paraId="5CB6AA37" w14:textId="12E067DD" w:rsidR="00C51928" w:rsidRPr="00FE4086" w:rsidRDefault="00C51928" w:rsidP="00C51928">
      <w:pPr>
        <w:pStyle w:val="Notedebasdepage"/>
        <w:rPr>
          <w:lang w:val="es-ES"/>
        </w:rPr>
      </w:pPr>
      <w:r w:rsidRPr="00F366C1">
        <w:rPr>
          <w:lang w:val="fr-FR"/>
        </w:rPr>
        <w:tab/>
      </w:r>
      <w:r w:rsidRPr="00622C8E">
        <w:rPr>
          <w:rStyle w:val="Appelnotedebasdep"/>
        </w:rPr>
        <w:footnoteRef/>
      </w:r>
      <w:r w:rsidRPr="00FE4086">
        <w:rPr>
          <w:lang w:val="es-ES"/>
        </w:rPr>
        <w:tab/>
        <w:t>ECE/MP.EIA/30/Add.1</w:t>
      </w:r>
      <w:r w:rsidR="001204A6">
        <w:rPr>
          <w:lang w:val="es-ES"/>
        </w:rPr>
        <w:t>-</w:t>
      </w:r>
      <w:r w:rsidRPr="00FE4086">
        <w:rPr>
          <w:lang w:val="es-ES"/>
        </w:rPr>
        <w:t xml:space="preserve">ECE/MP.EIA/SEA/13/Add.1, </w:t>
      </w:r>
      <w:r w:rsidR="00671BB8">
        <w:rPr>
          <w:lang w:val="es-ES"/>
        </w:rPr>
        <w:t>d</w:t>
      </w:r>
      <w:r w:rsidR="001204A6">
        <w:rPr>
          <w:lang w:val="es-ES"/>
        </w:rPr>
        <w:t>é</w:t>
      </w:r>
      <w:r w:rsidR="00671BB8">
        <w:rPr>
          <w:lang w:val="es-ES"/>
        </w:rPr>
        <w:t>cisi</w:t>
      </w:r>
      <w:r w:rsidR="001204A6">
        <w:rPr>
          <w:lang w:val="es-ES"/>
        </w:rPr>
        <w:t>o</w:t>
      </w:r>
      <w:r w:rsidR="00671BB8">
        <w:rPr>
          <w:lang w:val="es-ES"/>
        </w:rPr>
        <w:t>n </w:t>
      </w:r>
      <w:r w:rsidRPr="00FE4086">
        <w:rPr>
          <w:lang w:val="es-ES"/>
        </w:rPr>
        <w:t>VIII/2–IV/2, par.</w:t>
      </w:r>
      <w:r w:rsidR="00671BB8">
        <w:rPr>
          <w:lang w:val="es-ES"/>
        </w:rPr>
        <w:t> </w:t>
      </w:r>
      <w:r w:rsidRPr="00FE4086">
        <w:rPr>
          <w:lang w:val="es-ES"/>
        </w:rPr>
        <w:t>12.</w:t>
      </w:r>
    </w:p>
  </w:footnote>
  <w:footnote w:id="20">
    <w:p w14:paraId="66ACDD1D" w14:textId="7FCB32F7" w:rsidR="00C51928" w:rsidRPr="00FE4086" w:rsidRDefault="00C51928" w:rsidP="00C51928">
      <w:pPr>
        <w:pStyle w:val="Notedebasdepage"/>
        <w:rPr>
          <w:lang w:val="es-ES"/>
        </w:rPr>
      </w:pPr>
      <w:r w:rsidRPr="00FE4086">
        <w:rPr>
          <w:lang w:val="es-ES"/>
        </w:rPr>
        <w:tab/>
      </w:r>
      <w:r w:rsidRPr="00622C8E">
        <w:rPr>
          <w:rStyle w:val="Appelnotedebasdep"/>
        </w:rPr>
        <w:footnoteRef/>
      </w:r>
      <w:r w:rsidRPr="00FE4086">
        <w:rPr>
          <w:lang w:val="es-ES"/>
        </w:rPr>
        <w:tab/>
        <w:t>ECE/MP.EIA/30</w:t>
      </w:r>
      <w:r w:rsidR="007D7168">
        <w:rPr>
          <w:lang w:val="es-ES"/>
        </w:rPr>
        <w:t>-</w:t>
      </w:r>
      <w:r w:rsidRPr="00FE4086">
        <w:rPr>
          <w:lang w:val="es-ES"/>
        </w:rPr>
        <w:t>ECE/MP.EIA/SEA/13, par.</w:t>
      </w:r>
      <w:r w:rsidR="00671BB8">
        <w:rPr>
          <w:lang w:val="es-ES"/>
        </w:rPr>
        <w:t> </w:t>
      </w:r>
      <w:r w:rsidRPr="00FE4086">
        <w:rPr>
          <w:lang w:val="es-ES"/>
        </w:rPr>
        <w:t>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C823E" w14:textId="4AD74C66" w:rsidR="00C51928" w:rsidRPr="00455C80" w:rsidRDefault="00C51928">
    <w:pPr>
      <w:pStyle w:val="En-tte"/>
    </w:pPr>
    <w:fldSimple w:instr=" TITLE  \* MERGEFORMAT ">
      <w:r w:rsidR="00B777F7">
        <w:t>ECE/MP.EIA/WG.2/2021/1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E849F" w14:textId="0CD38868" w:rsidR="00C51928" w:rsidRPr="00455C80" w:rsidRDefault="00C51928" w:rsidP="00455C80">
    <w:pPr>
      <w:pStyle w:val="En-tte"/>
      <w:jc w:val="right"/>
    </w:pPr>
    <w:fldSimple w:instr=" TITLE  \* MERGEFORMAT ">
      <w:r w:rsidR="00B777F7">
        <w:t>ECE/MP.EIA/WG.2/2021/1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FEA"/>
    <w:rsid w:val="00017F94"/>
    <w:rsid w:val="00023842"/>
    <w:rsid w:val="00031189"/>
    <w:rsid w:val="000334F9"/>
    <w:rsid w:val="0007796D"/>
    <w:rsid w:val="000B7790"/>
    <w:rsid w:val="00111F2F"/>
    <w:rsid w:val="001204A6"/>
    <w:rsid w:val="0014365E"/>
    <w:rsid w:val="00176178"/>
    <w:rsid w:val="001C7B10"/>
    <w:rsid w:val="001F525A"/>
    <w:rsid w:val="00223272"/>
    <w:rsid w:val="0024779E"/>
    <w:rsid w:val="002832AC"/>
    <w:rsid w:val="002B40F9"/>
    <w:rsid w:val="002D7C93"/>
    <w:rsid w:val="00326C3E"/>
    <w:rsid w:val="00441C3B"/>
    <w:rsid w:val="00446FE5"/>
    <w:rsid w:val="00452396"/>
    <w:rsid w:val="00455C80"/>
    <w:rsid w:val="004E468C"/>
    <w:rsid w:val="00537696"/>
    <w:rsid w:val="005505B7"/>
    <w:rsid w:val="00573BE5"/>
    <w:rsid w:val="00586ED3"/>
    <w:rsid w:val="00596AA9"/>
    <w:rsid w:val="005D6D16"/>
    <w:rsid w:val="005F26E5"/>
    <w:rsid w:val="00671BB8"/>
    <w:rsid w:val="006C0E3B"/>
    <w:rsid w:val="0071601D"/>
    <w:rsid w:val="0076036E"/>
    <w:rsid w:val="00764FEA"/>
    <w:rsid w:val="007A5FC4"/>
    <w:rsid w:val="007A62E6"/>
    <w:rsid w:val="007D1D6C"/>
    <w:rsid w:val="007D7168"/>
    <w:rsid w:val="0080684C"/>
    <w:rsid w:val="00851CF8"/>
    <w:rsid w:val="00871C75"/>
    <w:rsid w:val="008776DC"/>
    <w:rsid w:val="008D6B3F"/>
    <w:rsid w:val="0090540F"/>
    <w:rsid w:val="009705C8"/>
    <w:rsid w:val="009C1CF4"/>
    <w:rsid w:val="00A14420"/>
    <w:rsid w:val="00A30353"/>
    <w:rsid w:val="00AC3823"/>
    <w:rsid w:val="00AE323C"/>
    <w:rsid w:val="00B00181"/>
    <w:rsid w:val="00B00B0D"/>
    <w:rsid w:val="00B61815"/>
    <w:rsid w:val="00B765F7"/>
    <w:rsid w:val="00B777F7"/>
    <w:rsid w:val="00BA0CA9"/>
    <w:rsid w:val="00C02897"/>
    <w:rsid w:val="00C51928"/>
    <w:rsid w:val="00C554CE"/>
    <w:rsid w:val="00CE26D2"/>
    <w:rsid w:val="00D10164"/>
    <w:rsid w:val="00D3439C"/>
    <w:rsid w:val="00D503D3"/>
    <w:rsid w:val="00DB1831"/>
    <w:rsid w:val="00DD3BFD"/>
    <w:rsid w:val="00DF5712"/>
    <w:rsid w:val="00DF6678"/>
    <w:rsid w:val="00E96BD6"/>
    <w:rsid w:val="00ED5F56"/>
    <w:rsid w:val="00EE22F9"/>
    <w:rsid w:val="00EF2E22"/>
    <w:rsid w:val="00F274A2"/>
    <w:rsid w:val="00F30EAB"/>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51BE9F"/>
  <w15:docId w15:val="{B34C7F3D-7387-4225-A1A3-B38E1F21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E22F9"/>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E22F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E22F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E22F9"/>
    <w:pPr>
      <w:spacing w:line="240" w:lineRule="auto"/>
    </w:pPr>
    <w:rPr>
      <w:sz w:val="16"/>
    </w:rPr>
  </w:style>
  <w:style w:type="character" w:customStyle="1" w:styleId="PieddepageCar">
    <w:name w:val="Pied de page Car"/>
    <w:aliases w:val="3_G Car"/>
    <w:basedOn w:val="Policepardfaut"/>
    <w:link w:val="Pieddepage"/>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EE22F9"/>
    <w:pPr>
      <w:tabs>
        <w:tab w:val="left" w:pos="1701"/>
        <w:tab w:val="left" w:pos="2268"/>
        <w:tab w:val="left" w:pos="2835"/>
      </w:tabs>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EE22F9"/>
    <w:rPr>
      <w:rFonts w:ascii="Times New Roman" w:hAnsi="Times New Roman"/>
      <w:sz w:val="18"/>
      <w:vertAlign w:val="superscript"/>
      <w:lang w:val="fr-CH"/>
    </w:rPr>
  </w:style>
  <w:style w:type="character" w:styleId="Appeldenotedefin">
    <w:name w:val="endnote reference"/>
    <w:aliases w:val="1_G"/>
    <w:basedOn w:val="Appelnotedebasdep"/>
    <w:qFormat/>
    <w:rsid w:val="00EE22F9"/>
    <w:rPr>
      <w:rFonts w:ascii="Times New Roman" w:hAnsi="Times New Roman"/>
      <w:sz w:val="18"/>
      <w:vertAlign w:val="superscript"/>
      <w:lang w:val="fr-CH"/>
    </w:rPr>
  </w:style>
  <w:style w:type="table" w:styleId="Grilledutableau">
    <w:name w:val="Table Grid"/>
    <w:basedOn w:val="Tableau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E22F9"/>
    <w:rPr>
      <w:color w:val="0000FF"/>
      <w:u w:val="none"/>
    </w:rPr>
  </w:style>
  <w:style w:type="character" w:styleId="Lienhypertextesuivivisit">
    <w:name w:val="FollowedHyperlink"/>
    <w:basedOn w:val="Policepardfaut"/>
    <w:unhideWhenUsed/>
    <w:rsid w:val="00EE22F9"/>
    <w:rPr>
      <w:color w:val="0000FF"/>
      <w:u w:val="none"/>
    </w:rPr>
  </w:style>
  <w:style w:type="paragraph" w:styleId="Notedebasdepage">
    <w:name w:val="footnote text"/>
    <w:aliases w:val="5_G"/>
    <w:basedOn w:val="Normal"/>
    <w:link w:val="NotedebasdepageCar"/>
    <w:qFormat/>
    <w:rsid w:val="00EE22F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E22F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E22F9"/>
  </w:style>
  <w:style w:type="character" w:customStyle="1" w:styleId="NotedefinCar">
    <w:name w:val="Note de fin Car"/>
    <w:aliases w:val="2_G Car"/>
    <w:basedOn w:val="Policepardfaut"/>
    <w:link w:val="Notedefin"/>
    <w:rsid w:val="00EE22F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E22F9"/>
    <w:rPr>
      <w:rFonts w:ascii="Times New Roman" w:hAnsi="Times New Roman"/>
      <w:b/>
      <w:sz w:val="18"/>
      <w:lang w:val="fr-CH"/>
    </w:rPr>
  </w:style>
  <w:style w:type="character" w:customStyle="1" w:styleId="Titre1Car">
    <w:name w:val="Titre 1 Car"/>
    <w:aliases w:val="Table_G Car"/>
    <w:basedOn w:val="Policepardfaut"/>
    <w:link w:val="Titre1"/>
    <w:rsid w:val="00EE22F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character" w:styleId="Mentionnonrsolue">
    <w:name w:val="Unresolved Mention"/>
    <w:basedOn w:val="Policepardfaut"/>
    <w:uiPriority w:val="99"/>
    <w:semiHidden/>
    <w:unhideWhenUsed/>
    <w:rsid w:val="00851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publications/environmental-assess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ECE_MP.dotm</Template>
  <TotalTime>0</TotalTime>
  <Pages>11</Pages>
  <Words>4611</Words>
  <Characters>25825</Characters>
  <Application>Microsoft Office Word</Application>
  <DocSecurity>0</DocSecurity>
  <Lines>469</Lines>
  <Paragraphs>230</Paragraphs>
  <ScaleCrop>false</ScaleCrop>
  <HeadingPairs>
    <vt:vector size="2" baseType="variant">
      <vt:variant>
        <vt:lpstr>Titre</vt:lpstr>
      </vt:variant>
      <vt:variant>
        <vt:i4>1</vt:i4>
      </vt:variant>
    </vt:vector>
  </HeadingPairs>
  <TitlesOfParts>
    <vt:vector size="1" baseType="lpstr">
      <vt:lpstr>ECE/MP.EIA/WG.2/2021/1</vt:lpstr>
    </vt:vector>
  </TitlesOfParts>
  <Company>DCM</Company>
  <LinksUpToDate>false</LinksUpToDate>
  <CharactersWithSpaces>30206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ECE/MP.EIA/WG.2/2021/1</dc:title>
  <dc:subject/>
  <dc:creator>Marie DESCHAMPS</dc:creator>
  <cp:keywords/>
  <cp:lastModifiedBy>Marie DESCHAMPS</cp:lastModifiedBy>
  <cp:revision>2</cp:revision>
  <cp:lastPrinted>2014-05-14T10:59:00Z</cp:lastPrinted>
  <dcterms:created xsi:type="dcterms:W3CDTF">2021-09-28T13:30:00Z</dcterms:created>
  <dcterms:modified xsi:type="dcterms:W3CDTF">2021-09-28T13:30:00Z</dcterms:modified>
</cp:coreProperties>
</file>