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9CAAD58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5F946D90" w14:textId="77777777" w:rsidR="00132EA9" w:rsidRPr="00DB58B5" w:rsidRDefault="00132EA9" w:rsidP="00F244E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C3C09FF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6586FEE" w14:textId="0E7D0373" w:rsidR="00132EA9" w:rsidRPr="00DB58B5" w:rsidRDefault="00F244EA" w:rsidP="00F244EA">
            <w:pPr>
              <w:jc w:val="right"/>
            </w:pPr>
            <w:r w:rsidRPr="00F244EA">
              <w:rPr>
                <w:sz w:val="40"/>
              </w:rPr>
              <w:t>ST</w:t>
            </w:r>
            <w:r>
              <w:t>/SG/AC.10/C.3/117</w:t>
            </w:r>
          </w:p>
        </w:tc>
      </w:tr>
      <w:tr w:rsidR="00132EA9" w:rsidRPr="00DB58B5" w14:paraId="03D6F0ED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68BF11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692D4844" wp14:editId="093A54C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76CE90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277F38" w14:textId="77777777" w:rsidR="00132EA9" w:rsidRDefault="00F244EA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59A1F1D0" w14:textId="77777777" w:rsidR="00F244EA" w:rsidRDefault="00F244EA" w:rsidP="00F244EA">
            <w:pPr>
              <w:spacing w:line="240" w:lineRule="exact"/>
            </w:pPr>
            <w:r>
              <w:t>26 juillet 2021</w:t>
            </w:r>
          </w:p>
          <w:p w14:paraId="410099DB" w14:textId="77777777" w:rsidR="00F244EA" w:rsidRDefault="00F244EA" w:rsidP="00F244EA">
            <w:pPr>
              <w:spacing w:line="240" w:lineRule="exact"/>
            </w:pPr>
            <w:r>
              <w:t>Français</w:t>
            </w:r>
          </w:p>
          <w:p w14:paraId="58DF268E" w14:textId="654E4608" w:rsidR="00F244EA" w:rsidRPr="00DB58B5" w:rsidRDefault="00F244EA" w:rsidP="00F244EA">
            <w:pPr>
              <w:spacing w:line="240" w:lineRule="exact"/>
            </w:pPr>
            <w:r>
              <w:t>Original : anglais</w:t>
            </w:r>
          </w:p>
        </w:tc>
      </w:tr>
    </w:tbl>
    <w:p w14:paraId="378C4DFD" w14:textId="28737191" w:rsidR="00F244EA" w:rsidRPr="00F244EA" w:rsidRDefault="00F244EA" w:rsidP="00F244EA">
      <w:pPr>
        <w:spacing w:before="120" w:after="120"/>
        <w:rPr>
          <w:b/>
          <w:bCs/>
          <w:sz w:val="24"/>
          <w:szCs w:val="24"/>
          <w:lang w:val="fr-FR"/>
        </w:rPr>
      </w:pPr>
      <w:r w:rsidRPr="00F244EA">
        <w:rPr>
          <w:b/>
          <w:bCs/>
          <w:sz w:val="24"/>
          <w:szCs w:val="24"/>
          <w:lang w:val="fr-FR"/>
        </w:rPr>
        <w:t>Comité d</w:t>
      </w:r>
      <w:r>
        <w:rPr>
          <w:b/>
          <w:bCs/>
          <w:sz w:val="24"/>
          <w:szCs w:val="24"/>
          <w:lang w:val="fr-FR"/>
        </w:rPr>
        <w:t>’</w:t>
      </w:r>
      <w:r w:rsidRPr="00F244EA">
        <w:rPr>
          <w:b/>
          <w:bCs/>
          <w:sz w:val="24"/>
          <w:szCs w:val="24"/>
          <w:lang w:val="fr-FR"/>
        </w:rPr>
        <w:t xml:space="preserve">experts du transport des marchandises dangereuses </w:t>
      </w:r>
      <w:r>
        <w:rPr>
          <w:b/>
          <w:bCs/>
          <w:sz w:val="24"/>
          <w:szCs w:val="24"/>
          <w:lang w:val="fr-FR"/>
        </w:rPr>
        <w:br/>
      </w:r>
      <w:r w:rsidRPr="00F244EA">
        <w:rPr>
          <w:b/>
          <w:bCs/>
          <w:sz w:val="24"/>
          <w:szCs w:val="24"/>
          <w:lang w:val="fr-FR"/>
        </w:rPr>
        <w:t xml:space="preserve">et du Système général harmonisé de classification </w:t>
      </w:r>
      <w:r>
        <w:rPr>
          <w:b/>
          <w:bCs/>
          <w:sz w:val="24"/>
          <w:szCs w:val="24"/>
          <w:lang w:val="fr-FR"/>
        </w:rPr>
        <w:br/>
      </w:r>
      <w:r w:rsidRPr="00F244EA">
        <w:rPr>
          <w:b/>
          <w:bCs/>
          <w:sz w:val="24"/>
          <w:szCs w:val="24"/>
          <w:lang w:val="fr-FR"/>
        </w:rPr>
        <w:t>et d</w:t>
      </w:r>
      <w:r>
        <w:rPr>
          <w:b/>
          <w:bCs/>
          <w:sz w:val="24"/>
          <w:szCs w:val="24"/>
          <w:lang w:val="fr-FR"/>
        </w:rPr>
        <w:t>’</w:t>
      </w:r>
      <w:r w:rsidRPr="00F244EA">
        <w:rPr>
          <w:b/>
          <w:bCs/>
          <w:sz w:val="24"/>
          <w:szCs w:val="24"/>
          <w:lang w:val="fr-FR"/>
        </w:rPr>
        <w:t>étiquetage des produits chimiques</w:t>
      </w:r>
    </w:p>
    <w:p w14:paraId="1C98BACE" w14:textId="60272B42" w:rsidR="00F244EA" w:rsidRPr="00F244EA" w:rsidRDefault="00F244EA" w:rsidP="00F244EA">
      <w:pPr>
        <w:spacing w:before="120"/>
        <w:rPr>
          <w:rFonts w:ascii="Helv" w:hAnsi="Helv" w:cs="Helv"/>
          <w:b/>
          <w:bCs/>
          <w:color w:val="000000"/>
          <w:lang w:val="fr-FR"/>
        </w:rPr>
      </w:pPr>
      <w:r w:rsidRPr="00F244EA">
        <w:rPr>
          <w:b/>
          <w:bCs/>
          <w:lang w:val="fr-FR"/>
        </w:rPr>
        <w:t>Sous-Comité d</w:t>
      </w:r>
      <w:r>
        <w:rPr>
          <w:b/>
          <w:bCs/>
          <w:lang w:val="fr-FR"/>
        </w:rPr>
        <w:t>’</w:t>
      </w:r>
      <w:r w:rsidRPr="00F244EA">
        <w:rPr>
          <w:b/>
          <w:bCs/>
          <w:lang w:val="fr-FR"/>
        </w:rPr>
        <w:t>experts du transport des marchandises dangereuses</w:t>
      </w:r>
    </w:p>
    <w:p w14:paraId="2A4326C9" w14:textId="77777777" w:rsidR="00F244EA" w:rsidRPr="00F244EA" w:rsidRDefault="00F244EA" w:rsidP="00F244EA">
      <w:pPr>
        <w:spacing w:before="120"/>
        <w:rPr>
          <w:b/>
          <w:bCs/>
          <w:lang w:val="fr-FR"/>
        </w:rPr>
      </w:pPr>
      <w:r w:rsidRPr="00F244EA">
        <w:rPr>
          <w:b/>
          <w:bCs/>
          <w:lang w:val="fr-FR"/>
        </w:rPr>
        <w:t>Cinquante-neuvième session</w:t>
      </w:r>
    </w:p>
    <w:p w14:paraId="6D33BE77" w14:textId="5512E086" w:rsidR="00F244EA" w:rsidRPr="00F244EA" w:rsidRDefault="00F244EA" w:rsidP="00F244EA">
      <w:pPr>
        <w:rPr>
          <w:lang w:val="fr-FR"/>
        </w:rPr>
      </w:pPr>
      <w:r w:rsidRPr="00F244EA">
        <w:rPr>
          <w:lang w:val="fr-FR"/>
        </w:rPr>
        <w:t xml:space="preserve">Genève, 29 novembre-8 décembre 2021 </w:t>
      </w:r>
      <w:r w:rsidRPr="00F244EA">
        <w:rPr>
          <w:lang w:val="fr-FR"/>
        </w:rPr>
        <w:br/>
        <w:t>Point 1 de l</w:t>
      </w:r>
      <w:r>
        <w:rPr>
          <w:lang w:val="fr-FR"/>
        </w:rPr>
        <w:t>’</w:t>
      </w:r>
      <w:r w:rsidRPr="00F244EA">
        <w:rPr>
          <w:lang w:val="fr-FR"/>
        </w:rPr>
        <w:t>ordre du jour provisoire</w:t>
      </w:r>
    </w:p>
    <w:p w14:paraId="751EC613" w14:textId="33F65D7D" w:rsidR="00F244EA" w:rsidRPr="00F244EA" w:rsidRDefault="00F244EA" w:rsidP="00F244EA">
      <w:pPr>
        <w:rPr>
          <w:b/>
          <w:bCs/>
          <w:lang w:val="fr-FR"/>
        </w:rPr>
      </w:pPr>
      <w:r w:rsidRPr="00F244EA">
        <w:rPr>
          <w:b/>
          <w:bCs/>
          <w:lang w:val="fr-FR"/>
        </w:rPr>
        <w:t>Adoption de l</w:t>
      </w:r>
      <w:r>
        <w:rPr>
          <w:b/>
          <w:bCs/>
          <w:lang w:val="fr-FR"/>
        </w:rPr>
        <w:t>’</w:t>
      </w:r>
      <w:r w:rsidRPr="00F244EA">
        <w:rPr>
          <w:b/>
          <w:bCs/>
          <w:lang w:val="fr-FR"/>
        </w:rPr>
        <w:t>ordre du jour</w:t>
      </w:r>
    </w:p>
    <w:p w14:paraId="38A1C801" w14:textId="7EDF0B09" w:rsidR="00F244EA" w:rsidRPr="00F244EA" w:rsidRDefault="00F244EA" w:rsidP="00F244EA">
      <w:pPr>
        <w:pStyle w:val="HChG"/>
        <w:rPr>
          <w:b w:val="0"/>
          <w:bCs/>
          <w:lang w:val="fr-FR"/>
        </w:rPr>
      </w:pPr>
      <w:r w:rsidRPr="00F244EA">
        <w:rPr>
          <w:lang w:val="fr-FR"/>
        </w:rPr>
        <w:tab/>
      </w:r>
      <w:r w:rsidRPr="00F244EA">
        <w:rPr>
          <w:lang w:val="fr-FR"/>
        </w:rPr>
        <w:tab/>
        <w:t xml:space="preserve">Ordre du jour provisoire de la cinquante-neuvième </w:t>
      </w:r>
      <w:r>
        <w:rPr>
          <w:lang w:val="fr-FR"/>
        </w:rPr>
        <w:br/>
      </w:r>
      <w:r w:rsidRPr="00F244EA">
        <w:rPr>
          <w:lang w:val="fr-FR"/>
        </w:rPr>
        <w:t>session</w:t>
      </w:r>
      <w:r w:rsidRPr="00F244E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Pr="00F244EA">
        <w:rPr>
          <w:b w:val="0"/>
          <w:bCs/>
          <w:sz w:val="18"/>
          <w:vertAlign w:val="superscript"/>
          <w:lang w:val="fr-FR"/>
        </w:rPr>
        <w:t xml:space="preserve">, </w:t>
      </w:r>
      <w:r w:rsidRPr="00F244EA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Pr="00F244EA">
        <w:rPr>
          <w:b w:val="0"/>
          <w:bCs/>
          <w:sz w:val="18"/>
          <w:vertAlign w:val="superscript"/>
          <w:lang w:val="fr-FR"/>
        </w:rPr>
        <w:t>,</w:t>
      </w:r>
      <w:r w:rsidRPr="00F244EA">
        <w:rPr>
          <w:b w:val="0"/>
          <w:bCs/>
          <w:lang w:val="fr-FR"/>
        </w:rPr>
        <w:t xml:space="preserve"> </w:t>
      </w:r>
      <w:r w:rsidRPr="00F244EA">
        <w:rPr>
          <w:rStyle w:val="FootnoteReference"/>
          <w:b w:val="0"/>
          <w:bCs/>
          <w:sz w:val="20"/>
          <w:vertAlign w:val="baseline"/>
        </w:rPr>
        <w:footnoteReference w:customMarkFollows="1" w:id="4"/>
        <w:t>***</w:t>
      </w:r>
    </w:p>
    <w:p w14:paraId="3182A701" w14:textId="39078070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Qui s</w:t>
      </w:r>
      <w:r>
        <w:rPr>
          <w:lang w:val="fr-FR"/>
        </w:rPr>
        <w:t>’</w:t>
      </w:r>
      <w:r w:rsidRPr="00F244EA">
        <w:rPr>
          <w:lang w:val="fr-FR"/>
        </w:rPr>
        <w:t>ouvrira au Palais des Nations, à Genève, le lundi 29 novembre 2021 à 10 heures et se tiendra sous forme hybride</w:t>
      </w:r>
    </w:p>
    <w:p w14:paraId="7C4DA6A1" w14:textId="0AB64F25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1.</w:t>
      </w:r>
      <w:r w:rsidRPr="00F244EA">
        <w:rPr>
          <w:lang w:val="fr-FR"/>
        </w:rPr>
        <w:tab/>
        <w:t>Adoption de l</w:t>
      </w:r>
      <w:r>
        <w:rPr>
          <w:lang w:val="fr-FR"/>
        </w:rPr>
        <w:t>’</w:t>
      </w:r>
      <w:r w:rsidRPr="00F244EA">
        <w:rPr>
          <w:lang w:val="fr-FR"/>
        </w:rPr>
        <w:t>ordre du jour.</w:t>
      </w:r>
    </w:p>
    <w:p w14:paraId="49FE6373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2.</w:t>
      </w:r>
      <w:r w:rsidRPr="00F244EA">
        <w:rPr>
          <w:lang w:val="fr-FR"/>
        </w:rPr>
        <w:tab/>
        <w:t>Explosifs et questions connexes :</w:t>
      </w:r>
    </w:p>
    <w:p w14:paraId="3F3A2172" w14:textId="156C0802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a)</w:t>
      </w:r>
      <w:r w:rsidRPr="00F244EA">
        <w:rPr>
          <w:lang w:val="fr-FR"/>
        </w:rPr>
        <w:tab/>
        <w:t>Examen des épreuves de la série 6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3421F71E" w14:textId="6A09133B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b)</w:t>
      </w:r>
      <w:r w:rsidRPr="00F244EA">
        <w:rPr>
          <w:lang w:val="fr-FR"/>
        </w:rPr>
        <w:tab/>
        <w:t>Amélioration des essais de la série 8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16121889" w14:textId="7933AF0C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c)</w:t>
      </w:r>
      <w:r w:rsidRPr="00F244EA">
        <w:rPr>
          <w:lang w:val="fr-FR"/>
        </w:rPr>
        <w:tab/>
        <w:t>Révision des épreuves des parties I, II et III du Manuel d</w:t>
      </w:r>
      <w:r>
        <w:rPr>
          <w:lang w:val="fr-FR"/>
        </w:rPr>
        <w:t>’</w:t>
      </w:r>
      <w:r w:rsidRPr="00F244EA">
        <w:rPr>
          <w:lang w:val="fr-FR"/>
        </w:rPr>
        <w:t>épreuves et de critères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4F44030E" w14:textId="07D9A4C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d)</w:t>
      </w:r>
      <w:r w:rsidRPr="00F244EA">
        <w:rPr>
          <w:lang w:val="fr-FR"/>
        </w:rPr>
        <w:tab/>
        <w:t>Détonateurs normalisés «</w:t>
      </w:r>
      <w:r>
        <w:rPr>
          <w:lang w:val="fr-FR"/>
        </w:rPr>
        <w:t> </w:t>
      </w:r>
      <w:r w:rsidRPr="00F244EA">
        <w:rPr>
          <w:lang w:val="fr-FR"/>
        </w:rPr>
        <w:t>UN</w:t>
      </w:r>
      <w:r>
        <w:rPr>
          <w:lang w:val="fr-FR"/>
        </w:rPr>
        <w:t> </w:t>
      </w:r>
      <w:r w:rsidRPr="00F244EA">
        <w:rPr>
          <w:lang w:val="fr-FR"/>
        </w:rPr>
        <w:t>»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7F360E44" w14:textId="7EC8FB4B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e)</w:t>
      </w:r>
      <w:r w:rsidRPr="00F244EA">
        <w:rPr>
          <w:lang w:val="fr-FR"/>
        </w:rPr>
        <w:tab/>
        <w:t>Révision des instructions d</w:t>
      </w:r>
      <w:r>
        <w:rPr>
          <w:lang w:val="fr-FR"/>
        </w:rPr>
        <w:t>’</w:t>
      </w:r>
      <w:r w:rsidRPr="00F244EA">
        <w:rPr>
          <w:lang w:val="fr-FR"/>
        </w:rPr>
        <w:t>emballage relatives aux explosifs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57CE5344" w14:textId="3D9AAF03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f)</w:t>
      </w:r>
      <w:r w:rsidRPr="00F244EA">
        <w:rPr>
          <w:lang w:val="fr-FR"/>
        </w:rPr>
        <w:tab/>
        <w:t>Échantillons énergétiques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215D4E9E" w14:textId="08B49900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g)</w:t>
      </w:r>
      <w:r w:rsidRPr="00F244EA">
        <w:rPr>
          <w:lang w:val="fr-FR"/>
        </w:rPr>
        <w:tab/>
        <w:t>Questions liées à la définition des explosifs</w:t>
      </w:r>
      <w:r>
        <w:rPr>
          <w:lang w:val="fr-FR"/>
        </w:rPr>
        <w:t> </w:t>
      </w:r>
      <w:r w:rsidRPr="00F244EA">
        <w:rPr>
          <w:lang w:val="fr-FR"/>
        </w:rPr>
        <w:t xml:space="preserve">; </w:t>
      </w:r>
    </w:p>
    <w:p w14:paraId="139DC0FE" w14:textId="368073FC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h)</w:t>
      </w:r>
      <w:r w:rsidRPr="00F244EA">
        <w:rPr>
          <w:lang w:val="fr-FR"/>
        </w:rPr>
        <w:tab/>
        <w:t>Examen des prescriptions en matière d</w:t>
      </w:r>
      <w:r>
        <w:rPr>
          <w:lang w:val="fr-FR"/>
        </w:rPr>
        <w:t>’</w:t>
      </w:r>
      <w:r w:rsidRPr="00F244EA">
        <w:rPr>
          <w:lang w:val="fr-FR"/>
        </w:rPr>
        <w:t xml:space="preserve">emballage et de transport pour </w:t>
      </w:r>
      <w:r>
        <w:rPr>
          <w:lang w:val="fr-FR"/>
        </w:rPr>
        <w:br/>
      </w:r>
      <w:r w:rsidRPr="00F244EA">
        <w:rPr>
          <w:lang w:val="fr-FR"/>
        </w:rPr>
        <w:t>les ENA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26018F97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i)</w:t>
      </w:r>
      <w:r w:rsidRPr="00F244EA">
        <w:rPr>
          <w:lang w:val="fr-FR"/>
        </w:rPr>
        <w:tab/>
        <w:t>Questions diverses.</w:t>
      </w:r>
    </w:p>
    <w:p w14:paraId="24EE59FE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3.</w:t>
      </w:r>
      <w:r w:rsidRPr="00F244EA">
        <w:rPr>
          <w:lang w:val="fr-FR"/>
        </w:rPr>
        <w:tab/>
        <w:t>Inscription, classement et emballage.</w:t>
      </w:r>
    </w:p>
    <w:p w14:paraId="66FF1959" w14:textId="6D03D655" w:rsidR="00F244EA" w:rsidRPr="00F244EA" w:rsidRDefault="00F244EA" w:rsidP="00F244EA">
      <w:pPr>
        <w:pStyle w:val="SingleTxtG"/>
        <w:keepNext/>
        <w:rPr>
          <w:lang w:val="fr-FR"/>
        </w:rPr>
      </w:pPr>
      <w:r w:rsidRPr="00F244EA">
        <w:rPr>
          <w:lang w:val="fr-FR"/>
        </w:rPr>
        <w:lastRenderedPageBreak/>
        <w:t>4.</w:t>
      </w:r>
      <w:r w:rsidRPr="00F244EA">
        <w:rPr>
          <w:lang w:val="fr-FR"/>
        </w:rPr>
        <w:tab/>
        <w:t>Systèmes de stockage de l</w:t>
      </w:r>
      <w:r>
        <w:rPr>
          <w:lang w:val="fr-FR"/>
        </w:rPr>
        <w:t>’</w:t>
      </w:r>
      <w:r w:rsidRPr="00F244EA">
        <w:rPr>
          <w:lang w:val="fr-FR"/>
        </w:rPr>
        <w:t>électricité</w:t>
      </w:r>
      <w:r>
        <w:rPr>
          <w:lang w:val="fr-FR"/>
        </w:rPr>
        <w:t> </w:t>
      </w:r>
      <w:r w:rsidRPr="00F244EA">
        <w:rPr>
          <w:lang w:val="fr-FR"/>
        </w:rPr>
        <w:t>:</w:t>
      </w:r>
    </w:p>
    <w:p w14:paraId="637C4E63" w14:textId="5A1741CB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a)</w:t>
      </w:r>
      <w:r w:rsidRPr="00F244EA">
        <w:rPr>
          <w:lang w:val="fr-FR"/>
        </w:rPr>
        <w:tab/>
        <w:t>Épreuves pour batteries au lithium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32D80AC0" w14:textId="4C0509EA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b)</w:t>
      </w:r>
      <w:r w:rsidRPr="00F244EA">
        <w:rPr>
          <w:lang w:val="fr-FR"/>
        </w:rPr>
        <w:tab/>
        <w:t>Système de classification des batteries au lithium en fonction du danger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252138F9" w14:textId="3782C2A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c)</w:t>
      </w:r>
      <w:r w:rsidRPr="00F244EA">
        <w:rPr>
          <w:lang w:val="fr-FR"/>
        </w:rPr>
        <w:tab/>
        <w:t>Dispositions relatives au transport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06937E67" w14:textId="6FFC2D74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d)</w:t>
      </w:r>
      <w:r w:rsidRPr="00F244EA">
        <w:rPr>
          <w:lang w:val="fr-FR"/>
        </w:rPr>
        <w:tab/>
        <w:t>Batteries au lithium endommagées ou défectueuses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6364F601" w14:textId="7C858AED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e)</w:t>
      </w:r>
      <w:r w:rsidRPr="00F244EA">
        <w:rPr>
          <w:lang w:val="fr-FR"/>
        </w:rPr>
        <w:tab/>
        <w:t>Batteries au sodium-ion</w:t>
      </w:r>
      <w:r>
        <w:rPr>
          <w:lang w:val="fr-FR"/>
        </w:rPr>
        <w:t> ;</w:t>
      </w:r>
    </w:p>
    <w:p w14:paraId="333E743B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f)</w:t>
      </w:r>
      <w:r w:rsidRPr="00F244EA">
        <w:rPr>
          <w:lang w:val="fr-FR"/>
        </w:rPr>
        <w:tab/>
        <w:t>Divers.</w:t>
      </w:r>
    </w:p>
    <w:p w14:paraId="7DFDDC8A" w14:textId="7ED84310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5.</w:t>
      </w:r>
      <w:r w:rsidRPr="00F244EA">
        <w:rPr>
          <w:lang w:val="fr-FR"/>
        </w:rPr>
        <w:tab/>
        <w:t>Transport de gaz</w:t>
      </w:r>
      <w:r>
        <w:rPr>
          <w:lang w:val="fr-FR"/>
        </w:rPr>
        <w:t> </w:t>
      </w:r>
      <w:r w:rsidRPr="00F244EA">
        <w:rPr>
          <w:lang w:val="fr-FR"/>
        </w:rPr>
        <w:t>:</w:t>
      </w:r>
    </w:p>
    <w:p w14:paraId="0F02838F" w14:textId="7857A566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a)</w:t>
      </w:r>
      <w:r w:rsidRPr="00F244EA">
        <w:rPr>
          <w:lang w:val="fr-FR"/>
        </w:rPr>
        <w:tab/>
        <w:t>Reconnaissance universelle des récipients à pression ONU et non ONU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6E7DCE4D" w14:textId="73D1E7ED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b)</w:t>
      </w:r>
      <w:r w:rsidRPr="00F244EA">
        <w:rPr>
          <w:lang w:val="fr-FR"/>
        </w:rPr>
        <w:tab/>
        <w:t>Gaz de la division 2.2 transportés en quantités limitées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6B605981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c)</w:t>
      </w:r>
      <w:r w:rsidRPr="00F244EA">
        <w:rPr>
          <w:lang w:val="fr-FR"/>
        </w:rPr>
        <w:tab/>
        <w:t>Divers.</w:t>
      </w:r>
    </w:p>
    <w:p w14:paraId="6A569BAD" w14:textId="0972F55D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6.</w:t>
      </w:r>
      <w:r w:rsidRPr="00F244EA">
        <w:rPr>
          <w:lang w:val="fr-FR"/>
        </w:rPr>
        <w:tab/>
        <w:t>Propositions diverses d</w:t>
      </w:r>
      <w:r>
        <w:rPr>
          <w:lang w:val="fr-FR"/>
        </w:rPr>
        <w:t>’</w:t>
      </w:r>
      <w:r w:rsidRPr="00F244EA">
        <w:rPr>
          <w:lang w:val="fr-FR"/>
        </w:rPr>
        <w:t>amendements au Règlement type pour le transport des marchandises dangereuses</w:t>
      </w:r>
      <w:r>
        <w:rPr>
          <w:lang w:val="fr-FR"/>
        </w:rPr>
        <w:t> </w:t>
      </w:r>
      <w:r w:rsidRPr="00F244EA">
        <w:rPr>
          <w:lang w:val="fr-FR"/>
        </w:rPr>
        <w:t>:</w:t>
      </w:r>
    </w:p>
    <w:p w14:paraId="179F38C2" w14:textId="7BD77E7E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a)</w:t>
      </w:r>
      <w:r w:rsidRPr="00F244EA">
        <w:rPr>
          <w:lang w:val="fr-FR"/>
        </w:rPr>
        <w:tab/>
        <w:t>Marquage et étiquetage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52511616" w14:textId="0781B24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b)</w:t>
      </w:r>
      <w:r w:rsidRPr="00F244EA">
        <w:rPr>
          <w:lang w:val="fr-FR"/>
        </w:rPr>
        <w:tab/>
        <w:t>Emballages, y compris l</w:t>
      </w:r>
      <w:r>
        <w:rPr>
          <w:lang w:val="fr-FR"/>
        </w:rPr>
        <w:t>’</w:t>
      </w:r>
      <w:r w:rsidRPr="00F244EA">
        <w:rPr>
          <w:lang w:val="fr-FR"/>
        </w:rPr>
        <w:t>utilisation des matières plastiques recyclées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0BC918E5" w14:textId="74CA83E1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c)</w:t>
      </w:r>
      <w:r w:rsidRPr="00F244EA">
        <w:rPr>
          <w:lang w:val="fr-FR"/>
        </w:rPr>
        <w:tab/>
        <w:t>Citernes mobiles</w:t>
      </w:r>
      <w:r>
        <w:rPr>
          <w:lang w:val="fr-FR"/>
        </w:rPr>
        <w:t> ;</w:t>
      </w:r>
    </w:p>
    <w:p w14:paraId="3CCCC6EF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d)</w:t>
      </w:r>
      <w:r w:rsidRPr="00F244EA">
        <w:rPr>
          <w:lang w:val="fr-FR"/>
        </w:rPr>
        <w:tab/>
        <w:t>Autres propositions diverses.</w:t>
      </w:r>
    </w:p>
    <w:p w14:paraId="16F88C14" w14:textId="5DD19C4C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7.</w:t>
      </w:r>
      <w:r w:rsidRPr="00F244EA">
        <w:rPr>
          <w:lang w:val="fr-FR"/>
        </w:rPr>
        <w:tab/>
        <w:t>Harmonisation générale de la Réglementation pour le transport des marchandises dangereuses avec le Règlement type</w:t>
      </w:r>
      <w:r>
        <w:rPr>
          <w:lang w:val="fr-FR"/>
        </w:rPr>
        <w:t>.</w:t>
      </w:r>
    </w:p>
    <w:p w14:paraId="58229928" w14:textId="32264AA6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8.</w:t>
      </w:r>
      <w:r w:rsidRPr="00F244EA">
        <w:rPr>
          <w:lang w:val="fr-FR"/>
        </w:rPr>
        <w:tab/>
        <w:t>Coopération avec l</w:t>
      </w:r>
      <w:r>
        <w:rPr>
          <w:lang w:val="fr-FR"/>
        </w:rPr>
        <w:t>’</w:t>
      </w:r>
      <w:r w:rsidRPr="00F244EA">
        <w:rPr>
          <w:lang w:val="fr-FR"/>
        </w:rPr>
        <w:t>Agence internationale de l</w:t>
      </w:r>
      <w:r>
        <w:rPr>
          <w:lang w:val="fr-FR"/>
        </w:rPr>
        <w:t>’</w:t>
      </w:r>
      <w:r w:rsidRPr="00F244EA">
        <w:rPr>
          <w:lang w:val="fr-FR"/>
        </w:rPr>
        <w:t>énergie atomique.</w:t>
      </w:r>
    </w:p>
    <w:p w14:paraId="425A6EB8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9.</w:t>
      </w:r>
      <w:r w:rsidRPr="00F244EA">
        <w:rPr>
          <w:lang w:val="fr-FR"/>
        </w:rPr>
        <w:tab/>
        <w:t>Principes directeurs du Règlement type.</w:t>
      </w:r>
    </w:p>
    <w:p w14:paraId="225664DC" w14:textId="5D09AC4C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10.</w:t>
      </w:r>
      <w:r w:rsidRPr="00F244EA">
        <w:rPr>
          <w:lang w:val="fr-FR"/>
        </w:rPr>
        <w:tab/>
        <w:t>Questions relatives au Système général harmonisé de classification et d</w:t>
      </w:r>
      <w:r>
        <w:rPr>
          <w:lang w:val="fr-FR"/>
        </w:rPr>
        <w:t>’</w:t>
      </w:r>
      <w:r w:rsidRPr="00F244EA">
        <w:rPr>
          <w:lang w:val="fr-FR"/>
        </w:rPr>
        <w:t>étiquetage des produits chimiques</w:t>
      </w:r>
      <w:r w:rsidRPr="00F244EA">
        <w:rPr>
          <w:sz w:val="18"/>
          <w:vertAlign w:val="superscript"/>
          <w:lang w:val="fr-FR"/>
        </w:rPr>
        <w:footnoteReference w:customMarkFollows="1" w:id="5"/>
        <w:sym w:font="Symbol" w:char="F031"/>
      </w:r>
      <w:r>
        <w:rPr>
          <w:lang w:val="fr-FR"/>
        </w:rPr>
        <w:t> </w:t>
      </w:r>
      <w:r w:rsidRPr="00F244EA">
        <w:rPr>
          <w:lang w:val="fr-FR"/>
        </w:rPr>
        <w:t>:</w:t>
      </w:r>
    </w:p>
    <w:p w14:paraId="6768017E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a)</w:t>
      </w:r>
      <w:r w:rsidRPr="00F244EA">
        <w:rPr>
          <w:lang w:val="fr-FR"/>
        </w:rPr>
        <w:tab/>
        <w:t>Épreuves relatives aux matières comburantes ;</w:t>
      </w:r>
    </w:p>
    <w:p w14:paraId="1C0E3A1C" w14:textId="12460EAA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b)</w:t>
      </w:r>
      <w:r w:rsidRPr="00F244EA">
        <w:rPr>
          <w:lang w:val="fr-FR"/>
        </w:rPr>
        <w:tab/>
        <w:t>Classification simultanée des dangers physiques et ordre de prépondérance des dangers</w:t>
      </w:r>
      <w:r>
        <w:rPr>
          <w:lang w:val="fr-FR"/>
        </w:rPr>
        <w:t> </w:t>
      </w:r>
      <w:r w:rsidRPr="00F244EA">
        <w:rPr>
          <w:lang w:val="fr-FR"/>
        </w:rPr>
        <w:t>;</w:t>
      </w:r>
    </w:p>
    <w:p w14:paraId="68D7F6E5" w14:textId="77777777" w:rsidR="00F244EA" w:rsidRPr="00F244EA" w:rsidRDefault="00F244EA" w:rsidP="00F244EA">
      <w:pPr>
        <w:pStyle w:val="SingleTxtG"/>
        <w:ind w:left="2268" w:hanging="567"/>
        <w:rPr>
          <w:lang w:val="fr-FR"/>
        </w:rPr>
      </w:pPr>
      <w:r w:rsidRPr="00F244EA">
        <w:rPr>
          <w:lang w:val="fr-FR"/>
        </w:rPr>
        <w:t>c)</w:t>
      </w:r>
      <w:r w:rsidRPr="00F244EA">
        <w:rPr>
          <w:lang w:val="fr-FR"/>
        </w:rPr>
        <w:tab/>
        <w:t>Divers.</w:t>
      </w:r>
    </w:p>
    <w:p w14:paraId="4027AE45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11.</w:t>
      </w:r>
      <w:r w:rsidRPr="00F244EA">
        <w:rPr>
          <w:lang w:val="fr-FR"/>
        </w:rPr>
        <w:tab/>
        <w:t>Uniformisation des interprétations du Règlement type.</w:t>
      </w:r>
    </w:p>
    <w:p w14:paraId="4D55694D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12.</w:t>
      </w:r>
      <w:r w:rsidRPr="00F244EA">
        <w:rPr>
          <w:lang w:val="fr-FR"/>
        </w:rPr>
        <w:tab/>
        <w:t>Mise en œuvre du Règlement type.</w:t>
      </w:r>
    </w:p>
    <w:p w14:paraId="60B59FD0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13.</w:t>
      </w:r>
      <w:r w:rsidRPr="00F244EA">
        <w:rPr>
          <w:lang w:val="fr-FR"/>
        </w:rPr>
        <w:tab/>
        <w:t>Formation à la sécurité et renforcement des capacités en ce qui concerne les marchandises dangereuses.</w:t>
      </w:r>
    </w:p>
    <w:p w14:paraId="32C0DD88" w14:textId="77777777" w:rsidR="00F244EA" w:rsidRPr="00F244EA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14.</w:t>
      </w:r>
      <w:r w:rsidRPr="00F244EA">
        <w:rPr>
          <w:lang w:val="fr-FR"/>
        </w:rPr>
        <w:tab/>
        <w:t>Questions diverses.</w:t>
      </w:r>
    </w:p>
    <w:p w14:paraId="05C85188" w14:textId="08E87F4E" w:rsidR="00446FE5" w:rsidRDefault="00F244EA" w:rsidP="00F244EA">
      <w:pPr>
        <w:pStyle w:val="SingleTxtG"/>
        <w:rPr>
          <w:lang w:val="fr-FR"/>
        </w:rPr>
      </w:pPr>
      <w:r w:rsidRPr="00F244EA">
        <w:rPr>
          <w:lang w:val="fr-FR"/>
        </w:rPr>
        <w:t>15.</w:t>
      </w:r>
      <w:r w:rsidRPr="00F244EA">
        <w:rPr>
          <w:lang w:val="fr-FR"/>
        </w:rPr>
        <w:tab/>
        <w:t>Adoption du rapport.</w:t>
      </w:r>
    </w:p>
    <w:p w14:paraId="5A687FD8" w14:textId="75FD5742" w:rsidR="00F244EA" w:rsidRPr="00F244EA" w:rsidRDefault="00F244EA" w:rsidP="00F244E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244EA" w:rsidRPr="00F244EA" w:rsidSect="00F244E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AE9AB" w14:textId="77777777" w:rsidR="005B5228" w:rsidRDefault="005B5228" w:rsidP="00F95C08">
      <w:pPr>
        <w:spacing w:line="240" w:lineRule="auto"/>
      </w:pPr>
    </w:p>
  </w:endnote>
  <w:endnote w:type="continuationSeparator" w:id="0">
    <w:p w14:paraId="48248FCF" w14:textId="77777777" w:rsidR="005B5228" w:rsidRPr="00AC3823" w:rsidRDefault="005B5228" w:rsidP="00AC3823">
      <w:pPr>
        <w:pStyle w:val="Footer"/>
      </w:pPr>
    </w:p>
  </w:endnote>
  <w:endnote w:type="continuationNotice" w:id="1">
    <w:p w14:paraId="51AA2C6E" w14:textId="77777777" w:rsidR="005B5228" w:rsidRDefault="005B522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EEB1E" w14:textId="654CDEBD" w:rsidR="00F244EA" w:rsidRPr="00F244EA" w:rsidRDefault="00F244EA" w:rsidP="00F244EA">
    <w:pPr>
      <w:pStyle w:val="Footer"/>
      <w:tabs>
        <w:tab w:val="right" w:pos="9638"/>
      </w:tabs>
    </w:pPr>
    <w:r w:rsidRPr="00F244EA">
      <w:rPr>
        <w:b/>
        <w:sz w:val="18"/>
      </w:rPr>
      <w:fldChar w:fldCharType="begin"/>
    </w:r>
    <w:r w:rsidRPr="00F244EA">
      <w:rPr>
        <w:b/>
        <w:sz w:val="18"/>
      </w:rPr>
      <w:instrText xml:space="preserve"> PAGE  \* MERGEFORMAT </w:instrText>
    </w:r>
    <w:r w:rsidRPr="00F244EA">
      <w:rPr>
        <w:b/>
        <w:sz w:val="18"/>
      </w:rPr>
      <w:fldChar w:fldCharType="separate"/>
    </w:r>
    <w:r w:rsidRPr="00F244EA">
      <w:rPr>
        <w:b/>
        <w:noProof/>
        <w:sz w:val="18"/>
      </w:rPr>
      <w:t>2</w:t>
    </w:r>
    <w:r w:rsidRPr="00F244EA">
      <w:rPr>
        <w:b/>
        <w:sz w:val="18"/>
      </w:rPr>
      <w:fldChar w:fldCharType="end"/>
    </w:r>
    <w:r>
      <w:rPr>
        <w:b/>
        <w:sz w:val="18"/>
      </w:rPr>
      <w:tab/>
    </w:r>
    <w:r>
      <w:t>GE.21-10209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2F63E" w14:textId="57D28194" w:rsidR="00F244EA" w:rsidRPr="00F244EA" w:rsidRDefault="00F244EA" w:rsidP="00F244EA">
    <w:pPr>
      <w:pStyle w:val="Footer"/>
      <w:tabs>
        <w:tab w:val="right" w:pos="9638"/>
      </w:tabs>
      <w:rPr>
        <w:b/>
        <w:sz w:val="18"/>
      </w:rPr>
    </w:pPr>
    <w:r>
      <w:t>GE.21-10209</w:t>
    </w:r>
    <w:r>
      <w:tab/>
    </w:r>
    <w:r w:rsidRPr="00F244EA">
      <w:rPr>
        <w:b/>
        <w:sz w:val="18"/>
      </w:rPr>
      <w:fldChar w:fldCharType="begin"/>
    </w:r>
    <w:r w:rsidRPr="00F244EA">
      <w:rPr>
        <w:b/>
        <w:sz w:val="18"/>
      </w:rPr>
      <w:instrText xml:space="preserve"> PAGE  \* MERGEFORMAT </w:instrText>
    </w:r>
    <w:r w:rsidRPr="00F244EA">
      <w:rPr>
        <w:b/>
        <w:sz w:val="18"/>
      </w:rPr>
      <w:fldChar w:fldCharType="separate"/>
    </w:r>
    <w:r w:rsidRPr="00F244EA">
      <w:rPr>
        <w:b/>
        <w:noProof/>
        <w:sz w:val="18"/>
      </w:rPr>
      <w:t>3</w:t>
    </w:r>
    <w:r w:rsidRPr="00F244E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2D1D" w14:textId="1C8AA8EB" w:rsidR="0068456F" w:rsidRPr="00F244EA" w:rsidRDefault="00F244EA" w:rsidP="00F244E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DF8FCFC" wp14:editId="264B68E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</w:t>
    </w:r>
    <w:proofErr w:type="gramStart"/>
    <w:r>
      <w:rPr>
        <w:sz w:val="20"/>
      </w:rPr>
      <w:t>10209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34A0A5D" wp14:editId="2528525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561975" cy="5619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160921    170921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37512" w14:textId="77777777" w:rsidR="005B5228" w:rsidRPr="00AC3823" w:rsidRDefault="005B52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B98FCFC" w14:textId="77777777" w:rsidR="005B5228" w:rsidRPr="00AC3823" w:rsidRDefault="005B522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6243EF" w14:textId="77777777" w:rsidR="005B5228" w:rsidRPr="00AC3823" w:rsidRDefault="005B5228">
      <w:pPr>
        <w:spacing w:line="240" w:lineRule="auto"/>
        <w:rPr>
          <w:sz w:val="2"/>
          <w:szCs w:val="2"/>
        </w:rPr>
      </w:pPr>
    </w:p>
  </w:footnote>
  <w:footnote w:id="2">
    <w:p w14:paraId="0AF32656" w14:textId="3CEA3C90" w:rsidR="00F244EA" w:rsidRPr="00F244EA" w:rsidRDefault="00F244EA">
      <w:pPr>
        <w:pStyle w:val="FootnoteText"/>
      </w:pPr>
      <w:r>
        <w:rPr>
          <w:rStyle w:val="FootnoteReference"/>
        </w:rPr>
        <w:tab/>
      </w:r>
      <w:r w:rsidRPr="00F244E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Les notes explicatives seront distribuées sous la cote ST/SG/AC.10/C.3/117/Add.1. La date limite de soumission des documents est le 6 septembre 2021.</w:t>
      </w:r>
    </w:p>
  </w:footnote>
  <w:footnote w:id="3">
    <w:p w14:paraId="26340CF9" w14:textId="11AD7713" w:rsidR="00F244EA" w:rsidRPr="00F244EA" w:rsidRDefault="00F244EA">
      <w:pPr>
        <w:pStyle w:val="FootnoteText"/>
      </w:pPr>
      <w:r>
        <w:rPr>
          <w:rStyle w:val="FootnoteReference"/>
        </w:rPr>
        <w:tab/>
      </w:r>
      <w:r w:rsidRPr="00F244EA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Les documents pour la session seront disponibles en ligne à l’adresse : https://unece.org/transport/dangerous-goods. Cette réunion se déroulera sans support papier. Il n’y aura pas d’exemplaires des documents dans la salle de réunion.</w:t>
      </w:r>
    </w:p>
  </w:footnote>
  <w:footnote w:id="4">
    <w:p w14:paraId="37A0EC04" w14:textId="7F723A70" w:rsidR="00F244EA" w:rsidRPr="00F244EA" w:rsidRDefault="00F244EA">
      <w:pPr>
        <w:pStyle w:val="FootnoteText"/>
      </w:pPr>
      <w:r>
        <w:rPr>
          <w:rStyle w:val="FootnoteReference"/>
        </w:rPr>
        <w:tab/>
      </w:r>
      <w:r w:rsidRPr="00F244EA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Seuls les représentants inscrits pourront y participer. Les représentants désirant participer à la réunion en présentiel ou en ligne sont priés de s'inscrire en utilisant le nouveau système d’inscription de la CEE, à l'adresse suivante : https://indico.un.org/event/20249</w:t>
      </w:r>
    </w:p>
  </w:footnote>
  <w:footnote w:id="5">
    <w:p w14:paraId="09D8F5DD" w14:textId="64D85113" w:rsidR="00F244EA" w:rsidRPr="00F965D5" w:rsidRDefault="00F244EA" w:rsidP="00F244EA">
      <w:pPr>
        <w:pStyle w:val="FootnoteText"/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lang w:val="fr-FR"/>
        </w:rPr>
        <w:sym w:font="Symbol" w:char="F031"/>
      </w:r>
      <w:r>
        <w:rPr>
          <w:lang w:val="fr-FR"/>
        </w:rPr>
        <w:tab/>
        <w:t>Les participants aux travaux du Sous-Comité d’experts du Système général harmonisé de classification et d’étiquetage des produits chimiques (Sous-Comité SGH) qui ne participent pas habituellement aux travaux de ce Sous-Comité (TMD) sont invités à participer aux travaux du Sous</w:t>
      </w:r>
      <w:r>
        <w:rPr>
          <w:lang w:val="fr-FR"/>
        </w:rPr>
        <w:noBreakHyphen/>
        <w:t>Comité TMD quand celui-ci discute les dangers physiques en tant que centre de liaison SGH (voir aussi ST/SG/AC.10/C.4/2, par. 43b)).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532CC" w14:textId="4A4D1D1F" w:rsidR="00F244EA" w:rsidRPr="00F244EA" w:rsidRDefault="00FB72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90EA" w14:textId="7176FC66" w:rsidR="00F244EA" w:rsidRPr="00F244EA" w:rsidRDefault="00FB72A2" w:rsidP="00F244E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ST/SG/AC.10/C.3/117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28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2E49"/>
    <w:rsid w:val="00176178"/>
    <w:rsid w:val="001C49E6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B5228"/>
    <w:rsid w:val="0068456F"/>
    <w:rsid w:val="0071601D"/>
    <w:rsid w:val="007A62E6"/>
    <w:rsid w:val="007B083A"/>
    <w:rsid w:val="007E2B96"/>
    <w:rsid w:val="0080684C"/>
    <w:rsid w:val="008123E0"/>
    <w:rsid w:val="00871C75"/>
    <w:rsid w:val="008776DC"/>
    <w:rsid w:val="008B40CD"/>
    <w:rsid w:val="009705C8"/>
    <w:rsid w:val="009C1CF4"/>
    <w:rsid w:val="00A30353"/>
    <w:rsid w:val="00A81281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01738"/>
    <w:rsid w:val="00F244EA"/>
    <w:rsid w:val="00F660DF"/>
    <w:rsid w:val="00F730C8"/>
    <w:rsid w:val="00F95C08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5EAE3B"/>
  <w15:docId w15:val="{74CDE901-C57E-431C-A10C-2A9867EA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ST/SG/AC.10/C.3/117</dc:title>
  <dc:subject/>
  <dc:creator>Valerie BERTIN</dc:creator>
  <cp:keywords/>
  <cp:lastModifiedBy>Laurence Berthet</cp:lastModifiedBy>
  <cp:revision>3</cp:revision>
  <cp:lastPrinted>2021-09-17T08:00:00Z</cp:lastPrinted>
  <dcterms:created xsi:type="dcterms:W3CDTF">2021-09-17T08:00:00Z</dcterms:created>
  <dcterms:modified xsi:type="dcterms:W3CDTF">2021-09-17T08:00:00Z</dcterms:modified>
</cp:coreProperties>
</file>