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D8966E6" w14:textId="77777777" w:rsidTr="006476E1">
        <w:trPr>
          <w:trHeight w:val="851"/>
        </w:trPr>
        <w:tc>
          <w:tcPr>
            <w:tcW w:w="1259" w:type="dxa"/>
            <w:tcBorders>
              <w:top w:val="nil"/>
              <w:left w:val="nil"/>
              <w:bottom w:val="single" w:sz="4" w:space="0" w:color="auto"/>
              <w:right w:val="nil"/>
            </w:tcBorders>
          </w:tcPr>
          <w:p w14:paraId="1AB168F7" w14:textId="77777777" w:rsidR="00E52109" w:rsidRPr="002A32CB" w:rsidRDefault="00E52109" w:rsidP="004858F5"/>
        </w:tc>
        <w:tc>
          <w:tcPr>
            <w:tcW w:w="2236" w:type="dxa"/>
            <w:tcBorders>
              <w:top w:val="nil"/>
              <w:left w:val="nil"/>
              <w:bottom w:val="single" w:sz="4" w:space="0" w:color="auto"/>
              <w:right w:val="nil"/>
            </w:tcBorders>
            <w:vAlign w:val="bottom"/>
          </w:tcPr>
          <w:p w14:paraId="23148727"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5919837" w14:textId="3B57F2DC" w:rsidR="00795847" w:rsidRDefault="00795847" w:rsidP="00795847">
            <w:pPr>
              <w:suppressAutoHyphens w:val="0"/>
              <w:jc w:val="right"/>
            </w:pPr>
            <w:r w:rsidRPr="00795847">
              <w:rPr>
                <w:sz w:val="40"/>
              </w:rPr>
              <w:t>ST</w:t>
            </w:r>
            <w:r>
              <w:t>/SG/AC.10/C.3/2021/37−</w:t>
            </w:r>
            <w:r w:rsidRPr="00795847">
              <w:rPr>
                <w:sz w:val="40"/>
              </w:rPr>
              <w:t>ST</w:t>
            </w:r>
            <w:r>
              <w:t>/SG/AC.10/C.4/2021/7</w:t>
            </w:r>
          </w:p>
        </w:tc>
      </w:tr>
      <w:tr w:rsidR="00E52109" w14:paraId="094F14CC" w14:textId="77777777" w:rsidTr="006476E1">
        <w:trPr>
          <w:trHeight w:val="2835"/>
        </w:trPr>
        <w:tc>
          <w:tcPr>
            <w:tcW w:w="1259" w:type="dxa"/>
            <w:tcBorders>
              <w:top w:val="single" w:sz="4" w:space="0" w:color="auto"/>
              <w:left w:val="nil"/>
              <w:bottom w:val="single" w:sz="12" w:space="0" w:color="auto"/>
              <w:right w:val="nil"/>
            </w:tcBorders>
          </w:tcPr>
          <w:p w14:paraId="3B3D5521" w14:textId="77777777" w:rsidR="00E52109" w:rsidRDefault="00E52109" w:rsidP="006476E1">
            <w:pPr>
              <w:spacing w:before="120"/>
              <w:jc w:val="center"/>
            </w:pPr>
            <w:r>
              <w:rPr>
                <w:noProof/>
                <w:lang w:val="fr-CH" w:eastAsia="fr-CH"/>
              </w:rPr>
              <w:drawing>
                <wp:inline distT="0" distB="0" distL="0" distR="0" wp14:anchorId="0427A355" wp14:editId="7FB193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AF7A915"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42E9B64C" w14:textId="77777777" w:rsidR="00D94B05" w:rsidRDefault="00795847" w:rsidP="00795847">
            <w:pPr>
              <w:suppressAutoHyphens w:val="0"/>
              <w:spacing w:before="240" w:line="240" w:lineRule="exact"/>
            </w:pPr>
            <w:r>
              <w:t>Distr.: General</w:t>
            </w:r>
          </w:p>
          <w:p w14:paraId="32B0C81D" w14:textId="1587303C" w:rsidR="00795847" w:rsidRDefault="00F909AA" w:rsidP="00795847">
            <w:pPr>
              <w:suppressAutoHyphens w:val="0"/>
              <w:spacing w:line="240" w:lineRule="exact"/>
            </w:pPr>
            <w:r>
              <w:t>14 September 2021</w:t>
            </w:r>
          </w:p>
          <w:p w14:paraId="01C35A06" w14:textId="77777777" w:rsidR="00795847" w:rsidRDefault="00795847" w:rsidP="00795847">
            <w:pPr>
              <w:suppressAutoHyphens w:val="0"/>
              <w:spacing w:line="240" w:lineRule="exact"/>
            </w:pPr>
          </w:p>
          <w:p w14:paraId="4A1E5927" w14:textId="3E6141C4" w:rsidR="00795847" w:rsidRDefault="00795847" w:rsidP="00795847">
            <w:pPr>
              <w:suppressAutoHyphens w:val="0"/>
              <w:spacing w:line="240" w:lineRule="exact"/>
            </w:pPr>
            <w:r>
              <w:t>Original: English</w:t>
            </w:r>
          </w:p>
        </w:tc>
      </w:tr>
    </w:tbl>
    <w:p w14:paraId="357D3815" w14:textId="77777777" w:rsidR="00EC43FD" w:rsidRPr="006500BA" w:rsidRDefault="00EC43FD"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EC43FD" w:rsidRPr="00302456" w14:paraId="1076239E" w14:textId="77777777" w:rsidTr="00451AAB">
        <w:tc>
          <w:tcPr>
            <w:tcW w:w="4593" w:type="dxa"/>
            <w:shd w:val="clear" w:color="auto" w:fill="auto"/>
          </w:tcPr>
          <w:p w14:paraId="1FDD433D" w14:textId="77777777" w:rsidR="00EC43FD" w:rsidRPr="00302456" w:rsidRDefault="00EC43FD" w:rsidP="00846F7F">
            <w:pPr>
              <w:spacing w:before="120"/>
              <w:rPr>
                <w:b/>
              </w:rPr>
            </w:pPr>
            <w:r w:rsidRPr="00302456">
              <w:rPr>
                <w:b/>
              </w:rPr>
              <w:t xml:space="preserve">Sub-Committee of Experts on the Transport </w:t>
            </w:r>
            <w:r w:rsidRPr="00302456">
              <w:rPr>
                <w:b/>
              </w:rPr>
              <w:br/>
              <w:t xml:space="preserve">of Dangerous Goods </w:t>
            </w:r>
          </w:p>
        </w:tc>
        <w:tc>
          <w:tcPr>
            <w:tcW w:w="5046" w:type="dxa"/>
            <w:shd w:val="clear" w:color="auto" w:fill="auto"/>
          </w:tcPr>
          <w:p w14:paraId="06694B30" w14:textId="77777777" w:rsidR="00EC43FD" w:rsidRPr="00302456" w:rsidRDefault="00EC43FD" w:rsidP="00846F7F">
            <w:pPr>
              <w:spacing w:before="120"/>
              <w:rPr>
                <w:b/>
              </w:rPr>
            </w:pPr>
            <w:r w:rsidRPr="00302456">
              <w:rPr>
                <w:b/>
              </w:rPr>
              <w:t xml:space="preserve">Sub-Committee of Experts on the Globally Harmonized System of Classification and Labelling of Chemicals </w:t>
            </w:r>
          </w:p>
        </w:tc>
      </w:tr>
      <w:tr w:rsidR="00451AAB" w:rsidRPr="00302456" w14:paraId="79377E5B" w14:textId="77777777" w:rsidTr="00451AAB">
        <w:tc>
          <w:tcPr>
            <w:tcW w:w="4593" w:type="dxa"/>
            <w:shd w:val="clear" w:color="auto" w:fill="auto"/>
          </w:tcPr>
          <w:p w14:paraId="1F411A33" w14:textId="6D56B1F6" w:rsidR="00451AAB" w:rsidRPr="00302456" w:rsidRDefault="00451AAB" w:rsidP="00451AAB">
            <w:pPr>
              <w:spacing w:before="120"/>
              <w:rPr>
                <w:b/>
              </w:rPr>
            </w:pPr>
            <w:r>
              <w:rPr>
                <w:b/>
              </w:rPr>
              <w:t>Fifty-ninth</w:t>
            </w:r>
            <w:r w:rsidRPr="00302456">
              <w:rPr>
                <w:b/>
              </w:rPr>
              <w:t xml:space="preserve"> session</w:t>
            </w:r>
          </w:p>
        </w:tc>
        <w:tc>
          <w:tcPr>
            <w:tcW w:w="5046" w:type="dxa"/>
            <w:shd w:val="clear" w:color="auto" w:fill="auto"/>
          </w:tcPr>
          <w:p w14:paraId="1F96DA0A" w14:textId="7E52380C" w:rsidR="00451AAB" w:rsidRPr="00DA19E5" w:rsidRDefault="00C771F7" w:rsidP="00451AAB">
            <w:pPr>
              <w:spacing w:before="120"/>
              <w:rPr>
                <w:b/>
              </w:rPr>
            </w:pPr>
            <w:r w:rsidRPr="00DA19E5">
              <w:rPr>
                <w:rStyle w:val="normaltextrun"/>
                <w:b/>
                <w:bCs/>
              </w:rPr>
              <w:t>Forty-first</w:t>
            </w:r>
            <w:r w:rsidR="00451AAB" w:rsidRPr="00DA19E5">
              <w:rPr>
                <w:rStyle w:val="normaltextrun"/>
                <w:b/>
                <w:bCs/>
              </w:rPr>
              <w:t xml:space="preserve"> session</w:t>
            </w:r>
            <w:r w:rsidR="00451AAB" w:rsidRPr="00DA19E5">
              <w:rPr>
                <w:rStyle w:val="eop"/>
              </w:rPr>
              <w:t> </w:t>
            </w:r>
          </w:p>
        </w:tc>
      </w:tr>
      <w:tr w:rsidR="00451AAB" w:rsidRPr="00302456" w14:paraId="78CC8959" w14:textId="77777777" w:rsidTr="00451AAB">
        <w:tc>
          <w:tcPr>
            <w:tcW w:w="4593" w:type="dxa"/>
            <w:shd w:val="clear" w:color="auto" w:fill="auto"/>
          </w:tcPr>
          <w:p w14:paraId="60F76942" w14:textId="047E03B1" w:rsidR="00451AAB" w:rsidRPr="00302456" w:rsidRDefault="00451AAB" w:rsidP="00451AAB">
            <w:pPr>
              <w:rPr>
                <w:b/>
              </w:rPr>
            </w:pPr>
            <w:r>
              <w:t xml:space="preserve">Geneva, </w:t>
            </w:r>
            <w:r>
              <w:rPr>
                <w:rStyle w:val="normaltextrun"/>
                <w:color w:val="000000"/>
                <w:shd w:val="clear" w:color="auto" w:fill="FFFFFF"/>
              </w:rPr>
              <w:t>29 November -8 December 2021</w:t>
            </w:r>
            <w:r>
              <w:t xml:space="preserve"> </w:t>
            </w:r>
          </w:p>
        </w:tc>
        <w:tc>
          <w:tcPr>
            <w:tcW w:w="5046" w:type="dxa"/>
            <w:shd w:val="clear" w:color="auto" w:fill="auto"/>
          </w:tcPr>
          <w:p w14:paraId="0E8E0117" w14:textId="171D8F5A" w:rsidR="00451AAB" w:rsidRPr="00DA19E5" w:rsidRDefault="00451AAB" w:rsidP="00451AAB">
            <w:pPr>
              <w:rPr>
                <w:b/>
              </w:rPr>
            </w:pPr>
            <w:r w:rsidRPr="00DA19E5">
              <w:rPr>
                <w:rStyle w:val="normaltextrun"/>
              </w:rPr>
              <w:t xml:space="preserve">Geneva, </w:t>
            </w:r>
            <w:r w:rsidR="00C771F7" w:rsidRPr="00DA19E5">
              <w:rPr>
                <w:rStyle w:val="normaltextrun"/>
              </w:rPr>
              <w:t>8</w:t>
            </w:r>
            <w:r w:rsidRPr="00DA19E5">
              <w:rPr>
                <w:rStyle w:val="normaltextrun"/>
              </w:rPr>
              <w:t>-</w:t>
            </w:r>
            <w:r w:rsidR="00C771F7" w:rsidRPr="00DA19E5">
              <w:rPr>
                <w:rStyle w:val="normaltextrun"/>
              </w:rPr>
              <w:t xml:space="preserve">10 </w:t>
            </w:r>
            <w:r w:rsidRPr="00DA19E5">
              <w:rPr>
                <w:rStyle w:val="normaltextrun"/>
              </w:rPr>
              <w:t>December 202</w:t>
            </w:r>
            <w:r w:rsidR="00C771F7" w:rsidRPr="00DA19E5">
              <w:rPr>
                <w:rStyle w:val="normaltextrun"/>
              </w:rPr>
              <w:t>1</w:t>
            </w:r>
            <w:r w:rsidRPr="00DA19E5">
              <w:rPr>
                <w:rStyle w:val="eop"/>
              </w:rPr>
              <w:t> </w:t>
            </w:r>
          </w:p>
        </w:tc>
      </w:tr>
      <w:tr w:rsidR="00451AAB" w:rsidRPr="00302456" w14:paraId="68E35345" w14:textId="77777777" w:rsidTr="00451AAB">
        <w:tc>
          <w:tcPr>
            <w:tcW w:w="4593" w:type="dxa"/>
            <w:shd w:val="clear" w:color="auto" w:fill="auto"/>
          </w:tcPr>
          <w:p w14:paraId="1B66B477" w14:textId="77777777" w:rsidR="00451AAB" w:rsidRDefault="00451AAB" w:rsidP="00451AAB">
            <w:r w:rsidRPr="006500BA">
              <w:t xml:space="preserve">Item </w:t>
            </w:r>
            <w:r>
              <w:t xml:space="preserve">10 (c) </w:t>
            </w:r>
            <w:r w:rsidRPr="006500BA">
              <w:t>of the provisional agenda</w:t>
            </w:r>
          </w:p>
          <w:p w14:paraId="59BE0BCC" w14:textId="04123492" w:rsidR="00451AAB" w:rsidRDefault="00451AAB" w:rsidP="00451AAB">
            <w:r>
              <w:rPr>
                <w:rStyle w:val="normaltextrun"/>
                <w:b/>
                <w:bCs/>
                <w:color w:val="000000"/>
              </w:rPr>
              <w:t xml:space="preserve">Issues relating to the Globally Harmonized System </w:t>
            </w:r>
            <w:r>
              <w:rPr>
                <w:rStyle w:val="normaltextrun"/>
                <w:b/>
                <w:bCs/>
                <w:color w:val="000000"/>
              </w:rPr>
              <w:br/>
              <w:t>of Classification and Labelling of Chemicals: </w:t>
            </w:r>
            <w:r>
              <w:rPr>
                <w:rStyle w:val="normaltextrun"/>
                <w:b/>
                <w:bCs/>
                <w:color w:val="000000"/>
              </w:rPr>
              <w:br/>
              <w:t>miscellaneous</w:t>
            </w:r>
            <w:r>
              <w:rPr>
                <w:rStyle w:val="eop"/>
                <w:color w:val="000000"/>
              </w:rPr>
              <w:t> </w:t>
            </w:r>
          </w:p>
        </w:tc>
        <w:tc>
          <w:tcPr>
            <w:tcW w:w="5046" w:type="dxa"/>
            <w:shd w:val="clear" w:color="auto" w:fill="auto"/>
          </w:tcPr>
          <w:p w14:paraId="3AAFE07A" w14:textId="77777777" w:rsidR="00451AAB" w:rsidRPr="00DA19E5" w:rsidRDefault="00451AAB" w:rsidP="00451AAB">
            <w:pPr>
              <w:rPr>
                <w:rStyle w:val="eop"/>
              </w:rPr>
            </w:pPr>
            <w:r w:rsidRPr="00DA19E5">
              <w:rPr>
                <w:rStyle w:val="normaltextrun"/>
              </w:rPr>
              <w:t>Item 2 (i) of the provisional agenda</w:t>
            </w:r>
            <w:r w:rsidRPr="00DA19E5">
              <w:rPr>
                <w:rStyle w:val="eop"/>
              </w:rPr>
              <w:t> </w:t>
            </w:r>
          </w:p>
          <w:p w14:paraId="6AD783AC" w14:textId="3E298013" w:rsidR="00B53150" w:rsidRPr="0041108F" w:rsidRDefault="00B53150" w:rsidP="00451AAB">
            <w:pPr>
              <w:rPr>
                <w:b/>
                <w:bCs/>
              </w:rPr>
            </w:pPr>
            <w:r w:rsidRPr="0041108F">
              <w:rPr>
                <w:b/>
                <w:bCs/>
              </w:rPr>
              <w:t>Work on the Globally Harmonized System (GHS):</w:t>
            </w:r>
            <w:r w:rsidR="002B4AA8" w:rsidRPr="0041108F">
              <w:rPr>
                <w:b/>
                <w:bCs/>
              </w:rPr>
              <w:t xml:space="preserve"> </w:t>
            </w:r>
            <w:r w:rsidR="002B4AA8" w:rsidRPr="0041108F">
              <w:rPr>
                <w:b/>
                <w:bCs/>
              </w:rPr>
              <w:br/>
              <w:t>Other matters</w:t>
            </w:r>
          </w:p>
        </w:tc>
      </w:tr>
      <w:tr w:rsidR="00EC43FD" w:rsidRPr="00E66746" w14:paraId="31700401" w14:textId="77777777" w:rsidTr="00451AAB">
        <w:tc>
          <w:tcPr>
            <w:tcW w:w="4593" w:type="dxa"/>
            <w:shd w:val="clear" w:color="auto" w:fill="auto"/>
          </w:tcPr>
          <w:p w14:paraId="73FE6C95" w14:textId="77777777" w:rsidR="00EC43FD" w:rsidRPr="00E66746" w:rsidRDefault="00EC43FD" w:rsidP="00846F7F">
            <w:pPr>
              <w:rPr>
                <w:b/>
              </w:rPr>
            </w:pPr>
          </w:p>
        </w:tc>
        <w:tc>
          <w:tcPr>
            <w:tcW w:w="5046" w:type="dxa"/>
            <w:shd w:val="clear" w:color="auto" w:fill="auto"/>
          </w:tcPr>
          <w:p w14:paraId="02988D43" w14:textId="77777777" w:rsidR="00EC43FD" w:rsidRPr="00E66746" w:rsidRDefault="00EC43FD" w:rsidP="00846F7F">
            <w:pPr>
              <w:rPr>
                <w:b/>
              </w:rPr>
            </w:pPr>
          </w:p>
        </w:tc>
      </w:tr>
    </w:tbl>
    <w:p w14:paraId="16C7B2B4" w14:textId="51ADBD24" w:rsidR="00DD5585" w:rsidRDefault="00DD5585" w:rsidP="00DD5585">
      <w:pPr>
        <w:pStyle w:val="HChG"/>
        <w:rPr>
          <w:rFonts w:eastAsia="MS Mincho"/>
          <w:lang w:val="en-US" w:eastAsia="ja-JP"/>
        </w:rPr>
      </w:pPr>
      <w:r>
        <w:rPr>
          <w:rFonts w:eastAsia="MS Mincho"/>
          <w:lang w:val="en-US" w:eastAsia="ja-JP"/>
        </w:rPr>
        <w:tab/>
      </w:r>
      <w:r>
        <w:rPr>
          <w:rFonts w:eastAsia="MS Mincho"/>
          <w:lang w:val="en-US" w:eastAsia="ja-JP"/>
        </w:rPr>
        <w:tab/>
        <w:t>Amendment to GHS Chapter 2.17 “Desensitized explosives”</w:t>
      </w:r>
    </w:p>
    <w:p w14:paraId="113DFC3A" w14:textId="527BCBC7" w:rsidR="0064778D" w:rsidRPr="0064778D" w:rsidRDefault="0064778D" w:rsidP="0064778D">
      <w:pPr>
        <w:pStyle w:val="H1G"/>
        <w:rPr>
          <w:lang w:val="en-US" w:eastAsia="ja-JP"/>
        </w:rPr>
      </w:pPr>
      <w:r>
        <w:rPr>
          <w:lang w:val="en-US" w:eastAsia="ja-JP"/>
        </w:rPr>
        <w:tab/>
      </w:r>
      <w:r>
        <w:rPr>
          <w:lang w:val="en-US" w:eastAsia="ja-JP"/>
        </w:rPr>
        <w:tab/>
        <w:t>Transmitted by the expert from Germany</w:t>
      </w:r>
      <w:r w:rsidRPr="0064778D">
        <w:rPr>
          <w:rStyle w:val="FootnoteReference"/>
          <w:sz w:val="20"/>
          <w:vertAlign w:val="baseline"/>
          <w:lang w:val="en-US" w:eastAsia="ja-JP"/>
        </w:rPr>
        <w:footnoteReference w:customMarkFollows="1" w:id="2"/>
        <w:t>*</w:t>
      </w:r>
    </w:p>
    <w:p w14:paraId="7E98CEAF" w14:textId="77777777" w:rsidR="00DD5585" w:rsidRPr="007628D5" w:rsidRDefault="00DD5585" w:rsidP="00DD5585">
      <w:pPr>
        <w:pStyle w:val="HChG"/>
      </w:pPr>
      <w:r>
        <w:tab/>
      </w:r>
      <w:r>
        <w:tab/>
        <w:t>Background</w:t>
      </w:r>
    </w:p>
    <w:p w14:paraId="473E055D" w14:textId="573E738E" w:rsidR="00DD5585" w:rsidRDefault="00DD5585" w:rsidP="00DD5585">
      <w:pPr>
        <w:pStyle w:val="SingleTxtG"/>
        <w:tabs>
          <w:tab w:val="left" w:pos="1701"/>
        </w:tabs>
      </w:pPr>
      <w:r>
        <w:t>1.</w:t>
      </w:r>
      <w:r>
        <w:tab/>
        <w:t xml:space="preserve">The issue discussed in this document has already been brought forward to the </w:t>
      </w:r>
      <w:r w:rsidR="00760179" w:rsidRPr="00760179">
        <w:t xml:space="preserve">Sub-Committee of Experts on the Globally Harmonized System of Classification and Labelling of Chemicals </w:t>
      </w:r>
      <w:r>
        <w:t>(GHS Sub-Committee) at its fortieth session (</w:t>
      </w:r>
      <w:r w:rsidR="006B2D0C">
        <w:t>i</w:t>
      </w:r>
      <w:r>
        <w:t>nformal document INF.6 (</w:t>
      </w:r>
      <w:r w:rsidR="00BF7A98">
        <w:t>fortieth </w:t>
      </w:r>
      <w:r>
        <w:t>session)). Valuable comments were received by the experts. These were taken into account and the proposal was amended accordingly. As a physical hazard is concerned, the proposal is now also submitted to the Sub-Committee of Experts on the Transport of Dangerous Goods (TDG Sub-Committee) for its consideration and possibly for reference to the Working Group on Explosives.</w:t>
      </w:r>
    </w:p>
    <w:p w14:paraId="316088F1" w14:textId="3E843580" w:rsidR="00DD5585" w:rsidRDefault="00DD5585" w:rsidP="00DD5585">
      <w:pPr>
        <w:pStyle w:val="SingleTxtG"/>
        <w:tabs>
          <w:tab w:val="left" w:pos="1701"/>
        </w:tabs>
      </w:pPr>
      <w:r>
        <w:t>2.</w:t>
      </w:r>
      <w:r>
        <w:tab/>
        <w:t xml:space="preserve">The background was outlined in informal document </w:t>
      </w:r>
      <w:r w:rsidRPr="00806125">
        <w:t>INF.6</w:t>
      </w:r>
      <w:r>
        <w:t xml:space="preserve"> (GHS Sub-Committee, </w:t>
      </w:r>
      <w:r w:rsidR="00BF7A98">
        <w:t xml:space="preserve">fortieth </w:t>
      </w:r>
      <w:r>
        <w:t>session) but is shortly summarized again in this document so that the experts of the TDG Sub-Committee have the same information.</w:t>
      </w:r>
    </w:p>
    <w:p w14:paraId="5F725C51" w14:textId="77777777" w:rsidR="00DD5585" w:rsidRDefault="00DD5585" w:rsidP="00DD5585">
      <w:pPr>
        <w:pStyle w:val="HChG"/>
      </w:pPr>
      <w:r>
        <w:tab/>
      </w:r>
      <w:r>
        <w:tab/>
        <w:t>Introduction</w:t>
      </w:r>
    </w:p>
    <w:p w14:paraId="414C764D" w14:textId="69A6957B" w:rsidR="00DD5585" w:rsidRDefault="00DD5585" w:rsidP="00DD5585">
      <w:pPr>
        <w:pStyle w:val="SingleTxtG"/>
        <w:tabs>
          <w:tab w:val="left" w:pos="1701"/>
        </w:tabs>
      </w:pPr>
      <w:r>
        <w:t>3.</w:t>
      </w:r>
      <w:r>
        <w:tab/>
        <w:t xml:space="preserve">During the last </w:t>
      </w:r>
      <w:r w:rsidR="00B921F2">
        <w:t>session</w:t>
      </w:r>
      <w:r>
        <w:t xml:space="preserve"> of the GHS Sub-Committee in July 2021, a few amendments to Chapter 2.17 “Desensitized explosives” that were consequential to the revision of Chapter 2.1 “Explosives” were discussed. In the course of that work, the expert from Germany noted that an amendment (not related to the consequential amendments) concerning an additional prerequisite for classification as </w:t>
      </w:r>
      <w:r w:rsidRPr="00C82E1E">
        <w:t>desensitized</w:t>
      </w:r>
      <w:r>
        <w:t xml:space="preserve"> explosive should be included in Chapter 2.17.</w:t>
      </w:r>
    </w:p>
    <w:p w14:paraId="2D6350E0" w14:textId="77777777" w:rsidR="00DD5585" w:rsidRDefault="00DD5585" w:rsidP="00DD5585">
      <w:pPr>
        <w:pStyle w:val="SingleTxtG"/>
        <w:tabs>
          <w:tab w:val="left" w:pos="1701"/>
        </w:tabs>
      </w:pPr>
      <w:r>
        <w:t>4.</w:t>
      </w:r>
      <w:r>
        <w:tab/>
        <w:t xml:space="preserve">Explosives that are phlegmatized have to fulfil some conditions (i.e. they have to be desensitized beyond a certain point) in order to classify them as desensitized explosives in </w:t>
      </w:r>
      <w:r>
        <w:lastRenderedPageBreak/>
        <w:t>the sense of Chapter 2.17. These conditions are mentioned in paragraph 2.17.1.1 and in the criteria in paragraph 2.17.2.1 and can also be found in the decision logic.</w:t>
      </w:r>
    </w:p>
    <w:p w14:paraId="5622603D" w14:textId="77777777" w:rsidR="00DD5585" w:rsidRDefault="00DD5585" w:rsidP="00DD5585">
      <w:pPr>
        <w:pStyle w:val="SingleTxtG"/>
        <w:tabs>
          <w:tab w:val="left" w:pos="1701"/>
        </w:tabs>
      </w:pPr>
      <w:r>
        <w:t>5.</w:t>
      </w:r>
      <w:r>
        <w:tab/>
        <w:t>Likewise, explosives that are too sensitive or unstable according to test series 3 (as mentioned in footnote 1 in section 2.17.1.1) should at least be diluted in such a way that they are no longer too sensitive or unstable according to test series 3 in order to classify them as desensitized explosives in the sense of Chapter 2.17. This, however, goes without stating it explicitly.</w:t>
      </w:r>
    </w:p>
    <w:p w14:paraId="7FD2ED35" w14:textId="77777777" w:rsidR="00DD5585" w:rsidRDefault="00DD5585" w:rsidP="00DD5585">
      <w:pPr>
        <w:pStyle w:val="SingleTxtG"/>
        <w:tabs>
          <w:tab w:val="left" w:pos="1701"/>
        </w:tabs>
      </w:pPr>
      <w:r>
        <w:t>6.</w:t>
      </w:r>
      <w:r>
        <w:tab/>
        <w:t>In addition, nitrocellulose mixtures should be stable in the sense of Appendix 10 of the Manual of Tests and Criteria in order to classify them as desensitized explosives in the sense of Chapter 2.17 of the GHS.</w:t>
      </w:r>
    </w:p>
    <w:p w14:paraId="59E2FD6B" w14:textId="7597BB18" w:rsidR="00DD5585" w:rsidRDefault="00DD5585" w:rsidP="00DD5585">
      <w:pPr>
        <w:pStyle w:val="SingleTxtG"/>
        <w:tabs>
          <w:tab w:val="left" w:pos="1701"/>
        </w:tabs>
      </w:pPr>
      <w:r>
        <w:t>7.</w:t>
      </w:r>
      <w:r>
        <w:tab/>
        <w:t>The annexes to this document contain the following proposals:</w:t>
      </w:r>
    </w:p>
    <w:p w14:paraId="7420D2C0" w14:textId="58F17F61" w:rsidR="00DD5585" w:rsidRPr="001E28FF" w:rsidRDefault="00DD5585" w:rsidP="001E28FF">
      <w:pPr>
        <w:pStyle w:val="Bullet1G"/>
      </w:pPr>
      <w:r w:rsidRPr="0014605C">
        <w:t xml:space="preserve">Annex </w:t>
      </w:r>
      <w:r w:rsidR="00BB08ED" w:rsidRPr="001E28FF">
        <w:t xml:space="preserve">I </w:t>
      </w:r>
      <w:r w:rsidRPr="001E28FF">
        <w:t>shows the according technical amendments to Chapter 2.17 of the GHS.</w:t>
      </w:r>
    </w:p>
    <w:p w14:paraId="2A420AA2" w14:textId="668D3981" w:rsidR="00DD5585" w:rsidRPr="001E28FF" w:rsidRDefault="00DD5585" w:rsidP="001E28FF">
      <w:pPr>
        <w:pStyle w:val="Bullet1G"/>
      </w:pPr>
      <w:r w:rsidRPr="001E28FF">
        <w:t xml:space="preserve">Annex </w:t>
      </w:r>
      <w:r w:rsidR="00BB08ED" w:rsidRPr="001E28FF">
        <w:t>II</w:t>
      </w:r>
      <w:r w:rsidRPr="001E28FF">
        <w:t xml:space="preserve"> shows further amendments to Chapter 2.17 which are consequential to the technical amendments.</w:t>
      </w:r>
    </w:p>
    <w:p w14:paraId="429EBE7F" w14:textId="0E60A283" w:rsidR="00DD5585" w:rsidRPr="001E28FF" w:rsidRDefault="00DD5585" w:rsidP="001E28FF">
      <w:pPr>
        <w:pStyle w:val="Bullet1G"/>
      </w:pPr>
      <w:r w:rsidRPr="001E28FF">
        <w:t xml:space="preserve">Annex </w:t>
      </w:r>
      <w:r w:rsidR="00BB08ED" w:rsidRPr="001E28FF">
        <w:t>III</w:t>
      </w:r>
      <w:r w:rsidRPr="001E28FF">
        <w:t xml:space="preserve"> shows amendments to section 51 of the Manual of Tests and Criteria.</w:t>
      </w:r>
    </w:p>
    <w:p w14:paraId="5EFED937" w14:textId="2C472686" w:rsidR="00DD5585" w:rsidRDefault="00DD5585" w:rsidP="00DD5585">
      <w:pPr>
        <w:pStyle w:val="SingleTxtG"/>
        <w:ind w:firstLine="567"/>
      </w:pPr>
      <w:r>
        <w:t>It should be noted that the expert from Germany aimed at including only amendments that are directly related to the issue at hand and refrained from including further amendments (e.g. with regard to general consistency between chapters in the GHS etc.).</w:t>
      </w:r>
    </w:p>
    <w:p w14:paraId="71DFECF7" w14:textId="77777777" w:rsidR="00DD5585" w:rsidRDefault="00DD5585" w:rsidP="00DD5585">
      <w:pPr>
        <w:pStyle w:val="SingleTxtG"/>
        <w:tabs>
          <w:tab w:val="left" w:pos="1701"/>
        </w:tabs>
      </w:pPr>
      <w:r>
        <w:t>8.</w:t>
      </w:r>
      <w:r>
        <w:tab/>
        <w:t>More detailed explanations and justifications are given in the following paragraphs 9 to 20.</w:t>
      </w:r>
    </w:p>
    <w:p w14:paraId="3692C5B4" w14:textId="77777777" w:rsidR="00DD5585" w:rsidRDefault="00DD5585" w:rsidP="00DD5585">
      <w:pPr>
        <w:pStyle w:val="HChG"/>
      </w:pPr>
      <w:r>
        <w:tab/>
      </w:r>
      <w:r>
        <w:tab/>
        <w:t>Consistency of possible exemptions from the class of explosives for desensitized explosives</w:t>
      </w:r>
    </w:p>
    <w:p w14:paraId="37B75B8A" w14:textId="409DBF97" w:rsidR="00DD5585" w:rsidRDefault="00DD5585" w:rsidP="00DD5585">
      <w:pPr>
        <w:pStyle w:val="SingleTxtG"/>
        <w:tabs>
          <w:tab w:val="left" w:pos="1701"/>
        </w:tabs>
      </w:pPr>
      <w:r>
        <w:t>9.</w:t>
      </w:r>
      <w:r>
        <w:tab/>
        <w:t>The principle of classification of desensitized explosives in accordance with Chapter 2.17 of the GHS is that only explosives that are phlegmatized beyond a certain point may be classified in that hazard class. I</w:t>
      </w:r>
      <w:r w:rsidRPr="001D74E3">
        <w:rPr>
          <w:lang w:val="en-US"/>
        </w:rPr>
        <w:t xml:space="preserve">n the first section of Chapter 2.17 </w:t>
      </w:r>
      <w:r>
        <w:rPr>
          <w:lang w:val="en-US"/>
        </w:rPr>
        <w:t>this</w:t>
      </w:r>
      <w:r w:rsidRPr="001D74E3">
        <w:rPr>
          <w:lang w:val="en-US"/>
        </w:rPr>
        <w:t xml:space="preserve"> is worded as “phlegmatized … in such a manner that”</w:t>
      </w:r>
      <w:r>
        <w:rPr>
          <w:lang w:val="en-US"/>
        </w:rPr>
        <w:t xml:space="preserve">. </w:t>
      </w:r>
      <w:r w:rsidRPr="001D74E3">
        <w:rPr>
          <w:lang w:val="en-US"/>
        </w:rPr>
        <w:t xml:space="preserve">That is why some explosives, even when desensitized, are explicitly excluded from </w:t>
      </w:r>
      <w:r>
        <w:rPr>
          <w:lang w:val="en-US"/>
        </w:rPr>
        <w:t>C</w:t>
      </w:r>
      <w:r w:rsidRPr="001D74E3">
        <w:rPr>
          <w:lang w:val="en-US"/>
        </w:rPr>
        <w:t>hapter 2.17. According to the current criteria that is the case when they (still) have a mass explosion hazard or when their burning rate is</w:t>
      </w:r>
      <w:r>
        <w:rPr>
          <w:lang w:val="en-US"/>
        </w:rPr>
        <w:t xml:space="preserve"> too high (</w:t>
      </w:r>
      <w:r w:rsidRPr="001D74E3">
        <w:rPr>
          <w:lang w:val="en-US"/>
        </w:rPr>
        <w:t>&gt;</w:t>
      </w:r>
      <w:r>
        <w:rPr>
          <w:lang w:val="en-US"/>
        </w:rPr>
        <w:t> </w:t>
      </w:r>
      <w:r w:rsidRPr="001D74E3">
        <w:rPr>
          <w:lang w:val="en-US"/>
        </w:rPr>
        <w:t>1200</w:t>
      </w:r>
      <w:r>
        <w:rPr>
          <w:lang w:val="en-US"/>
        </w:rPr>
        <w:t> </w:t>
      </w:r>
      <w:r w:rsidRPr="001D74E3">
        <w:rPr>
          <w:lang w:val="en-US"/>
        </w:rPr>
        <w:t>kg/min</w:t>
      </w:r>
      <w:r>
        <w:rPr>
          <w:lang w:val="en-US"/>
        </w:rPr>
        <w:t>)</w:t>
      </w:r>
      <w:r w:rsidRPr="001D74E3">
        <w:rPr>
          <w:lang w:val="en-US"/>
        </w:rPr>
        <w:t>.</w:t>
      </w:r>
      <w:r>
        <w:rPr>
          <w:lang w:val="en-US"/>
        </w:rPr>
        <w:t xml:space="preserve"> </w:t>
      </w:r>
      <w:r>
        <w:t>These have to be classified as explosives based on Note 1 in paragraph 2.17.2.1 of the GHS.</w:t>
      </w:r>
    </w:p>
    <w:p w14:paraId="103F8C1C" w14:textId="77777777" w:rsidR="00DD5585" w:rsidRDefault="00DD5585" w:rsidP="00DD5585">
      <w:pPr>
        <w:pStyle w:val="SingleTxtG"/>
        <w:tabs>
          <w:tab w:val="left" w:pos="1701"/>
        </w:tabs>
      </w:pPr>
      <w:r>
        <w:t>10.</w:t>
      </w:r>
      <w:r>
        <w:tab/>
        <w:t>Therefore, it would be consistent to also exclude those explosives from Chapter 2.17 that are too sensitive or unstable according to test series 3. Such explosives are considered even more hazardous and consequently may not be assigned a division. According to the GHS, such explosives would be classified as Explosives, Cat. 1 and according to the Model Regulations they are not classified and may not be transported at all.</w:t>
      </w:r>
    </w:p>
    <w:p w14:paraId="70EED2E1" w14:textId="77777777" w:rsidR="00DD5585" w:rsidRDefault="00DD5585" w:rsidP="00DD5585">
      <w:pPr>
        <w:pStyle w:val="SingleTxtG"/>
        <w:tabs>
          <w:tab w:val="left" w:pos="1701"/>
        </w:tabs>
      </w:pPr>
      <w:r>
        <w:t>11.</w:t>
      </w:r>
      <w:r>
        <w:tab/>
        <w:t>To determine whether nitrocellulose mixtures are sufficiently desensitized, other stability tests are appropriate. Their stability is determined according to Appendix 10 of the Manual of Tests and Criteria (</w:t>
      </w:r>
      <w:r w:rsidRPr="00FF2F23">
        <w:t>Bergmann</w:t>
      </w:r>
      <w:r>
        <w:t>-</w:t>
      </w:r>
      <w:r w:rsidRPr="00FF2F23">
        <w:t xml:space="preserve">Junk </w:t>
      </w:r>
      <w:r>
        <w:t xml:space="preserve">test </w:t>
      </w:r>
      <w:r w:rsidRPr="00FF2F23">
        <w:t xml:space="preserve">or </w:t>
      </w:r>
      <w:r>
        <w:t>methyl violet paper (</w:t>
      </w:r>
      <w:r w:rsidRPr="00FF2F23">
        <w:t>MVP</w:t>
      </w:r>
      <w:r>
        <w:t>)</w:t>
      </w:r>
      <w:r w:rsidRPr="00FF2F23">
        <w:t xml:space="preserve"> test</w:t>
      </w:r>
      <w:r>
        <w:t>) and is important for safe storage, transport and use. These tests are already required in order to transport them as desensitized explosives.</w:t>
      </w:r>
    </w:p>
    <w:p w14:paraId="151CF13C" w14:textId="77777777" w:rsidR="00DD5585" w:rsidRPr="00702582" w:rsidRDefault="00DD5585" w:rsidP="00DD5585">
      <w:pPr>
        <w:pStyle w:val="SingleTxtG"/>
        <w:tabs>
          <w:tab w:val="left" w:pos="1701"/>
        </w:tabs>
        <w:rPr>
          <w:lang w:val="en-US"/>
        </w:rPr>
      </w:pPr>
      <w:r>
        <w:rPr>
          <w:lang w:val="en-US"/>
        </w:rPr>
        <w:t>12.</w:t>
      </w:r>
      <w:r>
        <w:rPr>
          <w:lang w:val="en-US"/>
        </w:rPr>
        <w:tab/>
      </w:r>
      <w:r w:rsidRPr="003F31D7">
        <w:rPr>
          <w:lang w:val="en-US"/>
        </w:rPr>
        <w:t xml:space="preserve">In addition, </w:t>
      </w:r>
      <w:r>
        <w:rPr>
          <w:lang w:val="en-US"/>
        </w:rPr>
        <w:t xml:space="preserve">it should be considered </w:t>
      </w:r>
      <w:r w:rsidRPr="003F31D7">
        <w:rPr>
          <w:lang w:val="en-US"/>
        </w:rPr>
        <w:t xml:space="preserve">that also the hazard communication elements for Chapter 2.17 were selected specifically to cover only “less hazardous” desensitized explosives: All 4 categories </w:t>
      </w:r>
      <w:r>
        <w:rPr>
          <w:lang w:val="en-US"/>
        </w:rPr>
        <w:t>–</w:t>
      </w:r>
      <w:r w:rsidRPr="003F31D7">
        <w:rPr>
          <w:lang w:val="en-US"/>
        </w:rPr>
        <w:t xml:space="preserve"> i.e</w:t>
      </w:r>
      <w:r>
        <w:rPr>
          <w:lang w:val="en-US"/>
        </w:rPr>
        <w:t>.</w:t>
      </w:r>
      <w:r w:rsidRPr="003F31D7">
        <w:rPr>
          <w:lang w:val="en-US"/>
        </w:rPr>
        <w:t xml:space="preserve"> also </w:t>
      </w:r>
      <w:r>
        <w:rPr>
          <w:lang w:val="en-US"/>
        </w:rPr>
        <w:t>Cat. 1</w:t>
      </w:r>
      <w:r w:rsidRPr="003F31D7">
        <w:rPr>
          <w:lang w:val="en-US"/>
        </w:rPr>
        <w:t xml:space="preserve"> – have the flame assigned and not the exploding bomb. </w:t>
      </w:r>
      <w:r>
        <w:rPr>
          <w:lang w:val="en-US"/>
        </w:rPr>
        <w:t>T</w:t>
      </w:r>
      <w:r w:rsidRPr="003F31D7">
        <w:rPr>
          <w:lang w:val="en-US"/>
        </w:rPr>
        <w:t xml:space="preserve">his would be not appropriate, if </w:t>
      </w:r>
      <w:r>
        <w:rPr>
          <w:lang w:val="en-US"/>
        </w:rPr>
        <w:t>it were not</w:t>
      </w:r>
      <w:r w:rsidRPr="003F31D7">
        <w:rPr>
          <w:lang w:val="en-US"/>
        </w:rPr>
        <w:t xml:space="preserve"> </w:t>
      </w:r>
      <w:r>
        <w:rPr>
          <w:lang w:val="en-US"/>
        </w:rPr>
        <w:t>consistently ensured</w:t>
      </w:r>
      <w:r w:rsidRPr="003F31D7">
        <w:rPr>
          <w:lang w:val="en-US"/>
        </w:rPr>
        <w:t xml:space="preserve"> that only explosives that are desensitized beyond a certain point are covered by </w:t>
      </w:r>
      <w:r>
        <w:rPr>
          <w:lang w:val="en-US"/>
        </w:rPr>
        <w:t>C</w:t>
      </w:r>
      <w:r w:rsidRPr="003F31D7">
        <w:rPr>
          <w:lang w:val="en-US"/>
        </w:rPr>
        <w:t>hapter 2.17.</w:t>
      </w:r>
    </w:p>
    <w:p w14:paraId="125F4911" w14:textId="77777777" w:rsidR="00DD5585" w:rsidRDefault="00DD5585" w:rsidP="00DD5585">
      <w:pPr>
        <w:pStyle w:val="HChG"/>
      </w:pPr>
      <w:r w:rsidRPr="00702582">
        <w:rPr>
          <w:lang w:val="en-US"/>
        </w:rPr>
        <w:lastRenderedPageBreak/>
        <w:tab/>
      </w:r>
      <w:r w:rsidRPr="00702582">
        <w:rPr>
          <w:lang w:val="en-US"/>
        </w:rPr>
        <w:tab/>
      </w:r>
      <w:r>
        <w:t>Reference to test methods</w:t>
      </w:r>
    </w:p>
    <w:p w14:paraId="6C82C27A" w14:textId="77777777" w:rsidR="00DD5585" w:rsidRDefault="00DD5585" w:rsidP="00DD5585">
      <w:pPr>
        <w:pStyle w:val="SingleTxtG"/>
        <w:tabs>
          <w:tab w:val="left" w:pos="1701"/>
        </w:tabs>
      </w:pPr>
      <w:r>
        <w:t>13.</w:t>
      </w:r>
      <w:r>
        <w:tab/>
        <w:t>During the last session, it was asked whether new testing requirements would be introduced and whether the reference to test methods would fit the concept of test method neutrality of the GHS. This is discussed in the following paragraphs 14 to 16.</w:t>
      </w:r>
    </w:p>
    <w:p w14:paraId="6F6BB016" w14:textId="77777777" w:rsidR="00DD5585" w:rsidRPr="00305158" w:rsidRDefault="00DD5585" w:rsidP="00DD5585">
      <w:pPr>
        <w:pStyle w:val="H1G"/>
        <w:rPr>
          <w:sz w:val="22"/>
          <w:szCs w:val="22"/>
        </w:rPr>
      </w:pPr>
      <w:r>
        <w:tab/>
      </w:r>
      <w:r>
        <w:tab/>
      </w:r>
      <w:r w:rsidRPr="00305158">
        <w:rPr>
          <w:sz w:val="22"/>
          <w:szCs w:val="22"/>
        </w:rPr>
        <w:t>Test series 3</w:t>
      </w:r>
    </w:p>
    <w:p w14:paraId="114F403E" w14:textId="7ECBE6AF" w:rsidR="00DD5585" w:rsidRDefault="00DD5585" w:rsidP="00DD5585">
      <w:pPr>
        <w:pStyle w:val="SingleTxtG"/>
        <w:tabs>
          <w:tab w:val="left" w:pos="1701"/>
        </w:tabs>
      </w:pPr>
      <w:r>
        <w:t>14.</w:t>
      </w:r>
      <w:r>
        <w:tab/>
        <w:t xml:space="preserve">There would be no need to carry out test series 3 if the explosive itself (before desensitisation) has already passed test series 3 and is therefore deemed insensitive and stable enough. This waiving possibility is proposed to be added in section 51.3.2 of the Manual of Tests and Criteria (see Annex </w:t>
      </w:r>
      <w:r w:rsidR="00BB08ED">
        <w:t>III</w:t>
      </w:r>
      <w:r>
        <w:t xml:space="preserve"> to this document). Therefore, test series 3 would be only applicable if the explosive itself is too sensitive or unstable in the sense of test series 3. In that case, test series 3 should be carried out anyway in order to establish the degree of desensitization and thus consequential measures that might be necessary (amongst them also the question whether it may be transported). This is currently expressed in footnote 1 in section 2.17.1.1 of the GHS.</w:t>
      </w:r>
    </w:p>
    <w:p w14:paraId="286054EE" w14:textId="77777777" w:rsidR="00DD5585" w:rsidRPr="00305158" w:rsidRDefault="00DD5585" w:rsidP="00DD5585">
      <w:pPr>
        <w:pStyle w:val="H1G"/>
        <w:rPr>
          <w:sz w:val="22"/>
          <w:szCs w:val="22"/>
        </w:rPr>
      </w:pPr>
      <w:r>
        <w:tab/>
      </w:r>
      <w:r>
        <w:tab/>
      </w:r>
      <w:r w:rsidRPr="00305158">
        <w:rPr>
          <w:sz w:val="22"/>
          <w:szCs w:val="22"/>
        </w:rPr>
        <w:t>Appendix 10</w:t>
      </w:r>
    </w:p>
    <w:p w14:paraId="12A6F01A" w14:textId="77777777" w:rsidR="00DD5585" w:rsidRDefault="00DD5585" w:rsidP="00DD5585">
      <w:pPr>
        <w:pStyle w:val="SingleTxtG"/>
        <w:tabs>
          <w:tab w:val="left" w:pos="1701"/>
        </w:tabs>
      </w:pPr>
      <w:r>
        <w:t>15.</w:t>
      </w:r>
      <w:r>
        <w:tab/>
        <w:t xml:space="preserve">According to A10.1.1 (the introductory sentence in Appendix 10 of the Manual of tests and Criteria), the Bergmann-Junk-test and the methyl violet paper test are used to determine whether nitrocellulose mixtures are considered to be stable for transport. The same holds for safe storage and handling of nitrocellulose mixtures. </w:t>
      </w:r>
      <w:r w:rsidRPr="00FF2F23">
        <w:t>Only if these stability tests are met, the nitrocellulose can be safely stored, transported and used.</w:t>
      </w:r>
    </w:p>
    <w:p w14:paraId="2955CD6B" w14:textId="77777777" w:rsidR="00DD5585" w:rsidRPr="00ED0D0C" w:rsidRDefault="00DD5585" w:rsidP="00DD5585">
      <w:pPr>
        <w:pStyle w:val="H1G"/>
        <w:rPr>
          <w:sz w:val="22"/>
          <w:szCs w:val="22"/>
        </w:rPr>
      </w:pPr>
      <w:r w:rsidRPr="00ED0D0C">
        <w:rPr>
          <w:sz w:val="22"/>
          <w:szCs w:val="22"/>
        </w:rPr>
        <w:tab/>
      </w:r>
      <w:r w:rsidRPr="00ED0D0C">
        <w:rPr>
          <w:sz w:val="22"/>
          <w:szCs w:val="22"/>
        </w:rPr>
        <w:tab/>
        <w:t>Test method neutrality</w:t>
      </w:r>
    </w:p>
    <w:p w14:paraId="5BB64FA5" w14:textId="77777777" w:rsidR="00DD5585" w:rsidRDefault="00DD5585" w:rsidP="00DD5585">
      <w:pPr>
        <w:pStyle w:val="SingleTxtG"/>
        <w:tabs>
          <w:tab w:val="left" w:pos="1701"/>
        </w:tabs>
      </w:pPr>
      <w:r>
        <w:t>16.</w:t>
      </w:r>
      <w:r>
        <w:tab/>
        <w:t>According to section 1.1.2.5, the GHS is (only) test method neutral with regard to health and environmental hazards. For physical hazards it refers to specific test methods in almost every chapter. It should also be noted that the current criterion in 2.17.2.1 (b) refers explicitly to test 6 (a) and (b) and the burning rate test according to section 51.4 of the Manual of Tests and Criteria.</w:t>
      </w:r>
    </w:p>
    <w:p w14:paraId="7C1A5B9B" w14:textId="77777777" w:rsidR="00DD5585" w:rsidRDefault="00DD5585" w:rsidP="00DD5585">
      <w:pPr>
        <w:pStyle w:val="HChG"/>
      </w:pPr>
      <w:r>
        <w:tab/>
      </w:r>
      <w:r>
        <w:tab/>
        <w:t>Harmonisation with the Model Regulations</w:t>
      </w:r>
    </w:p>
    <w:p w14:paraId="1A395461" w14:textId="77777777" w:rsidR="00DD5585" w:rsidRDefault="00DD5585" w:rsidP="00DD5585">
      <w:pPr>
        <w:pStyle w:val="SingleTxtG"/>
        <w:tabs>
          <w:tab w:val="left" w:pos="1701"/>
        </w:tabs>
      </w:pPr>
      <w:r>
        <w:t>17.</w:t>
      </w:r>
      <w:r>
        <w:tab/>
        <w:t>During the last session, it was also asked whether the foreseen amendments might result in or increase “disharmony” with the Model Regulations. This can be clearly negated. Quite contrary, the additional criterion as foreseen for 2.17.2.1 (b) is already covered by the Model Regulations so that harmony with the transport regulations is actually increased:</w:t>
      </w:r>
    </w:p>
    <w:p w14:paraId="2466C583" w14:textId="77777777" w:rsidR="00DD5585" w:rsidRPr="001E28FF" w:rsidRDefault="00DD5585" w:rsidP="001E28FF">
      <w:pPr>
        <w:pStyle w:val="Bullet1G"/>
      </w:pPr>
      <w:r w:rsidRPr="001E28FF">
        <w:t>Explosives (whether in a desensitized state or not) failing test series 3 may not be transported at all and therefore may also not be transported as desensitized explosives.</w:t>
      </w:r>
    </w:p>
    <w:p w14:paraId="15B3F5E1" w14:textId="77777777" w:rsidR="00DD5585" w:rsidRPr="001E28FF" w:rsidRDefault="00DD5585" w:rsidP="001E28FF">
      <w:pPr>
        <w:pStyle w:val="Bullet1G"/>
      </w:pPr>
      <w:r w:rsidRPr="001E28FF">
        <w:t>Nitrocellulose mixtures have to fulfil the Bergmann-Junk test or the methyl violet paper test (these are the tests given in Appendix 10 of the Manual of Tests and Criteria) in order to transport them as solid desensitized explosives (see special provisions 393 and 394 in Chapter 3.3 of the Model Regulations and the introductory sentence in Appendix 10 of the Manual of Tests and Criteria).</w:t>
      </w:r>
    </w:p>
    <w:p w14:paraId="33EC7090" w14:textId="77777777" w:rsidR="00DD5585" w:rsidRDefault="00DD5585" w:rsidP="00DD5585">
      <w:pPr>
        <w:pStyle w:val="HChG"/>
      </w:pPr>
      <w:r>
        <w:tab/>
      </w:r>
      <w:r>
        <w:tab/>
        <w:t>Justification for the amendments in section 2.17.1</w:t>
      </w:r>
    </w:p>
    <w:p w14:paraId="10A70428" w14:textId="7961AAA8" w:rsidR="00DD5585" w:rsidRDefault="00DD5585" w:rsidP="00DD5585">
      <w:pPr>
        <w:pStyle w:val="SingleTxtG"/>
        <w:tabs>
          <w:tab w:val="left" w:pos="1701"/>
        </w:tabs>
        <w:rPr>
          <w:rFonts w:eastAsia="Calibri" w:cs="TimesNewRomanPSMT"/>
          <w:lang w:val="en-US"/>
        </w:rPr>
      </w:pPr>
      <w:r>
        <w:t>18.</w:t>
      </w:r>
      <w:r>
        <w:tab/>
        <w:t>The proposed amendments should also be reflected in section 2.17.1 – equivalent to the current text: “…</w:t>
      </w:r>
      <w:r w:rsidRPr="00A61ABA">
        <w:rPr>
          <w:rFonts w:eastAsia="Calibri" w:cs="TimesNewRomanPSMT"/>
          <w:lang w:val="en-US"/>
        </w:rPr>
        <w:t xml:space="preserve">do not mass explode and do not burn too rapidly </w:t>
      </w:r>
      <w:r>
        <w:rPr>
          <w:rFonts w:eastAsia="Calibri" w:cs="TimesNewRomanPSMT"/>
          <w:lang w:val="en-US"/>
        </w:rPr>
        <w:t xml:space="preserve">…”. However, the experts involved beforehand in the development of this proposal could not come up with appropriate wording to that regard (without referencing directly to the test methods to be </w:t>
      </w:r>
      <w:r>
        <w:rPr>
          <w:rFonts w:eastAsia="Calibri" w:cs="TimesNewRomanPSMT"/>
          <w:lang w:val="en-US"/>
        </w:rPr>
        <w:lastRenderedPageBreak/>
        <w:t xml:space="preserve">included in section 2.17.2). Since the </w:t>
      </w:r>
      <w:r w:rsidR="006B033E">
        <w:rPr>
          <w:rFonts w:eastAsia="Calibri" w:cs="TimesNewRomanPSMT"/>
          <w:lang w:val="en-US"/>
        </w:rPr>
        <w:t xml:space="preserve">wording </w:t>
      </w:r>
      <w:r>
        <w:rPr>
          <w:rFonts w:eastAsia="Calibri" w:cs="TimesNewRomanPSMT"/>
          <w:lang w:val="en-US"/>
        </w:rPr>
        <w:t xml:space="preserve">currently available is only a loose repetition of the criteria given in section 2.17.2 anyway, it is proposed to delete the respective wording (see Annex </w:t>
      </w:r>
      <w:r w:rsidR="00BB08ED">
        <w:rPr>
          <w:rFonts w:eastAsia="Calibri" w:cs="TimesNewRomanPSMT"/>
          <w:lang w:val="en-US"/>
        </w:rPr>
        <w:t>I</w:t>
      </w:r>
      <w:r>
        <w:rPr>
          <w:rFonts w:eastAsia="Calibri" w:cs="TimesNewRomanPSMT"/>
          <w:lang w:val="en-US"/>
        </w:rPr>
        <w:t xml:space="preserve"> to this document, section 2.17.1.1). Instead, a reference to the criteria in section 2.17.2 is added in order to clarify that not any phlegmatization is sufficient, but that it has to fulfill certain conditions.</w:t>
      </w:r>
    </w:p>
    <w:p w14:paraId="72571CB7" w14:textId="6560F5AD" w:rsidR="00DD5585" w:rsidRPr="00B04FB1" w:rsidRDefault="00DD5585" w:rsidP="00DD5585">
      <w:pPr>
        <w:pStyle w:val="SingleTxtG"/>
        <w:tabs>
          <w:tab w:val="left" w:pos="1701"/>
        </w:tabs>
        <w:rPr>
          <w:lang w:val="en-US"/>
        </w:rPr>
      </w:pPr>
      <w:r>
        <w:rPr>
          <w:lang w:val="en-US"/>
        </w:rPr>
        <w:t>19.</w:t>
      </w:r>
      <w:r>
        <w:rPr>
          <w:lang w:val="en-US"/>
        </w:rPr>
        <w:tab/>
        <w:t xml:space="preserve">Footnote 1 can be deleted for the following reasons: An explanation that test series 3 should be carried out in </w:t>
      </w:r>
      <w:r w:rsidR="00D26856">
        <w:rPr>
          <w:lang w:val="en-US"/>
        </w:rPr>
        <w:t xml:space="preserve">the </w:t>
      </w:r>
      <w:r>
        <w:rPr>
          <w:lang w:val="en-US"/>
        </w:rPr>
        <w:t xml:space="preserve">case explosives that failed test series 3 (before desensitization) are phlegmatized and considered for classification according to Chapter 2.17 of the GHS is no longer necessary because the reference to test series 3 is added in section 2.17.2. Moreover, the kind of information that should be given in the </w:t>
      </w:r>
      <w:r w:rsidR="004A4623">
        <w:rPr>
          <w:lang w:val="en-US"/>
        </w:rPr>
        <w:t>Safety Data Sheets (</w:t>
      </w:r>
      <w:r>
        <w:rPr>
          <w:lang w:val="en-US"/>
        </w:rPr>
        <w:t>SDS</w:t>
      </w:r>
      <w:r w:rsidR="004A4623">
        <w:rPr>
          <w:lang w:val="en-US"/>
        </w:rPr>
        <w:t>)</w:t>
      </w:r>
      <w:r>
        <w:rPr>
          <w:lang w:val="en-US"/>
        </w:rPr>
        <w:t xml:space="preserve"> is indicated in Annex 4, Section 9, Table A4.3.9.3 of the GHS.</w:t>
      </w:r>
    </w:p>
    <w:p w14:paraId="12F57C70" w14:textId="77777777" w:rsidR="00DD5585" w:rsidRDefault="00DD5585" w:rsidP="00DD5585">
      <w:pPr>
        <w:pStyle w:val="HChG"/>
      </w:pPr>
      <w:r>
        <w:tab/>
      </w:r>
      <w:r>
        <w:tab/>
        <w:t>Amendments to section 51 of the Manual of Tests and Criteria</w:t>
      </w:r>
    </w:p>
    <w:p w14:paraId="6EB39426" w14:textId="32DCF83A" w:rsidR="00DD5585" w:rsidRDefault="00DD5585" w:rsidP="00DD5585">
      <w:pPr>
        <w:pStyle w:val="SingleTxtG"/>
        <w:tabs>
          <w:tab w:val="left" w:pos="1701"/>
        </w:tabs>
      </w:pPr>
      <w:r>
        <w:t>20.</w:t>
      </w:r>
      <w:r>
        <w:tab/>
        <w:t xml:space="preserve">The amendments in sections 51.1, 51.2 and 51.3.1 of the Manual of Tests and Criteria just mirror the amendments foreseen in Chapter 2.17 of the GHS. Only the amendments in section 51.3.2 add some (rather obvious but hopefully still helpful) waiving possibilities (see Annex </w:t>
      </w:r>
      <w:r w:rsidR="004338B6">
        <w:t>III</w:t>
      </w:r>
      <w:r>
        <w:t xml:space="preserve"> to this document). They are in line with the current footnote 1 in section 2.17.1 of the GHS and with special provision 393 of the Model Regulations. These are supposed to reduce testing to an absolute minimum.</w:t>
      </w:r>
    </w:p>
    <w:p w14:paraId="7A47703C" w14:textId="622B9306" w:rsidR="00DD5585" w:rsidRDefault="00DD5585" w:rsidP="00DD5585">
      <w:pPr>
        <w:pStyle w:val="HChG"/>
      </w:pPr>
      <w:r>
        <w:tab/>
      </w:r>
      <w:r>
        <w:tab/>
        <w:t>Request to the TDG</w:t>
      </w:r>
      <w:r w:rsidRPr="00274B69">
        <w:t xml:space="preserve"> </w:t>
      </w:r>
      <w:r>
        <w:t>and GHS sub-committees</w:t>
      </w:r>
    </w:p>
    <w:p w14:paraId="21A9A682" w14:textId="4BFA2CEE" w:rsidR="00DD5585" w:rsidRPr="000A4CA5" w:rsidRDefault="00DD5585" w:rsidP="00DD5585">
      <w:pPr>
        <w:pStyle w:val="SingleTxtG"/>
        <w:tabs>
          <w:tab w:val="left" w:pos="1701"/>
        </w:tabs>
      </w:pPr>
      <w:r>
        <w:t>21.</w:t>
      </w:r>
      <w:r>
        <w:tab/>
        <w:t xml:space="preserve">Experts of the TDG and GHS sub-committees are requested to consider the proposal outlined in annexes </w:t>
      </w:r>
      <w:r w:rsidR="004338B6">
        <w:t>I</w:t>
      </w:r>
      <w:r>
        <w:t xml:space="preserve"> to </w:t>
      </w:r>
      <w:r w:rsidR="004338B6">
        <w:t>III</w:t>
      </w:r>
      <w:r>
        <w:t xml:space="preserve"> to this document. The TDG Sub-Committee may also wish to refer the proposal to its Working Group on Explosives for consideration. The expert from Germany is aware that the Working Group on Explosives may not meet again before the session in July 2022. In that case, preliminary comments are highly appreciated and welcome.</w:t>
      </w:r>
    </w:p>
    <w:p w14:paraId="046594AF" w14:textId="77777777" w:rsidR="00DD5585" w:rsidRDefault="00DD5585" w:rsidP="00DD5585">
      <w:r>
        <w:br w:type="page"/>
      </w:r>
    </w:p>
    <w:p w14:paraId="4805ADAE" w14:textId="579A8120" w:rsidR="00DD5585" w:rsidRDefault="00DD5585" w:rsidP="0041108F">
      <w:pPr>
        <w:pStyle w:val="HChG"/>
      </w:pPr>
      <w:r>
        <w:lastRenderedPageBreak/>
        <w:t xml:space="preserve">Annex </w:t>
      </w:r>
      <w:r w:rsidR="00BB08ED">
        <w:t>I</w:t>
      </w:r>
    </w:p>
    <w:p w14:paraId="1CE4B737" w14:textId="5D587A38" w:rsidR="00DD5585" w:rsidRDefault="00DD5585" w:rsidP="00DD5585">
      <w:pPr>
        <w:pStyle w:val="HChG"/>
        <w:tabs>
          <w:tab w:val="clear" w:pos="851"/>
        </w:tabs>
      </w:pPr>
      <w:r>
        <w:tab/>
        <w:t>Amendments to sections 2.17.1 and 2.17.2 of Chapter 2.17</w:t>
      </w:r>
      <w:r w:rsidR="006845D1">
        <w:t xml:space="preserve"> of the GHS</w:t>
      </w:r>
    </w:p>
    <w:p w14:paraId="0D558C01" w14:textId="74013396" w:rsidR="00DD5585" w:rsidRPr="00276805" w:rsidRDefault="00C57975" w:rsidP="00DD5585">
      <w:pPr>
        <w:pStyle w:val="SingleTxtG"/>
        <w:rPr>
          <w:i/>
          <w:iCs/>
        </w:rPr>
      </w:pPr>
      <w:r w:rsidRPr="00276805">
        <w:rPr>
          <w:i/>
          <w:iCs/>
        </w:rPr>
        <w:t>(</w:t>
      </w:r>
      <w:r w:rsidR="00DD5585" w:rsidRPr="00276805">
        <w:rPr>
          <w:i/>
          <w:iCs/>
        </w:rPr>
        <w:t xml:space="preserve">Additions are shown in </w:t>
      </w:r>
      <w:r w:rsidR="00DD5585" w:rsidRPr="00276805">
        <w:rPr>
          <w:b/>
          <w:bCs/>
          <w:i/>
          <w:iCs/>
          <w:u w:val="single"/>
        </w:rPr>
        <w:t>bold and underlined</w:t>
      </w:r>
      <w:r w:rsidR="00DD5585" w:rsidRPr="00276805">
        <w:rPr>
          <w:i/>
          <w:iCs/>
        </w:rPr>
        <w:t xml:space="preserve">, deletions are </w:t>
      </w:r>
      <w:r w:rsidR="00DD5585" w:rsidRPr="00276805">
        <w:rPr>
          <w:i/>
          <w:iCs/>
          <w:strike/>
        </w:rPr>
        <w:t>struck through</w:t>
      </w:r>
      <w:r w:rsidRPr="00276805">
        <w:rPr>
          <w:i/>
          <w:iCs/>
          <w:strike/>
        </w:rPr>
        <w:t>.</w:t>
      </w:r>
      <w:r w:rsidR="00DD5585" w:rsidRPr="00276805">
        <w:rPr>
          <w:i/>
          <w:iCs/>
        </w:rPr>
        <w:t xml:space="preserve"> </w:t>
      </w:r>
      <w:r w:rsidR="00276805" w:rsidRPr="00276805">
        <w:rPr>
          <w:i/>
          <w:iCs/>
        </w:rPr>
        <w:t xml:space="preserve">The proposal takes into account </w:t>
      </w:r>
      <w:r w:rsidR="00DD5585" w:rsidRPr="00276805">
        <w:rPr>
          <w:i/>
          <w:iCs/>
        </w:rPr>
        <w:t xml:space="preserve">the corrections adopted </w:t>
      </w:r>
      <w:r w:rsidR="009E6921">
        <w:rPr>
          <w:i/>
          <w:iCs/>
        </w:rPr>
        <w:t xml:space="preserve">by the Sub-Committee </w:t>
      </w:r>
      <w:r w:rsidR="005962D0">
        <w:rPr>
          <w:i/>
          <w:iCs/>
        </w:rPr>
        <w:t xml:space="preserve">at </w:t>
      </w:r>
      <w:r w:rsidR="009E6921">
        <w:rPr>
          <w:i/>
          <w:iCs/>
        </w:rPr>
        <w:t xml:space="preserve">its </w:t>
      </w:r>
      <w:r w:rsidR="00DD5585" w:rsidRPr="00276805">
        <w:rPr>
          <w:i/>
          <w:iCs/>
        </w:rPr>
        <w:t>fortieth session).</w:t>
      </w:r>
    </w:p>
    <w:p w14:paraId="25E8BFBB" w14:textId="77777777" w:rsidR="00DD5585" w:rsidRPr="00841398" w:rsidRDefault="00DD5585" w:rsidP="00DD5585">
      <w:pPr>
        <w:tabs>
          <w:tab w:val="left" w:pos="1134"/>
        </w:tabs>
        <w:suppressAutoHyphens w:val="0"/>
        <w:spacing w:before="240" w:line="264" w:lineRule="auto"/>
        <w:jc w:val="center"/>
        <w:rPr>
          <w:rFonts w:eastAsia="Calibri" w:cs="TimesNewRomanPSMT"/>
          <w:b/>
          <w:bCs/>
          <w:sz w:val="30"/>
          <w:szCs w:val="30"/>
          <w:lang w:val="en-US"/>
        </w:rPr>
      </w:pPr>
      <w:r>
        <w:rPr>
          <w:rFonts w:eastAsia="Calibri" w:cs="TimesNewRomanPSMT"/>
          <w:b/>
          <w:bCs/>
          <w:sz w:val="30"/>
          <w:szCs w:val="30"/>
          <w:lang w:val="en-US"/>
        </w:rPr>
        <w:t>“</w:t>
      </w:r>
      <w:r w:rsidRPr="00841398">
        <w:rPr>
          <w:rFonts w:eastAsia="Calibri" w:cs="TimesNewRomanPSMT"/>
          <w:b/>
          <w:bCs/>
          <w:sz w:val="30"/>
          <w:szCs w:val="30"/>
          <w:lang w:val="en-US"/>
        </w:rPr>
        <w:t>CHAPTER 2.17</w:t>
      </w:r>
    </w:p>
    <w:p w14:paraId="6D1039B4" w14:textId="77777777" w:rsidR="00DD5585" w:rsidRPr="00841398" w:rsidRDefault="00DD5585" w:rsidP="00DD5585">
      <w:pPr>
        <w:tabs>
          <w:tab w:val="left" w:pos="1134"/>
        </w:tabs>
        <w:suppressAutoHyphens w:val="0"/>
        <w:spacing w:before="240" w:line="264" w:lineRule="auto"/>
        <w:jc w:val="center"/>
        <w:rPr>
          <w:rFonts w:eastAsia="Calibri" w:cs="TimesNewRomanPSMT"/>
          <w:b/>
          <w:bCs/>
          <w:sz w:val="30"/>
          <w:szCs w:val="30"/>
          <w:lang w:val="en-US"/>
        </w:rPr>
      </w:pPr>
      <w:r w:rsidRPr="00841398">
        <w:rPr>
          <w:rFonts w:eastAsia="Calibri" w:cs="TimesNewRomanPSMT"/>
          <w:b/>
          <w:bCs/>
          <w:sz w:val="30"/>
          <w:szCs w:val="30"/>
          <w:lang w:val="en-US"/>
        </w:rPr>
        <w:t>DESENSITIZED EXPLOSIVES</w:t>
      </w:r>
    </w:p>
    <w:p w14:paraId="2282A741" w14:textId="77777777" w:rsidR="00DD5585" w:rsidRPr="00841398" w:rsidRDefault="00DD5585" w:rsidP="00DA19E5">
      <w:pPr>
        <w:tabs>
          <w:tab w:val="left" w:pos="2268"/>
        </w:tabs>
        <w:suppressAutoHyphens w:val="0"/>
        <w:spacing w:before="240" w:line="264" w:lineRule="auto"/>
        <w:ind w:left="1134"/>
        <w:jc w:val="both"/>
        <w:rPr>
          <w:rFonts w:eastAsia="Calibri" w:cs="TimesNewRomanPSMT"/>
          <w:b/>
          <w:bCs/>
          <w:sz w:val="22"/>
          <w:lang w:val="en-US"/>
        </w:rPr>
      </w:pPr>
      <w:r w:rsidRPr="00841398">
        <w:rPr>
          <w:rFonts w:eastAsia="Calibri" w:cs="TimesNewRomanPSMT"/>
          <w:b/>
          <w:bCs/>
          <w:sz w:val="22"/>
          <w:lang w:val="en-US"/>
        </w:rPr>
        <w:t>2.17.1</w:t>
      </w:r>
      <w:r w:rsidRPr="00841398">
        <w:rPr>
          <w:rFonts w:eastAsia="Calibri" w:cs="TimesNewRomanPSMT"/>
          <w:b/>
          <w:bCs/>
          <w:sz w:val="22"/>
          <w:lang w:val="en-US"/>
        </w:rPr>
        <w:tab/>
        <w:t>Definitions and general considerations</w:t>
      </w:r>
    </w:p>
    <w:p w14:paraId="09571BA5" w14:textId="0FEBCA07" w:rsidR="00DD5585" w:rsidRPr="00841398" w:rsidRDefault="00DD5585" w:rsidP="00DA19E5">
      <w:pPr>
        <w:tabs>
          <w:tab w:val="left" w:pos="2268"/>
        </w:tabs>
        <w:suppressAutoHyphens w:val="0"/>
        <w:spacing w:before="240" w:line="264" w:lineRule="auto"/>
        <w:ind w:left="1134"/>
        <w:jc w:val="both"/>
        <w:rPr>
          <w:rFonts w:eastAsia="Calibri" w:cs="TimesNewRomanPSMT"/>
          <w:sz w:val="22"/>
          <w:lang w:val="en-US"/>
        </w:rPr>
      </w:pPr>
      <w:r w:rsidRPr="00841398">
        <w:rPr>
          <w:rFonts w:eastAsia="Calibri" w:cs="TimesNewRomanPSMT"/>
          <w:sz w:val="22"/>
          <w:lang w:val="en-US"/>
        </w:rPr>
        <w:t>2.17.1.1</w:t>
      </w:r>
      <w:r w:rsidRPr="00841398">
        <w:rPr>
          <w:rFonts w:eastAsia="Calibri" w:cs="TimesNewRomanPSMT"/>
          <w:sz w:val="22"/>
          <w:lang w:val="en-US"/>
        </w:rPr>
        <w:tab/>
        <w:t xml:space="preserve">Desensitized explosives are solid or liquid explosive substances or mixtures which are phlegmatized to suppress their explosive properties </w:t>
      </w:r>
      <w:r w:rsidRPr="00296173">
        <w:rPr>
          <w:rFonts w:eastAsia="Calibri" w:cs="TimesNewRomanPSMT"/>
          <w:b/>
          <w:bCs/>
          <w:sz w:val="22"/>
          <w:u w:val="single"/>
          <w:lang w:val="en-US"/>
        </w:rPr>
        <w:t>at least as specified in section 2.17.2 so that they</w:t>
      </w:r>
      <w:r>
        <w:rPr>
          <w:rFonts w:eastAsia="Calibri" w:cs="TimesNewRomanPSMT"/>
          <w:sz w:val="22"/>
          <w:lang w:val="en-US"/>
        </w:rPr>
        <w:t xml:space="preserve"> </w:t>
      </w:r>
      <w:r w:rsidRPr="00FF37EA">
        <w:rPr>
          <w:rFonts w:eastAsia="Calibri" w:cs="TimesNewRomanPSMT"/>
          <w:strike/>
          <w:sz w:val="22"/>
          <w:lang w:val="en-US"/>
        </w:rPr>
        <w:t xml:space="preserve">in such a manner that they do not mass explode and do not burn too rapidly and therefore </w:t>
      </w:r>
      <w:r w:rsidRPr="00841398">
        <w:rPr>
          <w:rFonts w:eastAsia="Calibri" w:cs="TimesNewRomanPSMT"/>
          <w:sz w:val="22"/>
          <w:lang w:val="en-US"/>
        </w:rPr>
        <w:t xml:space="preserve">may be exempted from the hazard class “Explosives” (Chapter 2.1; </w:t>
      </w:r>
      <w:r>
        <w:t xml:space="preserve">see </w:t>
      </w:r>
      <w:r w:rsidRPr="00841398">
        <w:rPr>
          <w:rFonts w:eastAsia="Calibri" w:cs="TimesNewRomanPSMT"/>
          <w:sz w:val="22"/>
          <w:lang w:val="en-US"/>
        </w:rPr>
        <w:t>paragraph 2.1.1.2.2).</w:t>
      </w:r>
      <w:r w:rsidR="00C57975" w:rsidRPr="009C1A56">
        <w:rPr>
          <w:rStyle w:val="FootnoteReference"/>
          <w:rFonts w:eastAsia="Calibri" w:cs="TimesNewRomanPSMT"/>
          <w:b/>
          <w:bCs/>
          <w:strike/>
          <w:lang w:val="en-US"/>
        </w:rPr>
        <w:footnoteReference w:id="3"/>
      </w:r>
    </w:p>
    <w:p w14:paraId="6DCC30CD" w14:textId="77777777" w:rsidR="00DD5585" w:rsidRPr="00841398" w:rsidRDefault="00DD5585" w:rsidP="00DA19E5">
      <w:pPr>
        <w:tabs>
          <w:tab w:val="left" w:pos="2268"/>
        </w:tabs>
        <w:suppressAutoHyphens w:val="0"/>
        <w:spacing w:before="240" w:line="264" w:lineRule="auto"/>
        <w:ind w:left="1134"/>
        <w:jc w:val="both"/>
        <w:rPr>
          <w:rFonts w:eastAsia="Calibri" w:cs="TimesNewRomanPSMT"/>
          <w:sz w:val="22"/>
          <w:lang w:val="en-US"/>
        </w:rPr>
      </w:pPr>
      <w:r w:rsidRPr="00841398">
        <w:rPr>
          <w:rFonts w:eastAsia="Calibri" w:cs="TimesNewRomanPSMT"/>
          <w:sz w:val="22"/>
          <w:lang w:val="en-US"/>
        </w:rPr>
        <w:t>2.17.1.2</w:t>
      </w:r>
      <w:r w:rsidRPr="00841398">
        <w:rPr>
          <w:rFonts w:eastAsia="Calibri" w:cs="TimesNewRomanPSMT"/>
          <w:sz w:val="22"/>
          <w:lang w:val="en-US"/>
        </w:rPr>
        <w:tab/>
        <w:t>The class of desensitized explosives comprises:</w:t>
      </w:r>
    </w:p>
    <w:p w14:paraId="4D791A97" w14:textId="77777777" w:rsidR="00DD5585" w:rsidRPr="00841398" w:rsidRDefault="00DD5585" w:rsidP="00DA19E5">
      <w:pPr>
        <w:tabs>
          <w:tab w:val="left" w:pos="1701"/>
          <w:tab w:val="left" w:pos="2835"/>
        </w:tabs>
        <w:suppressAutoHyphens w:val="0"/>
        <w:spacing w:before="240" w:line="264" w:lineRule="auto"/>
        <w:ind w:left="2835" w:hanging="567"/>
        <w:jc w:val="both"/>
        <w:rPr>
          <w:rFonts w:eastAsia="Calibri" w:cs="TimesNewRomanPSMT"/>
          <w:sz w:val="22"/>
          <w:lang w:val="en-US"/>
        </w:rPr>
      </w:pPr>
      <w:r w:rsidRPr="00841398">
        <w:rPr>
          <w:rFonts w:eastAsia="Calibri" w:cs="TimesNewRomanPSMT"/>
          <w:sz w:val="22"/>
          <w:lang w:val="en-US"/>
        </w:rPr>
        <w:t>(a)</w:t>
      </w:r>
      <w:r w:rsidRPr="00841398">
        <w:rPr>
          <w:rFonts w:eastAsia="Calibri" w:cs="TimesNewRomanPSMT"/>
          <w:sz w:val="22"/>
          <w:lang w:val="en-US"/>
        </w:rPr>
        <w:tab/>
        <w:t>Solid desensitized explosives: explosive substances or mixtures which are wetted with water or alcohols or are diluted with other substances, to form a homogeneous solid mixture to suppress their explosive properties.</w:t>
      </w:r>
    </w:p>
    <w:p w14:paraId="39FDDEE9" w14:textId="77777777" w:rsidR="00DD5585" w:rsidRPr="00841398" w:rsidRDefault="00DD5585" w:rsidP="00DA19E5">
      <w:pPr>
        <w:tabs>
          <w:tab w:val="left" w:pos="1701"/>
          <w:tab w:val="left" w:pos="2835"/>
        </w:tabs>
        <w:suppressAutoHyphens w:val="0"/>
        <w:spacing w:before="120" w:line="264" w:lineRule="auto"/>
        <w:ind w:left="2835" w:hanging="567"/>
        <w:jc w:val="both"/>
        <w:rPr>
          <w:rFonts w:eastAsia="Calibri" w:cs="TimesNewRomanPSMT"/>
          <w:i/>
          <w:iCs/>
          <w:sz w:val="22"/>
          <w:lang w:val="en-US"/>
        </w:rPr>
      </w:pPr>
      <w:r>
        <w:rPr>
          <w:rFonts w:ascii="TimesNewRomanPS-BoldItalicMT" w:eastAsia="Calibri" w:hAnsi="TimesNewRomanPS-BoldItalicMT" w:cs="TimesNewRomanPS-BoldItalicMT"/>
          <w:b/>
          <w:bCs/>
          <w:i/>
          <w:iCs/>
          <w:sz w:val="22"/>
          <w:lang w:val="en-US"/>
        </w:rPr>
        <w:tab/>
      </w:r>
      <w:r w:rsidRPr="00841398">
        <w:rPr>
          <w:rFonts w:ascii="TimesNewRomanPS-BoldItalicMT" w:eastAsia="Calibri" w:hAnsi="TimesNewRomanPS-BoldItalicMT" w:cs="TimesNewRomanPS-BoldItalicMT"/>
          <w:b/>
          <w:bCs/>
          <w:i/>
          <w:iCs/>
          <w:sz w:val="22"/>
          <w:lang w:val="en-US"/>
        </w:rPr>
        <w:t>NOTE:</w:t>
      </w:r>
      <w:r w:rsidRPr="00841398">
        <w:rPr>
          <w:rFonts w:ascii="TimesNewRomanPS-BoldItalicMT" w:eastAsia="Calibri" w:hAnsi="TimesNewRomanPS-BoldItalicMT" w:cs="TimesNewRomanPS-BoldItalicMT"/>
          <w:i/>
          <w:iCs/>
          <w:sz w:val="22"/>
          <w:lang w:val="en-US"/>
        </w:rPr>
        <w:t xml:space="preserve"> </w:t>
      </w:r>
      <w:r w:rsidRPr="00841398">
        <w:rPr>
          <w:rFonts w:eastAsia="Calibri" w:cs="TimesNewRomanPSMT"/>
          <w:i/>
          <w:iCs/>
          <w:sz w:val="22"/>
          <w:lang w:val="en-US"/>
        </w:rPr>
        <w:t>This includes desensitization achieved by formation of hydrates of the substances.</w:t>
      </w:r>
    </w:p>
    <w:p w14:paraId="5B5D5221" w14:textId="77777777" w:rsidR="00DD5585" w:rsidRPr="00841398" w:rsidRDefault="00DD5585" w:rsidP="00DA19E5">
      <w:pPr>
        <w:tabs>
          <w:tab w:val="left" w:pos="1701"/>
          <w:tab w:val="left" w:pos="2835"/>
        </w:tabs>
        <w:suppressAutoHyphens w:val="0"/>
        <w:spacing w:before="240" w:line="264" w:lineRule="auto"/>
        <w:ind w:left="2835" w:hanging="567"/>
        <w:jc w:val="both"/>
        <w:rPr>
          <w:rFonts w:eastAsia="Calibri" w:cs="TimesNewRomanPSMT"/>
          <w:sz w:val="22"/>
          <w:lang w:val="en-US"/>
        </w:rPr>
      </w:pPr>
      <w:r w:rsidRPr="00841398">
        <w:rPr>
          <w:rFonts w:eastAsia="Calibri" w:cs="TimesNewRomanPSMT"/>
          <w:sz w:val="22"/>
          <w:lang w:val="en-US"/>
        </w:rPr>
        <w:t>(b)</w:t>
      </w:r>
      <w:r w:rsidRPr="00841398">
        <w:rPr>
          <w:rFonts w:eastAsia="Calibri" w:cs="TimesNewRomanPSMT"/>
          <w:sz w:val="22"/>
          <w:lang w:val="en-US"/>
        </w:rPr>
        <w:tab/>
        <w:t>Liquid desensitized explosives: explosive substances or mixtures which are dissolved or suspended in water or other liquid substances, to form a homogeneous liquid mixture to suppress their explosive properties.</w:t>
      </w:r>
    </w:p>
    <w:p w14:paraId="2624B2C0" w14:textId="77777777" w:rsidR="00DD5585" w:rsidRPr="00841398" w:rsidRDefault="00DD5585" w:rsidP="00DA19E5">
      <w:pPr>
        <w:tabs>
          <w:tab w:val="left" w:pos="2268"/>
        </w:tabs>
        <w:suppressAutoHyphens w:val="0"/>
        <w:spacing w:before="240" w:line="264" w:lineRule="auto"/>
        <w:ind w:left="1134"/>
        <w:jc w:val="both"/>
        <w:rPr>
          <w:rFonts w:eastAsia="Calibri" w:cs="TimesNewRomanPSMT"/>
          <w:b/>
          <w:bCs/>
          <w:sz w:val="22"/>
          <w:lang w:val="en-US"/>
        </w:rPr>
      </w:pPr>
      <w:r w:rsidRPr="00841398">
        <w:rPr>
          <w:rFonts w:eastAsia="Calibri" w:cs="TimesNewRomanPSMT"/>
          <w:b/>
          <w:bCs/>
          <w:sz w:val="22"/>
          <w:lang w:val="en-US"/>
        </w:rPr>
        <w:t>2.17.2</w:t>
      </w:r>
      <w:r w:rsidRPr="00841398">
        <w:rPr>
          <w:rFonts w:eastAsia="Calibri" w:cs="TimesNewRomanPSMT"/>
          <w:b/>
          <w:bCs/>
          <w:sz w:val="22"/>
          <w:lang w:val="en-US"/>
        </w:rPr>
        <w:tab/>
        <w:t>Classification criteria</w:t>
      </w:r>
    </w:p>
    <w:p w14:paraId="68EA45C4" w14:textId="77777777" w:rsidR="00DD5585" w:rsidRPr="00841398" w:rsidRDefault="00DD5585" w:rsidP="00DA19E5">
      <w:pPr>
        <w:tabs>
          <w:tab w:val="left" w:pos="2268"/>
        </w:tabs>
        <w:suppressAutoHyphens w:val="0"/>
        <w:spacing w:before="240" w:line="264" w:lineRule="auto"/>
        <w:ind w:left="1134"/>
        <w:jc w:val="both"/>
        <w:rPr>
          <w:rFonts w:eastAsia="Calibri" w:cs="TimesNewRomanPSMT"/>
          <w:sz w:val="22"/>
          <w:lang w:val="en-US"/>
        </w:rPr>
      </w:pPr>
      <w:r w:rsidRPr="00841398">
        <w:rPr>
          <w:rFonts w:eastAsia="Calibri" w:cs="TimesNewRomanPSMT"/>
          <w:sz w:val="22"/>
          <w:lang w:val="en-US"/>
        </w:rPr>
        <w:t>2.17.2.1</w:t>
      </w:r>
      <w:r w:rsidRPr="00841398">
        <w:rPr>
          <w:rFonts w:eastAsia="Calibri" w:cs="TimesNewRomanPSMT"/>
          <w:sz w:val="22"/>
          <w:lang w:val="en-US"/>
        </w:rPr>
        <w:tab/>
        <w:t>Any explosive while in a desensitized state shall be considered in this class unless, in that state:</w:t>
      </w:r>
    </w:p>
    <w:p w14:paraId="7E835E1F" w14:textId="77777777" w:rsidR="00DD5585" w:rsidRPr="00841398" w:rsidRDefault="00DD5585" w:rsidP="00DA19E5">
      <w:pPr>
        <w:tabs>
          <w:tab w:val="left" w:pos="1701"/>
          <w:tab w:val="left" w:pos="2835"/>
        </w:tabs>
        <w:suppressAutoHyphens w:val="0"/>
        <w:spacing w:before="240" w:line="264" w:lineRule="auto"/>
        <w:ind w:left="2835" w:hanging="708"/>
        <w:jc w:val="both"/>
        <w:rPr>
          <w:rFonts w:eastAsia="Calibri" w:cs="TimesNewRomanPSMT"/>
          <w:sz w:val="22"/>
          <w:lang w:val="en-US"/>
        </w:rPr>
      </w:pPr>
      <w:r w:rsidRPr="00841398">
        <w:rPr>
          <w:rFonts w:eastAsia="Calibri" w:cs="TimesNewRomanPSMT"/>
          <w:sz w:val="22"/>
          <w:lang w:val="en-US"/>
        </w:rPr>
        <w:t>(a)</w:t>
      </w:r>
      <w:r w:rsidRPr="00841398">
        <w:rPr>
          <w:rFonts w:eastAsia="Calibri" w:cs="TimesNewRomanPSMT"/>
          <w:sz w:val="22"/>
          <w:lang w:val="en-US"/>
        </w:rPr>
        <w:tab/>
        <w:t>It is intended to produce a practical explosive or pyrotechnic effect;</w:t>
      </w:r>
    </w:p>
    <w:p w14:paraId="10BEB703" w14:textId="77777777" w:rsidR="00DD5585" w:rsidRPr="00841398" w:rsidRDefault="00DD5585" w:rsidP="00DA19E5">
      <w:pPr>
        <w:tabs>
          <w:tab w:val="left" w:pos="1701"/>
          <w:tab w:val="left" w:pos="2835"/>
        </w:tabs>
        <w:suppressAutoHyphens w:val="0"/>
        <w:spacing w:before="240" w:line="264" w:lineRule="auto"/>
        <w:ind w:left="2835" w:hanging="708"/>
        <w:jc w:val="both"/>
        <w:rPr>
          <w:rFonts w:eastAsia="Calibri" w:cs="TimesNewRomanPSMT"/>
          <w:b/>
          <w:bCs/>
          <w:sz w:val="22"/>
          <w:u w:val="single"/>
          <w:lang w:val="en-US"/>
        </w:rPr>
      </w:pPr>
      <w:r w:rsidRPr="00841398">
        <w:rPr>
          <w:rFonts w:eastAsia="Calibri" w:cs="TimesNewRomanPSMT"/>
          <w:b/>
          <w:bCs/>
          <w:sz w:val="22"/>
          <w:u w:val="single"/>
          <w:lang w:val="en-US"/>
        </w:rPr>
        <w:t>(b)</w:t>
      </w:r>
      <w:r w:rsidRPr="00841398">
        <w:rPr>
          <w:rFonts w:eastAsia="Calibri" w:cs="TimesNewRomanPSMT"/>
          <w:b/>
          <w:bCs/>
          <w:sz w:val="22"/>
          <w:u w:val="single"/>
          <w:lang w:val="en-US"/>
        </w:rPr>
        <w:tab/>
        <w:t xml:space="preserve">It is too sensitive or unstable according to test series 3, and, for nitrocellulose mixtures, it is not stable according to Appendix 10 of the </w:t>
      </w:r>
      <w:r w:rsidRPr="00841398">
        <w:rPr>
          <w:rFonts w:eastAsia="Calibri" w:cs="TimesNewRomanPSMT"/>
          <w:b/>
          <w:bCs/>
          <w:i/>
          <w:iCs/>
          <w:sz w:val="22"/>
          <w:u w:val="single"/>
          <w:lang w:val="en-US"/>
        </w:rPr>
        <w:t>Manual of Tests and Criteria</w:t>
      </w:r>
      <w:r w:rsidRPr="00841398">
        <w:rPr>
          <w:rFonts w:eastAsia="Calibri" w:cs="TimesNewRomanPSMT"/>
          <w:b/>
          <w:bCs/>
          <w:sz w:val="22"/>
          <w:u w:val="single"/>
          <w:lang w:val="en-US"/>
        </w:rPr>
        <w:t>;</w:t>
      </w:r>
    </w:p>
    <w:p w14:paraId="7F7FA95B" w14:textId="77777777" w:rsidR="00DD5585" w:rsidRPr="00841398" w:rsidRDefault="00DD5585" w:rsidP="00DA19E5">
      <w:pPr>
        <w:tabs>
          <w:tab w:val="left" w:pos="1701"/>
          <w:tab w:val="left" w:pos="2835"/>
        </w:tabs>
        <w:suppressAutoHyphens w:val="0"/>
        <w:spacing w:before="240" w:line="264" w:lineRule="auto"/>
        <w:ind w:left="2835" w:hanging="708"/>
        <w:rPr>
          <w:rFonts w:eastAsia="Calibri" w:cs="TimesNewRomanPSMT"/>
          <w:sz w:val="22"/>
          <w:lang w:val="en-US"/>
        </w:rPr>
      </w:pPr>
      <w:r w:rsidRPr="00841398">
        <w:rPr>
          <w:rFonts w:eastAsia="Calibri" w:cs="TimesNewRomanPSMT"/>
          <w:sz w:val="22"/>
          <w:lang w:val="en-US"/>
        </w:rPr>
        <w:t>(</w:t>
      </w:r>
      <w:r w:rsidRPr="00841398">
        <w:rPr>
          <w:rFonts w:eastAsia="Calibri" w:cs="TimesNewRomanPSMT"/>
          <w:b/>
          <w:bCs/>
          <w:sz w:val="22"/>
          <w:u w:val="single"/>
          <w:lang w:val="en-US"/>
        </w:rPr>
        <w:t>c</w:t>
      </w:r>
      <w:r w:rsidRPr="00FF37EA">
        <w:rPr>
          <w:rFonts w:eastAsia="Calibri" w:cs="TimesNewRomanPSMT"/>
          <w:strike/>
          <w:sz w:val="22"/>
          <w:lang w:val="en-US"/>
        </w:rPr>
        <w:t>b</w:t>
      </w:r>
      <w:r w:rsidRPr="00841398">
        <w:rPr>
          <w:rFonts w:eastAsia="Calibri" w:cs="TimesNewRomanPSMT"/>
          <w:sz w:val="22"/>
          <w:lang w:val="en-US"/>
        </w:rPr>
        <w:t>)</w:t>
      </w:r>
      <w:r w:rsidRPr="00841398">
        <w:rPr>
          <w:rFonts w:eastAsia="Calibri" w:cs="TimesNewRomanPSMT"/>
          <w:sz w:val="22"/>
          <w:lang w:val="en-US"/>
        </w:rPr>
        <w:tab/>
        <w:t xml:space="preserve">It has a mass explosion hazard according to test series 6 (a) or 6 (b) or the corrected burning rate according to the burning rate test described in part V, </w:t>
      </w:r>
      <w:r w:rsidRPr="00841398">
        <w:rPr>
          <w:rFonts w:eastAsia="Calibri" w:cs="TimesNewRomanPSMT"/>
          <w:sz w:val="22"/>
          <w:lang w:val="en-US"/>
        </w:rPr>
        <w:lastRenderedPageBreak/>
        <w:t>sub</w:t>
      </w:r>
      <w:r w:rsidRPr="007710C3">
        <w:rPr>
          <w:rFonts w:eastAsia="Calibri" w:cs="TimesNewRomanPSMT"/>
          <w:b/>
          <w:bCs/>
          <w:sz w:val="22"/>
          <w:u w:val="single"/>
          <w:lang w:val="en-US"/>
        </w:rPr>
        <w:t>-</w:t>
      </w:r>
      <w:r w:rsidRPr="00841398">
        <w:rPr>
          <w:rFonts w:eastAsia="Calibri" w:cs="TimesNewRomanPSMT"/>
          <w:sz w:val="22"/>
          <w:lang w:val="en-US"/>
        </w:rPr>
        <w:t xml:space="preserve">section 51.4 of the </w:t>
      </w:r>
      <w:r w:rsidRPr="00841398">
        <w:rPr>
          <w:rFonts w:ascii="TimesNewRomanPS-ItalicMT" w:eastAsia="Calibri" w:hAnsi="TimesNewRomanPS-ItalicMT" w:cs="TimesNewRomanPS-ItalicMT"/>
          <w:i/>
          <w:iCs/>
          <w:sz w:val="22"/>
          <w:lang w:val="en-US"/>
        </w:rPr>
        <w:t xml:space="preserve">Manual of Tests and Criteria </w:t>
      </w:r>
      <w:r w:rsidRPr="00841398">
        <w:rPr>
          <w:rFonts w:eastAsia="Calibri" w:cs="TimesNewRomanPSMT"/>
          <w:sz w:val="22"/>
          <w:lang w:val="en-US"/>
        </w:rPr>
        <w:t>is greater than 1200 kg/min; or</w:t>
      </w:r>
    </w:p>
    <w:p w14:paraId="5F90FBE5" w14:textId="77777777" w:rsidR="00DD5585" w:rsidRPr="00841398" w:rsidRDefault="00DD5585" w:rsidP="00DA19E5">
      <w:pPr>
        <w:tabs>
          <w:tab w:val="left" w:pos="1701"/>
          <w:tab w:val="left" w:pos="2835"/>
        </w:tabs>
        <w:suppressAutoHyphens w:val="0"/>
        <w:spacing w:before="240" w:line="264" w:lineRule="auto"/>
        <w:ind w:left="2835" w:hanging="708"/>
        <w:rPr>
          <w:rFonts w:eastAsia="Calibri" w:cs="TimesNewRomanPSMT"/>
          <w:sz w:val="22"/>
          <w:lang w:val="en-US"/>
        </w:rPr>
      </w:pPr>
      <w:r w:rsidRPr="00841398">
        <w:rPr>
          <w:rFonts w:eastAsia="Calibri" w:cs="TimesNewRomanPSMT"/>
          <w:sz w:val="22"/>
          <w:lang w:val="en-US"/>
        </w:rPr>
        <w:t>(</w:t>
      </w:r>
      <w:r w:rsidRPr="00841398">
        <w:rPr>
          <w:rFonts w:eastAsia="Calibri" w:cs="TimesNewRomanPSMT"/>
          <w:b/>
          <w:bCs/>
          <w:sz w:val="22"/>
          <w:u w:val="single"/>
          <w:lang w:val="en-US"/>
        </w:rPr>
        <w:t>d</w:t>
      </w:r>
      <w:r w:rsidRPr="00FF37EA">
        <w:rPr>
          <w:rFonts w:eastAsia="Calibri" w:cs="TimesNewRomanPSMT"/>
          <w:strike/>
          <w:sz w:val="22"/>
          <w:lang w:val="en-US"/>
        </w:rPr>
        <w:t>c</w:t>
      </w:r>
      <w:r w:rsidRPr="00841398">
        <w:rPr>
          <w:rFonts w:eastAsia="Calibri" w:cs="TimesNewRomanPSMT"/>
          <w:sz w:val="22"/>
          <w:lang w:val="en-US"/>
        </w:rPr>
        <w:t>)</w:t>
      </w:r>
      <w:r w:rsidRPr="00841398">
        <w:rPr>
          <w:rFonts w:eastAsia="Calibri" w:cs="TimesNewRomanPSMT"/>
          <w:sz w:val="22"/>
          <w:lang w:val="en-US"/>
        </w:rPr>
        <w:tab/>
        <w:t>The exothermic decomposition energy is less than 300 J/g.</w:t>
      </w:r>
    </w:p>
    <w:p w14:paraId="320CDF3C" w14:textId="77777777" w:rsidR="00DD5585" w:rsidRDefault="00DD5585" w:rsidP="00DA19E5">
      <w:pPr>
        <w:tabs>
          <w:tab w:val="left" w:pos="1134"/>
        </w:tabs>
        <w:suppressAutoHyphens w:val="0"/>
        <w:spacing w:before="240" w:line="264" w:lineRule="auto"/>
        <w:ind w:left="2127"/>
        <w:rPr>
          <w:rFonts w:eastAsia="Calibri" w:cs="TimesNewRomanPSMT"/>
          <w:i/>
          <w:iCs/>
          <w:sz w:val="22"/>
          <w:lang w:val="en-US"/>
        </w:rPr>
      </w:pPr>
      <w:r w:rsidRPr="00841398">
        <w:rPr>
          <w:rFonts w:ascii="TimesNewRomanPS-BoldItalicMT" w:eastAsia="Calibri" w:hAnsi="TimesNewRomanPS-BoldItalicMT" w:cs="TimesNewRomanPS-BoldItalicMT"/>
          <w:b/>
          <w:bCs/>
          <w:i/>
          <w:iCs/>
          <w:sz w:val="22"/>
          <w:lang w:val="en-US"/>
        </w:rPr>
        <w:t>NOTE 1:</w:t>
      </w:r>
      <w:r w:rsidRPr="00841398">
        <w:rPr>
          <w:rFonts w:ascii="TimesNewRomanPS-BoldItalicMT" w:eastAsia="Calibri" w:hAnsi="TimesNewRomanPS-BoldItalicMT" w:cs="TimesNewRomanPS-BoldItalicMT"/>
          <w:i/>
          <w:iCs/>
          <w:sz w:val="22"/>
          <w:lang w:val="en-US"/>
        </w:rPr>
        <w:tab/>
      </w:r>
      <w:r w:rsidRPr="00841398">
        <w:rPr>
          <w:rFonts w:eastAsia="Calibri" w:cs="TimesNewRomanPSMT"/>
          <w:i/>
          <w:iCs/>
          <w:sz w:val="22"/>
          <w:lang w:val="en-US"/>
        </w:rPr>
        <w:t>Substances or mixtures which meet the criterion (a)</w:t>
      </w:r>
      <w:r w:rsidRPr="00DC7E63">
        <w:rPr>
          <w:rFonts w:eastAsia="Calibri" w:cs="TimesNewRomanPSMT"/>
          <w:b/>
          <w:bCs/>
          <w:i/>
          <w:iCs/>
          <w:sz w:val="22"/>
          <w:u w:val="single"/>
          <w:lang w:val="en-US"/>
        </w:rPr>
        <w:t>,</w:t>
      </w:r>
      <w:r w:rsidRPr="00FF37EA">
        <w:rPr>
          <w:rFonts w:eastAsia="Calibri" w:cs="TimesNewRomanPSMT"/>
          <w:i/>
          <w:iCs/>
          <w:strike/>
          <w:sz w:val="22"/>
          <w:lang w:val="en-US"/>
        </w:rPr>
        <w:t xml:space="preserve"> or</w:t>
      </w:r>
      <w:r w:rsidRPr="00841398">
        <w:rPr>
          <w:rFonts w:eastAsia="Calibri" w:cs="TimesNewRomanPSMT"/>
          <w:i/>
          <w:iCs/>
          <w:sz w:val="22"/>
          <w:lang w:val="en-US"/>
        </w:rPr>
        <w:t xml:space="preserve"> (b)</w:t>
      </w:r>
      <w:r>
        <w:rPr>
          <w:rFonts w:eastAsia="Calibri" w:cs="TimesNewRomanPSMT"/>
          <w:i/>
          <w:iCs/>
          <w:sz w:val="22"/>
          <w:lang w:val="en-US"/>
        </w:rPr>
        <w:t xml:space="preserve"> </w:t>
      </w:r>
      <w:r w:rsidRPr="00DC7E63">
        <w:rPr>
          <w:rFonts w:eastAsia="Calibri" w:cs="TimesNewRomanPSMT"/>
          <w:b/>
          <w:bCs/>
          <w:i/>
          <w:iCs/>
          <w:sz w:val="22"/>
          <w:u w:val="single"/>
          <w:lang w:val="en-US"/>
        </w:rPr>
        <w:t>or (c)</w:t>
      </w:r>
      <w:r w:rsidRPr="00841398">
        <w:rPr>
          <w:rFonts w:eastAsia="Calibri" w:cs="TimesNewRomanPSMT"/>
          <w:i/>
          <w:iCs/>
          <w:sz w:val="22"/>
          <w:lang w:val="en-US"/>
        </w:rPr>
        <w:t xml:space="preserve"> in their desensitized state shall be classified as explosives (see Chapter 2.1). Substances or mixtures which meet the criterion (</w:t>
      </w:r>
      <w:r w:rsidRPr="00DC7E63">
        <w:rPr>
          <w:rFonts w:eastAsia="Calibri" w:cs="TimesNewRomanPSMT"/>
          <w:b/>
          <w:bCs/>
          <w:i/>
          <w:iCs/>
          <w:sz w:val="22"/>
          <w:u w:val="single"/>
          <w:lang w:val="en-US"/>
        </w:rPr>
        <w:t>d</w:t>
      </w:r>
      <w:r w:rsidRPr="00FF37EA">
        <w:rPr>
          <w:rFonts w:eastAsia="Calibri" w:cs="TimesNewRomanPSMT"/>
          <w:i/>
          <w:iCs/>
          <w:strike/>
          <w:sz w:val="22"/>
          <w:lang w:val="en-US"/>
        </w:rPr>
        <w:t>c</w:t>
      </w:r>
      <w:r w:rsidRPr="00841398">
        <w:rPr>
          <w:rFonts w:eastAsia="Calibri" w:cs="TimesNewRomanPSMT"/>
          <w:i/>
          <w:iCs/>
          <w:sz w:val="22"/>
          <w:lang w:val="en-US"/>
        </w:rPr>
        <w:t>) may fall within the scope of other physical hazard classes.</w:t>
      </w:r>
    </w:p>
    <w:p w14:paraId="32DCD2EB" w14:textId="77777777" w:rsidR="00DD5585" w:rsidRPr="00841398" w:rsidRDefault="00DD5585" w:rsidP="00DA19E5">
      <w:pPr>
        <w:tabs>
          <w:tab w:val="left" w:pos="1134"/>
        </w:tabs>
        <w:suppressAutoHyphens w:val="0"/>
        <w:spacing w:before="240" w:line="264" w:lineRule="auto"/>
        <w:ind w:left="2127"/>
        <w:rPr>
          <w:rFonts w:eastAsia="Calibri" w:cs="TimesNewRomanPSMT"/>
          <w:i/>
          <w:iCs/>
          <w:sz w:val="22"/>
          <w:lang w:val="en-US"/>
        </w:rPr>
      </w:pPr>
      <w:r w:rsidRPr="00841398">
        <w:rPr>
          <w:rFonts w:ascii="TimesNewRomanPS-BoldItalicMT" w:eastAsia="Calibri" w:hAnsi="TimesNewRomanPS-BoldItalicMT" w:cs="TimesNewRomanPS-BoldItalicMT"/>
          <w:b/>
          <w:bCs/>
          <w:i/>
          <w:iCs/>
          <w:sz w:val="22"/>
          <w:lang w:val="en-US"/>
        </w:rPr>
        <w:t>NOTE 2:</w:t>
      </w:r>
      <w:r w:rsidRPr="00841398">
        <w:rPr>
          <w:rFonts w:ascii="TimesNewRomanPS-BoldItalicMT" w:eastAsia="Calibri" w:hAnsi="TimesNewRomanPS-BoldItalicMT" w:cs="TimesNewRomanPS-BoldItalicMT"/>
          <w:i/>
          <w:iCs/>
          <w:sz w:val="22"/>
          <w:lang w:val="en-US"/>
        </w:rPr>
        <w:tab/>
      </w:r>
      <w:r w:rsidRPr="00841398">
        <w:rPr>
          <w:rFonts w:eastAsia="Calibri" w:cs="TimesNewRomanPSMT"/>
          <w:i/>
          <w:iCs/>
          <w:sz w:val="22"/>
          <w:lang w:val="en-US"/>
        </w:rPr>
        <w:t>The exothermic decomposition energy may be estimated using a suitable calorimetric technique (see section 20, sub-section 20.3.3.3 in Part II of the Manual of Tests and Criteria).</w:t>
      </w:r>
    </w:p>
    <w:p w14:paraId="5C945E35" w14:textId="3418DD0F" w:rsidR="00DD5585" w:rsidRPr="00DA19E5" w:rsidRDefault="00390FBE" w:rsidP="00DD5585">
      <w:pPr>
        <w:tabs>
          <w:tab w:val="left" w:pos="1134"/>
        </w:tabs>
        <w:suppressAutoHyphens w:val="0"/>
        <w:spacing w:before="240" w:line="264" w:lineRule="auto"/>
        <w:rPr>
          <w:rFonts w:eastAsia="Calibri" w:cs="TimesNewRomanPSMT"/>
          <w:i/>
          <w:iCs/>
          <w:sz w:val="22"/>
          <w:lang w:val="en-US"/>
        </w:rPr>
      </w:pPr>
      <w:r>
        <w:rPr>
          <w:rFonts w:eastAsia="Calibri" w:cs="TimesNewRomanPSMT"/>
          <w:i/>
          <w:iCs/>
          <w:sz w:val="22"/>
          <w:lang w:val="en-US"/>
        </w:rPr>
        <w:tab/>
      </w:r>
      <w:r w:rsidR="00DD5585" w:rsidRPr="00DA19E5">
        <w:rPr>
          <w:rFonts w:eastAsia="Calibri" w:cs="TimesNewRomanPSMT"/>
          <w:i/>
          <w:iCs/>
          <w:sz w:val="22"/>
          <w:lang w:val="en-US"/>
        </w:rPr>
        <w:t>[No amendments are foreseen in the further text of Section 2.17.2]</w:t>
      </w:r>
    </w:p>
    <w:p w14:paraId="42EEF31E" w14:textId="77777777" w:rsidR="00DD5585" w:rsidRDefault="00DD5585" w:rsidP="00DD5585">
      <w:pPr>
        <w:pStyle w:val="SingleTxtG"/>
      </w:pPr>
      <w:r>
        <w:br w:type="page"/>
      </w:r>
    </w:p>
    <w:p w14:paraId="63F193E6" w14:textId="545B7F10" w:rsidR="00DD5585" w:rsidRPr="00DD32B6" w:rsidRDefault="00DD5585" w:rsidP="00DD5585">
      <w:pPr>
        <w:pStyle w:val="HChG"/>
      </w:pPr>
      <w:r>
        <w:lastRenderedPageBreak/>
        <w:tab/>
      </w:r>
      <w:r w:rsidRPr="00DD32B6">
        <w:t xml:space="preserve">Annex </w:t>
      </w:r>
      <w:r w:rsidR="00BB08ED">
        <w:t>II</w:t>
      </w:r>
    </w:p>
    <w:p w14:paraId="45C3BBC4" w14:textId="552661FA" w:rsidR="00DD5585" w:rsidRDefault="00DD5585" w:rsidP="00DD5585">
      <w:pPr>
        <w:pStyle w:val="HChG"/>
        <w:tabs>
          <w:tab w:val="clear" w:pos="851"/>
        </w:tabs>
        <w:ind w:hanging="567"/>
      </w:pPr>
      <w:r>
        <w:tab/>
        <w:t>Consequential amendments to Chapter 2.17 of the GHS</w:t>
      </w:r>
    </w:p>
    <w:p w14:paraId="0107268C" w14:textId="77777777" w:rsidR="00DD5585" w:rsidRPr="00DA19E5" w:rsidRDefault="00DD5585" w:rsidP="00DD5585">
      <w:pPr>
        <w:pStyle w:val="SingleTxtG"/>
        <w:rPr>
          <w:i/>
          <w:iCs/>
        </w:rPr>
      </w:pPr>
      <w:r w:rsidRPr="00DA19E5">
        <w:rPr>
          <w:i/>
          <w:iCs/>
        </w:rPr>
        <w:t xml:space="preserve">(Additions are shown in </w:t>
      </w:r>
      <w:r w:rsidRPr="00DA19E5">
        <w:rPr>
          <w:b/>
          <w:bCs/>
          <w:i/>
          <w:iCs/>
        </w:rPr>
        <w:t>bold</w:t>
      </w:r>
      <w:r w:rsidRPr="00DA19E5">
        <w:rPr>
          <w:i/>
          <w:iCs/>
        </w:rPr>
        <w:t xml:space="preserve"> and </w:t>
      </w:r>
      <w:r w:rsidRPr="00DA19E5">
        <w:rPr>
          <w:b/>
          <w:bCs/>
          <w:i/>
          <w:iCs/>
          <w:u w:val="single"/>
        </w:rPr>
        <w:t>underlined)</w:t>
      </w:r>
      <w:r w:rsidRPr="00DA19E5">
        <w:rPr>
          <w:i/>
          <w:iCs/>
        </w:rPr>
        <w:t>.</w:t>
      </w:r>
    </w:p>
    <w:p w14:paraId="0A5E8242" w14:textId="3C899381" w:rsidR="00DD5585" w:rsidRPr="00AF3F6E" w:rsidRDefault="00DD5585" w:rsidP="00DA19E5">
      <w:pPr>
        <w:pStyle w:val="SingleTxtG"/>
        <w:tabs>
          <w:tab w:val="left" w:pos="2268"/>
        </w:tabs>
        <w:rPr>
          <w:rStyle w:val="SingleTxtGChar"/>
          <w:bCs/>
        </w:rPr>
      </w:pPr>
      <w:r>
        <w:t>2.17.4.1</w:t>
      </w:r>
      <w:r>
        <w:tab/>
      </w:r>
      <w:r w:rsidRPr="00AF3F6E">
        <w:rPr>
          <w:rStyle w:val="SingleTxtGChar"/>
        </w:rPr>
        <w:tab/>
      </w:r>
      <w:r w:rsidRPr="00AF3F6E">
        <w:rPr>
          <w:rStyle w:val="SingleTxtGChar"/>
          <w:bCs/>
        </w:rPr>
        <w:t>Amend as follows:</w:t>
      </w:r>
    </w:p>
    <w:p w14:paraId="66B7D6B2" w14:textId="77777777" w:rsidR="00DD5585" w:rsidRPr="00177D50" w:rsidRDefault="00DD5585" w:rsidP="00DA19E5">
      <w:pPr>
        <w:keepNext/>
        <w:keepLines/>
        <w:tabs>
          <w:tab w:val="left" w:pos="2268"/>
          <w:tab w:val="left" w:pos="3119"/>
          <w:tab w:val="left" w:pos="3686"/>
        </w:tabs>
        <w:suppressAutoHyphens w:val="0"/>
        <w:spacing w:after="240" w:line="240" w:lineRule="auto"/>
        <w:ind w:left="1134"/>
        <w:jc w:val="both"/>
        <w:rPr>
          <w:b/>
          <w:bCs/>
          <w:i/>
          <w:color w:val="000000"/>
          <w:szCs w:val="22"/>
          <w:lang w:eastAsia="fr-FR"/>
        </w:rPr>
      </w:pPr>
      <w:r>
        <w:rPr>
          <w:b/>
          <w:bCs/>
          <w:color w:val="000000"/>
          <w:szCs w:val="22"/>
          <w:lang w:eastAsia="fr-FR"/>
        </w:rPr>
        <w:t>“</w:t>
      </w:r>
      <w:r w:rsidRPr="00177D50">
        <w:rPr>
          <w:b/>
          <w:bCs/>
          <w:color w:val="000000"/>
          <w:szCs w:val="22"/>
          <w:lang w:eastAsia="fr-FR"/>
        </w:rPr>
        <w:t xml:space="preserve">2.17.4.1 </w:t>
      </w:r>
      <w:r w:rsidRPr="00177D50">
        <w:rPr>
          <w:b/>
          <w:bCs/>
          <w:color w:val="000000"/>
          <w:szCs w:val="22"/>
          <w:lang w:eastAsia="fr-FR"/>
        </w:rPr>
        <w:tab/>
      </w:r>
      <w:r w:rsidRPr="00177D50">
        <w:rPr>
          <w:b/>
          <w:bCs/>
          <w:i/>
          <w:color w:val="000000"/>
          <w:szCs w:val="22"/>
          <w:lang w:eastAsia="fr-FR"/>
        </w:rPr>
        <w:t>Decision logic</w:t>
      </w:r>
    </w:p>
    <w:p w14:paraId="35B46343" w14:textId="77777777" w:rsidR="00DD5585" w:rsidRPr="00177D50" w:rsidRDefault="00DD5585" w:rsidP="00DA19E5">
      <w:pPr>
        <w:tabs>
          <w:tab w:val="left" w:pos="2268"/>
        </w:tabs>
        <w:suppressAutoHyphens w:val="0"/>
        <w:spacing w:after="240" w:line="240" w:lineRule="auto"/>
        <w:ind w:left="1134"/>
        <w:jc w:val="both"/>
      </w:pPr>
      <w:r>
        <w:tab/>
      </w:r>
      <w:r w:rsidRPr="00177D50">
        <w:tab/>
        <w:t xml:space="preserve">To classify desensitized explosives, data for </w:t>
      </w:r>
      <w:r w:rsidRPr="00177D50">
        <w:rPr>
          <w:b/>
          <w:bCs/>
          <w:u w:val="single"/>
        </w:rPr>
        <w:t xml:space="preserve">the </w:t>
      </w:r>
      <w:r w:rsidRPr="008736D2">
        <w:rPr>
          <w:b/>
          <w:bCs/>
          <w:u w:val="single"/>
        </w:rPr>
        <w:t>sensitiveness and stability,</w:t>
      </w:r>
      <w:r>
        <w:t xml:space="preserve"> the </w:t>
      </w:r>
      <w:r w:rsidRPr="00177D50">
        <w:t xml:space="preserve">explosive potential and the corrected burning rate should be determined as described in Part V of the </w:t>
      </w:r>
      <w:r w:rsidRPr="00177D50">
        <w:rPr>
          <w:i/>
        </w:rPr>
        <w:t>Manual of Tests and Criteria</w:t>
      </w:r>
      <w:r w:rsidRPr="00177D50">
        <w:t>. Classification is according to decision logic 2.17.1.</w:t>
      </w:r>
      <w:r>
        <w:t>”.</w:t>
      </w:r>
    </w:p>
    <w:p w14:paraId="6450D568" w14:textId="04EC93FC" w:rsidR="00DD5585" w:rsidRPr="00DA19E5" w:rsidRDefault="00E563AE" w:rsidP="00DA19E5">
      <w:pPr>
        <w:pStyle w:val="SingleTxtG"/>
      </w:pPr>
      <w:r w:rsidRPr="00BD47F2">
        <w:tab/>
      </w:r>
      <w:r w:rsidR="00DD5585" w:rsidRPr="00BD47F2">
        <w:t xml:space="preserve">Amend </w:t>
      </w:r>
      <w:r w:rsidRPr="0041108F">
        <w:t>d</w:t>
      </w:r>
      <w:r w:rsidR="00DD5585" w:rsidRPr="0041108F">
        <w:t>ecision logic 2.17.1 as follows:</w:t>
      </w:r>
    </w:p>
    <w:p w14:paraId="0C17EF58" w14:textId="77777777" w:rsidR="00DD5585" w:rsidRDefault="00DD5585" w:rsidP="00DA19E5">
      <w:pPr>
        <w:pStyle w:val="SingleTxtG"/>
      </w:pPr>
      <w:r>
        <w:t>Add two boxes (one below the other) below the box “</w:t>
      </w:r>
      <w:r w:rsidRPr="00243CFC">
        <w:t>Is the exothermic decomposition energy less than 300 J/g?</w:t>
      </w:r>
      <w:r>
        <w:t>” with the following text:</w:t>
      </w:r>
    </w:p>
    <w:p w14:paraId="0D45C06A" w14:textId="77777777" w:rsidR="00DD5585" w:rsidRDefault="00DD5585" w:rsidP="00DA19E5">
      <w:pPr>
        <w:pStyle w:val="Bullet1G"/>
        <w:numPr>
          <w:ilvl w:val="0"/>
          <w:numId w:val="14"/>
        </w:numPr>
        <w:tabs>
          <w:tab w:val="left" w:pos="1701"/>
        </w:tabs>
        <w:kinsoku/>
        <w:overflowPunct/>
        <w:autoSpaceDE/>
        <w:autoSpaceDN/>
        <w:adjustRightInd/>
        <w:snapToGrid/>
        <w:ind w:hanging="567"/>
      </w:pPr>
      <w:r>
        <w:t>The first box with “</w:t>
      </w:r>
      <w:r w:rsidRPr="00A13CF7">
        <w:rPr>
          <w:b/>
          <w:bCs/>
          <w:u w:val="single"/>
        </w:rPr>
        <w:t>Is it too sensitive or unstable according to test series 3?</w:t>
      </w:r>
      <w:r>
        <w:t>”</w:t>
      </w:r>
    </w:p>
    <w:p w14:paraId="47F353E3" w14:textId="77777777" w:rsidR="00DD5585" w:rsidRDefault="00DD5585" w:rsidP="00DA19E5">
      <w:pPr>
        <w:pStyle w:val="Bullet1G"/>
        <w:numPr>
          <w:ilvl w:val="0"/>
          <w:numId w:val="14"/>
        </w:numPr>
        <w:tabs>
          <w:tab w:val="left" w:pos="1701"/>
        </w:tabs>
        <w:kinsoku/>
        <w:overflowPunct/>
        <w:autoSpaceDE/>
        <w:autoSpaceDN/>
        <w:adjustRightInd/>
        <w:snapToGrid/>
        <w:spacing w:after="240"/>
        <w:ind w:hanging="567"/>
      </w:pPr>
      <w:r>
        <w:t>The second box with “</w:t>
      </w:r>
      <w:r w:rsidRPr="000A4CA5">
        <w:rPr>
          <w:b/>
          <w:bCs/>
          <w:u w:val="single"/>
        </w:rPr>
        <w:t>For nitrocellulose mixtures: Is it unstable according to Appendix 10?</w:t>
      </w:r>
      <w:r>
        <w:t>”</w:t>
      </w:r>
    </w:p>
    <w:p w14:paraId="5CE5F9D7" w14:textId="77777777" w:rsidR="00DD5585" w:rsidRDefault="00DD5585" w:rsidP="00DA19E5">
      <w:pPr>
        <w:tabs>
          <w:tab w:val="left" w:pos="1418"/>
        </w:tabs>
        <w:suppressAutoHyphens w:val="0"/>
        <w:spacing w:after="240" w:line="240" w:lineRule="auto"/>
        <w:ind w:left="1134"/>
        <w:jc w:val="both"/>
      </w:pPr>
      <w:r>
        <w:t>Add an arrow with “</w:t>
      </w:r>
      <w:r w:rsidRPr="00A13CF7">
        <w:rPr>
          <w:b/>
          <w:bCs/>
          <w:u w:val="single"/>
        </w:rPr>
        <w:t>No</w:t>
      </w:r>
      <w:r>
        <w:t>” to the bottom of both boxes.</w:t>
      </w:r>
    </w:p>
    <w:p w14:paraId="7DAE86CB" w14:textId="77777777" w:rsidR="00DD5585" w:rsidRDefault="00DD5585" w:rsidP="00DA19E5">
      <w:pPr>
        <w:tabs>
          <w:tab w:val="left" w:pos="1418"/>
        </w:tabs>
        <w:suppressAutoHyphens w:val="0"/>
        <w:spacing w:after="240" w:line="240" w:lineRule="auto"/>
        <w:ind w:left="1134"/>
        <w:jc w:val="both"/>
      </w:pPr>
      <w:r>
        <w:t>Add an arrow with “</w:t>
      </w:r>
      <w:r w:rsidRPr="00A13CF7">
        <w:rPr>
          <w:b/>
          <w:bCs/>
          <w:u w:val="single"/>
        </w:rPr>
        <w:t>Yes</w:t>
      </w:r>
      <w:r>
        <w:t>” from both boxes to the right. These arrows lead to a shape as the one to the right of the box “A</w:t>
      </w:r>
      <w:r w:rsidRPr="00F6593C">
        <w:rPr>
          <w:vertAlign w:val="subscript"/>
        </w:rPr>
        <w:t>c</w:t>
      </w:r>
      <w:r>
        <w:t> &gt; 1200 kg/min?” with the text “</w:t>
      </w:r>
      <w:r w:rsidRPr="00FF37EA">
        <w:rPr>
          <w:b/>
          <w:bCs/>
          <w:u w:val="single"/>
        </w:rPr>
        <w:t>Hazard class “Explosives” (see criteria in Chapter 2.1)</w:t>
      </w:r>
      <w:r>
        <w:t>”. One box should be used (equivalent to the first shape on the top at the right side of the decision logic).</w:t>
      </w:r>
    </w:p>
    <w:p w14:paraId="2B7603D9" w14:textId="77777777" w:rsidR="00DD5585" w:rsidRDefault="00DD5585" w:rsidP="00DD5585">
      <w:pPr>
        <w:suppressAutoHyphens w:val="0"/>
        <w:spacing w:line="240" w:lineRule="auto"/>
      </w:pPr>
      <w:r>
        <w:br w:type="page"/>
      </w:r>
    </w:p>
    <w:p w14:paraId="697E5719" w14:textId="02F5CF0A" w:rsidR="00DD5585" w:rsidRDefault="00DD5585" w:rsidP="00DD5585">
      <w:pPr>
        <w:pStyle w:val="HChG"/>
        <w:tabs>
          <w:tab w:val="clear" w:pos="851"/>
        </w:tabs>
      </w:pPr>
      <w:r>
        <w:lastRenderedPageBreak/>
        <w:t xml:space="preserve">Annex </w:t>
      </w:r>
      <w:r w:rsidR="00BB08ED">
        <w:t>III</w:t>
      </w:r>
    </w:p>
    <w:p w14:paraId="2EE04DEC" w14:textId="2B1477B8" w:rsidR="00DD5585" w:rsidRDefault="00DD5585" w:rsidP="00DD5585">
      <w:pPr>
        <w:pStyle w:val="HChG"/>
      </w:pPr>
      <w:r>
        <w:tab/>
      </w:r>
      <w:r>
        <w:tab/>
        <w:t xml:space="preserve">Amendments </w:t>
      </w:r>
      <w:r w:rsidR="00523880">
        <w:t xml:space="preserve">to section 51 of </w:t>
      </w:r>
      <w:r>
        <w:t>the Manual of Tests and Criteria</w:t>
      </w:r>
    </w:p>
    <w:p w14:paraId="6E1A2987" w14:textId="2C3A5091" w:rsidR="00DD5585" w:rsidRPr="00DA19E5" w:rsidRDefault="00523880" w:rsidP="00DA19E5">
      <w:pPr>
        <w:pStyle w:val="SingleTxtG"/>
        <w:spacing w:after="240"/>
        <w:ind w:left="567" w:firstLine="567"/>
        <w:rPr>
          <w:i/>
          <w:iCs/>
        </w:rPr>
      </w:pPr>
      <w:r w:rsidRPr="00DA19E5">
        <w:rPr>
          <w:i/>
          <w:iCs/>
        </w:rPr>
        <w:t>(</w:t>
      </w:r>
      <w:r w:rsidR="00DD5585" w:rsidRPr="00DA19E5">
        <w:rPr>
          <w:i/>
          <w:iCs/>
        </w:rPr>
        <w:t xml:space="preserve">Additions are </w:t>
      </w:r>
      <w:r w:rsidR="00297144">
        <w:rPr>
          <w:i/>
          <w:iCs/>
        </w:rPr>
        <w:t xml:space="preserve">shown in </w:t>
      </w:r>
      <w:r w:rsidR="00DD5585" w:rsidRPr="00DA19E5">
        <w:rPr>
          <w:b/>
          <w:bCs/>
          <w:i/>
          <w:iCs/>
          <w:u w:val="single"/>
        </w:rPr>
        <w:t>bold and underlined</w:t>
      </w:r>
      <w:r w:rsidR="00DD5585" w:rsidRPr="00DA19E5">
        <w:rPr>
          <w:i/>
          <w:iCs/>
        </w:rPr>
        <w:t xml:space="preserve">, deletions are </w:t>
      </w:r>
      <w:r w:rsidR="00DD5585" w:rsidRPr="00DA19E5">
        <w:rPr>
          <w:i/>
          <w:iCs/>
          <w:strike/>
        </w:rPr>
        <w:t>struck through</w:t>
      </w:r>
      <w:r w:rsidR="00DD5585" w:rsidRPr="00DA19E5">
        <w:rPr>
          <w:i/>
          <w:iCs/>
        </w:rPr>
        <w:t>.</w:t>
      </w:r>
      <w:r w:rsidRPr="00DA19E5">
        <w:rPr>
          <w:i/>
          <w:iCs/>
        </w:rPr>
        <w:t>)</w:t>
      </w:r>
    </w:p>
    <w:p w14:paraId="7CB8153A" w14:textId="0BA9CBFE" w:rsidR="00DD5585" w:rsidRPr="00DD3540" w:rsidRDefault="00297144" w:rsidP="00DD5585">
      <w:pPr>
        <w:tabs>
          <w:tab w:val="left" w:pos="1134"/>
        </w:tabs>
        <w:suppressAutoHyphens w:val="0"/>
        <w:spacing w:before="240" w:line="264" w:lineRule="auto"/>
        <w:jc w:val="center"/>
        <w:rPr>
          <w:rFonts w:eastAsia="Calibri" w:cs="TimesNewRomanPSMT"/>
          <w:b/>
          <w:bCs/>
          <w:sz w:val="28"/>
          <w:szCs w:val="28"/>
          <w:lang w:val="en-US"/>
        </w:rPr>
      </w:pPr>
      <w:r>
        <w:rPr>
          <w:rFonts w:eastAsia="Calibri" w:cs="TimesNewRomanPSMT"/>
          <w:b/>
          <w:bCs/>
          <w:sz w:val="28"/>
          <w:szCs w:val="28"/>
          <w:lang w:val="en-US"/>
        </w:rPr>
        <w:t>“</w:t>
      </w:r>
      <w:r w:rsidR="00DD5585" w:rsidRPr="00DD3540">
        <w:rPr>
          <w:rFonts w:eastAsia="Calibri" w:cs="TimesNewRomanPSMT"/>
          <w:b/>
          <w:bCs/>
          <w:sz w:val="28"/>
          <w:szCs w:val="28"/>
          <w:lang w:val="en-US"/>
        </w:rPr>
        <w:t>SECTION 51</w:t>
      </w:r>
    </w:p>
    <w:p w14:paraId="3D135592" w14:textId="77777777" w:rsidR="00DD5585" w:rsidRPr="00DD3540" w:rsidRDefault="00DD5585" w:rsidP="00DD5585">
      <w:pPr>
        <w:tabs>
          <w:tab w:val="left" w:pos="1134"/>
        </w:tabs>
        <w:suppressAutoHyphens w:val="0"/>
        <w:spacing w:before="240" w:line="264" w:lineRule="auto"/>
        <w:jc w:val="center"/>
        <w:rPr>
          <w:rFonts w:eastAsia="Calibri" w:cs="TimesNewRomanPSMT"/>
          <w:b/>
          <w:bCs/>
          <w:sz w:val="28"/>
          <w:szCs w:val="28"/>
          <w:lang w:val="en-US"/>
        </w:rPr>
      </w:pPr>
      <w:r w:rsidRPr="00DD3540">
        <w:rPr>
          <w:rFonts w:eastAsia="Calibri" w:cs="TimesNewRomanPSMT"/>
          <w:b/>
          <w:bCs/>
          <w:sz w:val="28"/>
          <w:szCs w:val="28"/>
          <w:lang w:val="en-US"/>
        </w:rPr>
        <w:t>CLASSIFICATION PROCEDURES, TEST METHODS AND CRITERIA RELATING TO THE HAZARD CLASS DESENSITIZED EXPLOSIVES</w:t>
      </w:r>
    </w:p>
    <w:p w14:paraId="29C6937D" w14:textId="77777777" w:rsidR="00DD5585" w:rsidRPr="00082341" w:rsidRDefault="00DD5585" w:rsidP="00DA19E5">
      <w:pPr>
        <w:tabs>
          <w:tab w:val="left" w:pos="1418"/>
        </w:tabs>
        <w:suppressAutoHyphens w:val="0"/>
        <w:spacing w:before="240" w:line="240" w:lineRule="auto"/>
        <w:ind w:left="425"/>
        <w:jc w:val="both"/>
        <w:rPr>
          <w:rFonts w:eastAsiaTheme="minorEastAsia"/>
          <w:b/>
          <w:bCs/>
          <w:sz w:val="22"/>
          <w:szCs w:val="22"/>
          <w:lang w:val="en-US"/>
        </w:rPr>
      </w:pPr>
      <w:r w:rsidRPr="00082341">
        <w:rPr>
          <w:rFonts w:eastAsiaTheme="minorEastAsia"/>
          <w:b/>
          <w:bCs/>
          <w:sz w:val="22"/>
          <w:szCs w:val="22"/>
          <w:lang w:val="en-US"/>
        </w:rPr>
        <w:t>51.1</w:t>
      </w:r>
      <w:r>
        <w:rPr>
          <w:rFonts w:eastAsiaTheme="minorEastAsia"/>
          <w:b/>
          <w:bCs/>
          <w:sz w:val="22"/>
          <w:szCs w:val="22"/>
          <w:lang w:val="en-US"/>
        </w:rPr>
        <w:tab/>
      </w:r>
      <w:r w:rsidRPr="00DD3540">
        <w:rPr>
          <w:rFonts w:eastAsia="Calibri" w:cs="TimesNewRomanPSMT"/>
          <w:b/>
          <w:bCs/>
          <w:sz w:val="22"/>
          <w:lang w:val="en-US"/>
        </w:rPr>
        <w:t>Purpose</w:t>
      </w:r>
    </w:p>
    <w:p w14:paraId="4214E6E5" w14:textId="77777777" w:rsidR="00DD5585" w:rsidRPr="00082341" w:rsidRDefault="00DD5585" w:rsidP="00DA19E5">
      <w:pPr>
        <w:tabs>
          <w:tab w:val="left" w:pos="1418"/>
        </w:tabs>
        <w:suppressAutoHyphens w:val="0"/>
        <w:spacing w:before="240" w:line="240" w:lineRule="auto"/>
        <w:ind w:left="425"/>
        <w:jc w:val="both"/>
        <w:rPr>
          <w:rFonts w:eastAsiaTheme="minorEastAsia"/>
          <w:sz w:val="22"/>
          <w:szCs w:val="22"/>
          <w:lang w:val="en-US"/>
        </w:rPr>
      </w:pPr>
      <w:r w:rsidRPr="00082341">
        <w:rPr>
          <w:rFonts w:eastAsiaTheme="minorEastAsia"/>
          <w:sz w:val="22"/>
          <w:szCs w:val="22"/>
          <w:lang w:val="en-US"/>
        </w:rPr>
        <w:t>51.1.1</w:t>
      </w:r>
      <w:r>
        <w:rPr>
          <w:rFonts w:eastAsiaTheme="minorEastAsia"/>
          <w:sz w:val="22"/>
          <w:szCs w:val="22"/>
          <w:lang w:val="en-US"/>
        </w:rPr>
        <w:tab/>
      </w:r>
      <w:r w:rsidRPr="00082341">
        <w:rPr>
          <w:rFonts w:eastAsiaTheme="minorEastAsia"/>
          <w:sz w:val="22"/>
          <w:szCs w:val="22"/>
          <w:lang w:val="en-US"/>
        </w:rPr>
        <w:t xml:space="preserve">This section </w:t>
      </w:r>
      <w:r w:rsidRPr="00B95CE4">
        <w:rPr>
          <w:rFonts w:eastAsia="Calibri" w:cs="TimesNewRomanPSMT"/>
          <w:sz w:val="22"/>
          <w:lang w:val="en-US"/>
        </w:rPr>
        <w:t>presents</w:t>
      </w:r>
      <w:r w:rsidRPr="00082341">
        <w:rPr>
          <w:rFonts w:eastAsiaTheme="minorEastAsia"/>
          <w:sz w:val="22"/>
          <w:szCs w:val="22"/>
          <w:lang w:val="en-US"/>
        </w:rPr>
        <w:t xml:space="preserve"> the United Nations scheme of the classification of liquid and solid</w:t>
      </w:r>
      <w:r>
        <w:rPr>
          <w:rFonts w:eastAsiaTheme="minorEastAsia"/>
          <w:sz w:val="22"/>
          <w:szCs w:val="22"/>
          <w:lang w:val="en-US"/>
        </w:rPr>
        <w:t xml:space="preserve"> </w:t>
      </w:r>
      <w:r w:rsidRPr="00082341">
        <w:rPr>
          <w:rFonts w:eastAsiaTheme="minorEastAsia"/>
          <w:sz w:val="22"/>
          <w:szCs w:val="22"/>
          <w:lang w:val="en-US"/>
        </w:rPr>
        <w:t xml:space="preserve">desensitized explosives </w:t>
      </w:r>
      <w:r w:rsidRPr="00775EDE">
        <w:rPr>
          <w:rFonts w:eastAsiaTheme="minorEastAsia"/>
          <w:b/>
          <w:bCs/>
          <w:sz w:val="22"/>
          <w:szCs w:val="22"/>
          <w:u w:val="single"/>
          <w:lang w:val="en-US"/>
        </w:rPr>
        <w:t>(</w:t>
      </w:r>
      <w:r w:rsidRPr="00082341">
        <w:rPr>
          <w:rFonts w:eastAsiaTheme="minorEastAsia"/>
          <w:sz w:val="22"/>
          <w:szCs w:val="22"/>
          <w:lang w:val="en-US"/>
        </w:rPr>
        <w:t>see Chapter 2.17 of the Globally Harmonized System of Classification and Labelling</w:t>
      </w:r>
      <w:r>
        <w:rPr>
          <w:rFonts w:eastAsiaTheme="minorEastAsia"/>
          <w:sz w:val="22"/>
          <w:szCs w:val="22"/>
          <w:lang w:val="en-US"/>
        </w:rPr>
        <w:t xml:space="preserve"> </w:t>
      </w:r>
      <w:r w:rsidRPr="00082341">
        <w:rPr>
          <w:rFonts w:eastAsiaTheme="minorEastAsia"/>
          <w:sz w:val="22"/>
          <w:szCs w:val="22"/>
          <w:lang w:val="en-US"/>
        </w:rPr>
        <w:t>of Chemicals (GHS)). The text should be used in conjunction with the classification principles of Chapter 2.17</w:t>
      </w:r>
      <w:r>
        <w:rPr>
          <w:rFonts w:eastAsiaTheme="minorEastAsia"/>
          <w:sz w:val="22"/>
          <w:szCs w:val="22"/>
          <w:lang w:val="en-US"/>
        </w:rPr>
        <w:t xml:space="preserve"> </w:t>
      </w:r>
      <w:r w:rsidRPr="00082341">
        <w:rPr>
          <w:rFonts w:eastAsiaTheme="minorEastAsia"/>
          <w:sz w:val="22"/>
          <w:szCs w:val="22"/>
          <w:lang w:val="en-US"/>
        </w:rPr>
        <w:t xml:space="preserve">of the GHS and the test series given </w:t>
      </w:r>
      <w:r>
        <w:rPr>
          <w:rFonts w:eastAsiaTheme="minorEastAsia"/>
          <w:sz w:val="22"/>
          <w:szCs w:val="22"/>
          <w:lang w:val="en-US"/>
        </w:rPr>
        <w:t xml:space="preserve">in </w:t>
      </w:r>
      <w:r>
        <w:rPr>
          <w:rFonts w:eastAsiaTheme="minorEastAsia"/>
          <w:b/>
          <w:bCs/>
          <w:sz w:val="22"/>
          <w:szCs w:val="22"/>
          <w:u w:val="single"/>
          <w:lang w:val="en-US"/>
        </w:rPr>
        <w:t>s</w:t>
      </w:r>
      <w:r w:rsidRPr="00724C10">
        <w:rPr>
          <w:rFonts w:eastAsiaTheme="minorEastAsia"/>
          <w:b/>
          <w:bCs/>
          <w:sz w:val="22"/>
          <w:szCs w:val="22"/>
          <w:u w:val="single"/>
          <w:lang w:val="en-US"/>
        </w:rPr>
        <w:t xml:space="preserve">ection 13 and </w:t>
      </w:r>
      <w:r w:rsidRPr="00082341">
        <w:rPr>
          <w:rFonts w:eastAsiaTheme="minorEastAsia"/>
          <w:sz w:val="22"/>
          <w:szCs w:val="22"/>
          <w:lang w:val="en-US"/>
        </w:rPr>
        <w:t>sub-sections 16.4 and 16.5 of this Manual.</w:t>
      </w:r>
    </w:p>
    <w:p w14:paraId="36EAB9C8" w14:textId="77777777" w:rsidR="00DD5585" w:rsidRPr="004C3733" w:rsidRDefault="00DD5585" w:rsidP="00DA19E5">
      <w:pPr>
        <w:tabs>
          <w:tab w:val="left" w:pos="1418"/>
        </w:tabs>
        <w:suppressAutoHyphens w:val="0"/>
        <w:spacing w:before="240" w:line="240" w:lineRule="auto"/>
        <w:ind w:left="425"/>
        <w:jc w:val="both"/>
        <w:rPr>
          <w:rFonts w:eastAsiaTheme="minorEastAsia"/>
          <w:i/>
          <w:iCs/>
          <w:sz w:val="22"/>
          <w:szCs w:val="22"/>
          <w:lang w:val="en-US"/>
        </w:rPr>
      </w:pPr>
      <w:r w:rsidRPr="004C3733">
        <w:rPr>
          <w:rFonts w:eastAsiaTheme="minorEastAsia"/>
          <w:i/>
          <w:iCs/>
          <w:sz w:val="22"/>
          <w:szCs w:val="22"/>
          <w:lang w:val="en-US"/>
        </w:rPr>
        <w:tab/>
        <w:t>For testing of liquid desensitized explosives for transport purposes, refer to section 32, sub</w:t>
      </w:r>
      <w:r w:rsidRPr="004C3733">
        <w:rPr>
          <w:rFonts w:eastAsiaTheme="minorEastAsia"/>
          <w:b/>
          <w:bCs/>
          <w:i/>
          <w:iCs/>
          <w:sz w:val="22"/>
          <w:szCs w:val="22"/>
          <w:u w:val="single"/>
          <w:lang w:val="en-US"/>
        </w:rPr>
        <w:t>-</w:t>
      </w:r>
      <w:r w:rsidRPr="004C3733">
        <w:rPr>
          <w:rFonts w:eastAsiaTheme="minorEastAsia"/>
          <w:i/>
          <w:iCs/>
          <w:sz w:val="22"/>
          <w:szCs w:val="22"/>
          <w:lang w:val="en-US"/>
        </w:rPr>
        <w:t>section 32.3.2 of this Manual and to Chapter 2.3, sub-section 2.3.1.4 of the Model Regulations. Testing of solid desensitized explosives for transport purposes is addressed in section 33, sub-section 33.3 of this Manual and in Chapter 2.4, sub-section 2.4.2.4 of the Model Regulations.</w:t>
      </w:r>
    </w:p>
    <w:p w14:paraId="65E5F848" w14:textId="77777777" w:rsidR="00DD5585" w:rsidRPr="00082341" w:rsidRDefault="00DD5585" w:rsidP="00DA19E5">
      <w:pPr>
        <w:tabs>
          <w:tab w:val="left" w:pos="1418"/>
        </w:tabs>
        <w:suppressAutoHyphens w:val="0"/>
        <w:spacing w:before="240" w:line="264" w:lineRule="auto"/>
        <w:ind w:left="426"/>
        <w:jc w:val="both"/>
        <w:rPr>
          <w:rFonts w:eastAsiaTheme="minorEastAsia"/>
          <w:b/>
          <w:bCs/>
          <w:sz w:val="22"/>
          <w:szCs w:val="22"/>
          <w:lang w:val="en-US"/>
        </w:rPr>
      </w:pPr>
      <w:r w:rsidRPr="00082341">
        <w:rPr>
          <w:rFonts w:eastAsiaTheme="minorEastAsia"/>
          <w:b/>
          <w:bCs/>
          <w:sz w:val="22"/>
          <w:szCs w:val="22"/>
          <w:lang w:val="en-US"/>
        </w:rPr>
        <w:t>51.2</w:t>
      </w:r>
      <w:r>
        <w:rPr>
          <w:rFonts w:eastAsiaTheme="minorEastAsia"/>
          <w:b/>
          <w:bCs/>
          <w:sz w:val="22"/>
          <w:szCs w:val="22"/>
          <w:lang w:val="en-US"/>
        </w:rPr>
        <w:tab/>
      </w:r>
      <w:r w:rsidRPr="00DD3540">
        <w:rPr>
          <w:rFonts w:eastAsia="Calibri" w:cs="TimesNewRomanPSMT"/>
          <w:b/>
          <w:bCs/>
          <w:sz w:val="22"/>
          <w:lang w:val="en-US"/>
        </w:rPr>
        <w:t>Scope</w:t>
      </w:r>
    </w:p>
    <w:p w14:paraId="4272DF10" w14:textId="77777777" w:rsidR="00DD5585" w:rsidRPr="00DD3540" w:rsidRDefault="00DD5585" w:rsidP="00DA19E5">
      <w:pPr>
        <w:tabs>
          <w:tab w:val="left" w:pos="1418"/>
        </w:tabs>
        <w:suppressAutoHyphens w:val="0"/>
        <w:spacing w:before="240" w:line="240" w:lineRule="auto"/>
        <w:ind w:left="426"/>
        <w:jc w:val="both"/>
        <w:rPr>
          <w:rFonts w:eastAsia="Calibri" w:cs="TimesNewRomanPSMT"/>
          <w:sz w:val="22"/>
          <w:lang w:val="en-US"/>
        </w:rPr>
      </w:pPr>
      <w:r w:rsidRPr="00DD3540">
        <w:rPr>
          <w:rFonts w:eastAsia="Calibri" w:cs="TimesNewRomanPSMT"/>
          <w:sz w:val="22"/>
          <w:lang w:val="en-US"/>
        </w:rPr>
        <w:t>51.2.1</w:t>
      </w:r>
      <w:r>
        <w:rPr>
          <w:rFonts w:eastAsia="Calibri" w:cs="TimesNewRomanPSMT"/>
          <w:sz w:val="22"/>
          <w:lang w:val="en-US"/>
        </w:rPr>
        <w:tab/>
      </w:r>
      <w:r w:rsidRPr="00DD3540">
        <w:rPr>
          <w:rFonts w:eastAsia="Calibri" w:cs="TimesNewRomanPSMT"/>
          <w:sz w:val="22"/>
          <w:lang w:val="en-US"/>
        </w:rPr>
        <w:t>Desensitized explosives are solid or liquid explosive substances or mixtures which are</w:t>
      </w:r>
      <w:r>
        <w:rPr>
          <w:rFonts w:eastAsia="Calibri" w:cs="TimesNewRomanPSMT"/>
          <w:sz w:val="22"/>
          <w:lang w:val="en-US"/>
        </w:rPr>
        <w:t xml:space="preserve"> </w:t>
      </w:r>
      <w:r w:rsidRPr="00DD3540">
        <w:rPr>
          <w:rFonts w:eastAsia="Calibri" w:cs="TimesNewRomanPSMT"/>
          <w:sz w:val="22"/>
          <w:lang w:val="en-US"/>
        </w:rPr>
        <w:t xml:space="preserve">phlegmatized to suppress their explosive properties </w:t>
      </w:r>
      <w:r w:rsidRPr="00F509FC">
        <w:rPr>
          <w:rFonts w:eastAsia="Calibri" w:cs="TimesNewRomanPSMT"/>
          <w:b/>
          <w:bCs/>
          <w:sz w:val="22"/>
          <w:u w:val="single"/>
          <w:lang w:val="en-US"/>
        </w:rPr>
        <w:t>at least as specified in sub-section 51.2.2</w:t>
      </w:r>
      <w:r w:rsidRPr="002B7DF5">
        <w:rPr>
          <w:rFonts w:eastAsia="Calibri" w:cs="TimesNewRomanPSMT"/>
          <w:b/>
          <w:bCs/>
          <w:sz w:val="22"/>
          <w:u w:val="single"/>
          <w:lang w:val="en-US"/>
        </w:rPr>
        <w:t xml:space="preserve"> so</w:t>
      </w:r>
      <w:r w:rsidRPr="00F509FC">
        <w:rPr>
          <w:rFonts w:eastAsia="Calibri" w:cs="TimesNewRomanPSMT"/>
          <w:sz w:val="22"/>
          <w:lang w:val="en-US"/>
        </w:rPr>
        <w:t xml:space="preserve"> </w:t>
      </w:r>
      <w:r w:rsidRPr="00F509FC">
        <w:rPr>
          <w:rFonts w:eastAsia="Calibri" w:cs="TimesNewRomanPSMT"/>
          <w:strike/>
          <w:sz w:val="22"/>
          <w:lang w:val="en-US"/>
        </w:rPr>
        <w:t xml:space="preserve">in such a manner </w:t>
      </w:r>
      <w:r w:rsidRPr="00DD3540">
        <w:rPr>
          <w:rFonts w:eastAsia="Calibri" w:cs="TimesNewRomanPSMT"/>
          <w:sz w:val="22"/>
          <w:lang w:val="en-US"/>
        </w:rPr>
        <w:t>that they may be excluded from the</w:t>
      </w:r>
      <w:r>
        <w:rPr>
          <w:rFonts w:eastAsia="Calibri" w:cs="TimesNewRomanPSMT"/>
          <w:sz w:val="22"/>
          <w:lang w:val="en-US"/>
        </w:rPr>
        <w:t xml:space="preserve"> </w:t>
      </w:r>
      <w:r w:rsidRPr="00DD3540">
        <w:rPr>
          <w:rFonts w:eastAsia="Calibri" w:cs="TimesNewRomanPSMT"/>
          <w:sz w:val="22"/>
          <w:lang w:val="en-US"/>
        </w:rPr>
        <w:t>hazard class "Explosives" (Chapter 2.1 of GHS). Desensitized explosives</w:t>
      </w:r>
      <w:r w:rsidRPr="00C22C23">
        <w:rPr>
          <w:rFonts w:eastAsia="Calibri" w:cs="TimesNewRomanPSMT"/>
          <w:strike/>
          <w:sz w:val="22"/>
          <w:lang w:val="en-US"/>
        </w:rPr>
        <w:t>,</w:t>
      </w:r>
      <w:r w:rsidRPr="00DD3540">
        <w:rPr>
          <w:rFonts w:eastAsia="Calibri" w:cs="TimesNewRomanPSMT"/>
          <w:sz w:val="22"/>
          <w:lang w:val="en-US"/>
        </w:rPr>
        <w:t xml:space="preserve"> should be first tested according to</w:t>
      </w:r>
      <w:r>
        <w:rPr>
          <w:rFonts w:eastAsia="Calibri" w:cs="TimesNewRomanPSMT"/>
          <w:sz w:val="22"/>
          <w:lang w:val="en-US"/>
        </w:rPr>
        <w:t xml:space="preserve"> </w:t>
      </w:r>
      <w:r w:rsidRPr="00DD3540">
        <w:rPr>
          <w:rFonts w:eastAsia="Calibri" w:cs="TimesNewRomanPSMT"/>
          <w:sz w:val="22"/>
          <w:lang w:val="en-US"/>
        </w:rPr>
        <w:t>the tests series 1 (type 1(a)), 2</w:t>
      </w:r>
      <w:r w:rsidRPr="00C03C6E">
        <w:rPr>
          <w:rFonts w:eastAsia="Calibri" w:cs="TimesNewRomanPSMT"/>
          <w:b/>
          <w:bCs/>
          <w:sz w:val="22"/>
          <w:u w:val="single"/>
          <w:lang w:val="en-US"/>
        </w:rPr>
        <w:t>, 3</w:t>
      </w:r>
      <w:r w:rsidRPr="00DD3540">
        <w:rPr>
          <w:rFonts w:eastAsia="Calibri" w:cs="TimesNewRomanPSMT"/>
          <w:sz w:val="22"/>
          <w:lang w:val="en-US"/>
        </w:rPr>
        <w:t xml:space="preserve"> and 6 (type (a) and (b), respectively) </w:t>
      </w:r>
      <w:r w:rsidRPr="00C22C23">
        <w:rPr>
          <w:rFonts w:eastAsia="Calibri" w:cs="TimesNewRomanPSMT"/>
          <w:b/>
          <w:bCs/>
          <w:sz w:val="22"/>
          <w:u w:val="single"/>
          <w:lang w:val="en-US"/>
        </w:rPr>
        <w:t xml:space="preserve">and nitrocellulose mixtures should be tested according to Appendix 10 </w:t>
      </w:r>
      <w:r w:rsidRPr="00DD3540">
        <w:rPr>
          <w:rFonts w:eastAsia="Calibri" w:cs="TimesNewRomanPSMT"/>
          <w:sz w:val="22"/>
          <w:lang w:val="en-US"/>
        </w:rPr>
        <w:t>of this Manual</w:t>
      </w:r>
      <w:r w:rsidRPr="007B2A1E">
        <w:rPr>
          <w:rStyle w:val="FootnoteReference"/>
          <w:rFonts w:eastAsiaTheme="minorEastAsia"/>
          <w:strike/>
          <w:lang w:val="en-US"/>
        </w:rPr>
        <w:t>1</w:t>
      </w:r>
      <w:r>
        <w:rPr>
          <w:rFonts w:eastAsia="Calibri" w:cs="TimesNewRomanPSMT"/>
          <w:sz w:val="22"/>
          <w:lang w:val="en-US"/>
        </w:rPr>
        <w:t>.</w:t>
      </w:r>
    </w:p>
    <w:p w14:paraId="4BE43AC9" w14:textId="77777777" w:rsidR="00DD5585" w:rsidRPr="00DD3540" w:rsidRDefault="00DD5585" w:rsidP="00DA19E5">
      <w:pPr>
        <w:tabs>
          <w:tab w:val="left" w:pos="1418"/>
        </w:tabs>
        <w:suppressAutoHyphens w:val="0"/>
        <w:spacing w:before="240" w:line="240" w:lineRule="auto"/>
        <w:ind w:left="426"/>
        <w:jc w:val="both"/>
        <w:rPr>
          <w:rFonts w:eastAsia="Calibri" w:cs="TimesNewRomanPSMT"/>
          <w:sz w:val="22"/>
          <w:lang w:val="en-US"/>
        </w:rPr>
      </w:pPr>
      <w:r w:rsidRPr="00DD3540">
        <w:rPr>
          <w:rFonts w:eastAsia="Calibri" w:cs="TimesNewRomanPSMT"/>
          <w:sz w:val="22"/>
          <w:lang w:val="en-US"/>
        </w:rPr>
        <w:t>51.2.2</w:t>
      </w:r>
      <w:r>
        <w:rPr>
          <w:rFonts w:eastAsia="Calibri" w:cs="TimesNewRomanPSMT"/>
          <w:sz w:val="22"/>
          <w:lang w:val="en-US"/>
        </w:rPr>
        <w:tab/>
      </w:r>
      <w:r w:rsidRPr="00DD3540">
        <w:rPr>
          <w:rFonts w:eastAsia="Calibri" w:cs="TimesNewRomanPSMT"/>
          <w:sz w:val="22"/>
          <w:lang w:val="en-US"/>
        </w:rPr>
        <w:t>Any explosive while in a desensitized state shall be considered in this class unless, in that state:</w:t>
      </w:r>
    </w:p>
    <w:p w14:paraId="0DAFFFEC" w14:textId="215142F9" w:rsidR="00DD5585" w:rsidRPr="00DD3540" w:rsidRDefault="00DD5585" w:rsidP="00DA19E5">
      <w:pPr>
        <w:tabs>
          <w:tab w:val="left" w:pos="1701"/>
        </w:tabs>
        <w:suppressAutoHyphens w:val="0"/>
        <w:spacing w:before="240" w:line="240" w:lineRule="auto"/>
        <w:ind w:left="1985" w:hanging="567"/>
        <w:jc w:val="both"/>
        <w:rPr>
          <w:rFonts w:eastAsia="Calibri" w:cs="TimesNewRomanPSMT"/>
          <w:sz w:val="22"/>
          <w:lang w:val="en-US"/>
        </w:rPr>
      </w:pPr>
      <w:r w:rsidRPr="00DD3540">
        <w:rPr>
          <w:rFonts w:eastAsia="Calibri" w:cs="TimesNewRomanPSMT"/>
          <w:sz w:val="22"/>
          <w:lang w:val="en-US"/>
        </w:rPr>
        <w:t>(a)</w:t>
      </w:r>
      <w:r w:rsidR="009815F1">
        <w:rPr>
          <w:rFonts w:eastAsia="Calibri" w:cs="TimesNewRomanPSMT"/>
          <w:sz w:val="22"/>
          <w:lang w:val="en-US"/>
        </w:rPr>
        <w:tab/>
      </w:r>
      <w:r>
        <w:rPr>
          <w:rFonts w:eastAsia="Calibri" w:cs="TimesNewRomanPSMT"/>
          <w:sz w:val="22"/>
          <w:lang w:val="en-US"/>
        </w:rPr>
        <w:tab/>
      </w:r>
      <w:r w:rsidRPr="00DD3540">
        <w:rPr>
          <w:rFonts w:eastAsia="Calibri" w:cs="TimesNewRomanPSMT"/>
          <w:sz w:val="22"/>
          <w:lang w:val="en-US"/>
        </w:rPr>
        <w:t>It is intended to produce a practical explosive or pyrotechnic effect;</w:t>
      </w:r>
    </w:p>
    <w:p w14:paraId="33F9BE7A" w14:textId="458310D1" w:rsidR="00DD5585" w:rsidRPr="00841398" w:rsidRDefault="00DD5585" w:rsidP="00DA19E5">
      <w:pPr>
        <w:tabs>
          <w:tab w:val="left" w:pos="1701"/>
        </w:tabs>
        <w:suppressAutoHyphens w:val="0"/>
        <w:spacing w:before="240" w:line="240" w:lineRule="auto"/>
        <w:ind w:left="1985" w:hanging="567"/>
        <w:jc w:val="both"/>
        <w:rPr>
          <w:rFonts w:eastAsia="Calibri" w:cs="TimesNewRomanPSMT"/>
          <w:b/>
          <w:bCs/>
          <w:sz w:val="22"/>
          <w:u w:val="single"/>
          <w:lang w:val="en-US"/>
        </w:rPr>
      </w:pPr>
      <w:r w:rsidRPr="00841398">
        <w:rPr>
          <w:rFonts w:eastAsia="Calibri" w:cs="TimesNewRomanPSMT"/>
          <w:b/>
          <w:bCs/>
          <w:sz w:val="22"/>
          <w:u w:val="single"/>
          <w:lang w:val="en-US"/>
        </w:rPr>
        <w:t>(b)</w:t>
      </w:r>
      <w:r w:rsidR="009815F1">
        <w:rPr>
          <w:rFonts w:eastAsia="Calibri" w:cs="TimesNewRomanPSMT"/>
          <w:b/>
          <w:bCs/>
          <w:sz w:val="22"/>
          <w:u w:val="single"/>
          <w:lang w:val="en-US"/>
        </w:rPr>
        <w:tab/>
      </w:r>
      <w:r w:rsidRPr="00841398">
        <w:rPr>
          <w:rFonts w:eastAsia="Calibri" w:cs="TimesNewRomanPSMT"/>
          <w:b/>
          <w:bCs/>
          <w:sz w:val="22"/>
          <w:u w:val="single"/>
          <w:lang w:val="en-US"/>
        </w:rPr>
        <w:tab/>
        <w:t>It is too sensitive or unstable according to test series 3, and, for nitrocellulose mixtures, it is not stable according to Appendix 10;</w:t>
      </w:r>
    </w:p>
    <w:p w14:paraId="0F0D1B93" w14:textId="77777777" w:rsidR="00DD5585" w:rsidRPr="00DD3540" w:rsidRDefault="00DD5585" w:rsidP="00DA19E5">
      <w:pPr>
        <w:tabs>
          <w:tab w:val="left" w:pos="1701"/>
        </w:tabs>
        <w:suppressAutoHyphens w:val="0"/>
        <w:spacing w:before="240" w:line="240" w:lineRule="auto"/>
        <w:ind w:left="1985" w:hanging="567"/>
        <w:jc w:val="both"/>
        <w:rPr>
          <w:rFonts w:eastAsia="Calibri" w:cs="TimesNewRomanPSMT"/>
          <w:sz w:val="22"/>
          <w:lang w:val="en-US"/>
        </w:rPr>
      </w:pPr>
      <w:r w:rsidRPr="00DD3540">
        <w:rPr>
          <w:rFonts w:eastAsia="Calibri" w:cs="TimesNewRomanPSMT"/>
          <w:sz w:val="22"/>
          <w:lang w:val="en-US"/>
        </w:rPr>
        <w:t>(</w:t>
      </w:r>
      <w:r w:rsidRPr="00C03C6E">
        <w:rPr>
          <w:rFonts w:eastAsia="Calibri" w:cs="TimesNewRomanPSMT"/>
          <w:b/>
          <w:bCs/>
          <w:sz w:val="22"/>
          <w:u w:val="single"/>
          <w:lang w:val="en-US"/>
        </w:rPr>
        <w:t>c</w:t>
      </w:r>
      <w:r w:rsidRPr="00C03C6E">
        <w:rPr>
          <w:rFonts w:eastAsia="Calibri" w:cs="TimesNewRomanPSMT"/>
          <w:strike/>
          <w:sz w:val="22"/>
          <w:lang w:val="en-US"/>
        </w:rPr>
        <w:t>b</w:t>
      </w:r>
      <w:r w:rsidRPr="00DD3540">
        <w:rPr>
          <w:rFonts w:eastAsia="Calibri" w:cs="TimesNewRomanPSMT"/>
          <w:sz w:val="22"/>
          <w:lang w:val="en-US"/>
        </w:rPr>
        <w:t>)</w:t>
      </w:r>
      <w:r>
        <w:rPr>
          <w:rFonts w:eastAsia="Calibri" w:cs="TimesNewRomanPSMT"/>
          <w:sz w:val="22"/>
          <w:lang w:val="en-US"/>
        </w:rPr>
        <w:tab/>
      </w:r>
      <w:r w:rsidRPr="00DD3540">
        <w:rPr>
          <w:rFonts w:eastAsia="Calibri" w:cs="TimesNewRomanPSMT"/>
          <w:sz w:val="22"/>
          <w:lang w:val="en-US"/>
        </w:rPr>
        <w:t>It has a mass explosion hazard according to Test Series 6(a) or 6(b) or the corrected</w:t>
      </w:r>
      <w:r>
        <w:rPr>
          <w:rFonts w:eastAsia="Calibri" w:cs="TimesNewRomanPSMT"/>
          <w:sz w:val="22"/>
          <w:lang w:val="en-US"/>
        </w:rPr>
        <w:t xml:space="preserve"> </w:t>
      </w:r>
      <w:r w:rsidRPr="00DD3540">
        <w:rPr>
          <w:rFonts w:eastAsia="Calibri" w:cs="TimesNewRomanPSMT"/>
          <w:sz w:val="22"/>
          <w:lang w:val="en-US"/>
        </w:rPr>
        <w:t>burning rate according to the burning rate test 51.4 is more than 1 200 kg/min;</w:t>
      </w:r>
    </w:p>
    <w:p w14:paraId="04E7944C" w14:textId="3714CFD6" w:rsidR="00DD5585" w:rsidRPr="00DD3540" w:rsidRDefault="00DD5585" w:rsidP="00DA19E5">
      <w:pPr>
        <w:tabs>
          <w:tab w:val="left" w:pos="1701"/>
        </w:tabs>
        <w:suppressAutoHyphens w:val="0"/>
        <w:spacing w:before="240" w:line="240" w:lineRule="auto"/>
        <w:ind w:left="1985" w:hanging="567"/>
        <w:jc w:val="both"/>
        <w:rPr>
          <w:rFonts w:eastAsia="Calibri" w:cs="TimesNewRomanPSMT"/>
          <w:sz w:val="22"/>
          <w:lang w:val="en-US"/>
        </w:rPr>
      </w:pPr>
      <w:r w:rsidRPr="00DD3540">
        <w:rPr>
          <w:rFonts w:eastAsia="Calibri" w:cs="TimesNewRomanPSMT"/>
          <w:sz w:val="22"/>
          <w:lang w:val="en-US"/>
        </w:rPr>
        <w:t>(</w:t>
      </w:r>
      <w:r w:rsidRPr="00C03C6E">
        <w:rPr>
          <w:rFonts w:eastAsia="Calibri" w:cs="TimesNewRomanPSMT"/>
          <w:b/>
          <w:bCs/>
          <w:sz w:val="22"/>
          <w:u w:val="single"/>
          <w:lang w:val="en-US"/>
        </w:rPr>
        <w:t>d</w:t>
      </w:r>
      <w:r w:rsidRPr="00C03C6E">
        <w:rPr>
          <w:rFonts w:eastAsia="Calibri" w:cs="TimesNewRomanPSMT"/>
          <w:strike/>
          <w:sz w:val="22"/>
          <w:lang w:val="en-US"/>
        </w:rPr>
        <w:t>c</w:t>
      </w:r>
      <w:r w:rsidRPr="00DD3540">
        <w:rPr>
          <w:rFonts w:eastAsia="Calibri" w:cs="TimesNewRomanPSMT"/>
          <w:sz w:val="22"/>
          <w:lang w:val="en-US"/>
        </w:rPr>
        <w:t>)</w:t>
      </w:r>
      <w:r>
        <w:rPr>
          <w:rFonts w:eastAsia="Calibri" w:cs="TimesNewRomanPSMT"/>
          <w:sz w:val="22"/>
          <w:lang w:val="en-US"/>
        </w:rPr>
        <w:tab/>
      </w:r>
      <w:r w:rsidRPr="00DD3540">
        <w:rPr>
          <w:rFonts w:eastAsia="Calibri" w:cs="TimesNewRomanPSMT"/>
          <w:sz w:val="22"/>
          <w:lang w:val="en-US"/>
        </w:rPr>
        <w:t>The exothermic decomposition energy is less than 300</w:t>
      </w:r>
      <w:r>
        <w:rPr>
          <w:rFonts w:eastAsia="Calibri" w:cs="TimesNewRomanPSMT"/>
          <w:sz w:val="22"/>
          <w:lang w:val="en-US"/>
        </w:rPr>
        <w:t> </w:t>
      </w:r>
      <w:r w:rsidRPr="00DD3540">
        <w:rPr>
          <w:rFonts w:eastAsia="Calibri" w:cs="TimesNewRomanPSMT"/>
          <w:sz w:val="22"/>
          <w:lang w:val="en-US"/>
        </w:rPr>
        <w:t>J/g</w:t>
      </w:r>
      <w:r w:rsidR="00DB2B8E" w:rsidRPr="0007679D">
        <w:rPr>
          <w:rStyle w:val="FootnoteReference"/>
          <w:rFonts w:eastAsia="Calibri" w:cs="TimesNewRomanPSMT"/>
          <w:b/>
          <w:bCs/>
          <w:u w:val="single"/>
          <w:lang w:val="en-US"/>
        </w:rPr>
        <w:footnoteReference w:id="4"/>
      </w:r>
      <w:r w:rsidR="00175EAF">
        <w:rPr>
          <w:rFonts w:eastAsia="Calibri" w:cs="TimesNewRomanPSMT"/>
          <w:sz w:val="22"/>
          <w:lang w:val="en-US"/>
        </w:rPr>
        <w:t xml:space="preserve"> </w:t>
      </w:r>
      <w:r w:rsidRPr="00DA19E5">
        <w:rPr>
          <w:rStyle w:val="FootnoteReference"/>
          <w:rFonts w:eastAsiaTheme="minorEastAsia"/>
          <w:b/>
          <w:bCs/>
          <w:strike/>
          <w:lang w:val="en-US"/>
        </w:rPr>
        <w:t>2</w:t>
      </w:r>
      <w:r w:rsidRPr="00DD3540">
        <w:rPr>
          <w:rFonts w:eastAsia="Calibri" w:cs="TimesNewRomanPSMT"/>
          <w:sz w:val="22"/>
          <w:lang w:val="en-US"/>
        </w:rPr>
        <w:t>.</w:t>
      </w:r>
    </w:p>
    <w:p w14:paraId="27CA56AE" w14:textId="77777777" w:rsidR="00DD5585" w:rsidRPr="00082341" w:rsidRDefault="00DD5585" w:rsidP="00DA19E5">
      <w:pPr>
        <w:keepNext/>
        <w:tabs>
          <w:tab w:val="left" w:pos="1418"/>
        </w:tabs>
        <w:suppressAutoHyphens w:val="0"/>
        <w:spacing w:before="240" w:line="240" w:lineRule="auto"/>
        <w:ind w:left="1418" w:hanging="992"/>
        <w:rPr>
          <w:rFonts w:eastAsiaTheme="minorEastAsia"/>
          <w:b/>
          <w:bCs/>
          <w:sz w:val="22"/>
          <w:szCs w:val="22"/>
          <w:lang w:val="en-US"/>
        </w:rPr>
      </w:pPr>
      <w:r w:rsidRPr="00082341">
        <w:rPr>
          <w:rFonts w:eastAsiaTheme="minorEastAsia"/>
          <w:b/>
          <w:bCs/>
          <w:sz w:val="22"/>
          <w:szCs w:val="22"/>
          <w:lang w:val="en-US"/>
        </w:rPr>
        <w:lastRenderedPageBreak/>
        <w:t>51.3</w:t>
      </w:r>
      <w:r>
        <w:rPr>
          <w:rFonts w:eastAsiaTheme="minorEastAsia"/>
          <w:b/>
          <w:bCs/>
          <w:sz w:val="22"/>
          <w:szCs w:val="22"/>
          <w:lang w:val="en-US"/>
        </w:rPr>
        <w:tab/>
      </w:r>
      <w:r w:rsidRPr="00DD3540">
        <w:rPr>
          <w:rFonts w:eastAsia="Calibri" w:cs="TimesNewRomanPSMT"/>
          <w:b/>
          <w:bCs/>
          <w:sz w:val="22"/>
          <w:lang w:val="en-US"/>
        </w:rPr>
        <w:t>Classification</w:t>
      </w:r>
      <w:r w:rsidRPr="00082341">
        <w:rPr>
          <w:rFonts w:eastAsiaTheme="minorEastAsia"/>
          <w:b/>
          <w:bCs/>
          <w:sz w:val="22"/>
          <w:szCs w:val="22"/>
          <w:lang w:val="en-US"/>
        </w:rPr>
        <w:t xml:space="preserve"> procedure</w:t>
      </w:r>
    </w:p>
    <w:p w14:paraId="186C2A4E" w14:textId="77777777" w:rsidR="00DD5585" w:rsidRPr="00DD3540" w:rsidRDefault="00DD5585" w:rsidP="00DA19E5">
      <w:pPr>
        <w:tabs>
          <w:tab w:val="left" w:pos="1418"/>
        </w:tabs>
        <w:suppressAutoHyphens w:val="0"/>
        <w:spacing w:before="240" w:line="240" w:lineRule="auto"/>
        <w:ind w:left="426"/>
        <w:jc w:val="both"/>
        <w:rPr>
          <w:rFonts w:eastAsia="Calibri" w:cs="TimesNewRomanPSMT"/>
          <w:sz w:val="22"/>
          <w:lang w:val="en-US"/>
        </w:rPr>
      </w:pPr>
      <w:r w:rsidRPr="00DD3540">
        <w:rPr>
          <w:rFonts w:eastAsia="Calibri" w:cs="TimesNewRomanPSMT"/>
          <w:sz w:val="22"/>
          <w:lang w:val="en-US"/>
        </w:rPr>
        <w:t>51.3.1</w:t>
      </w:r>
      <w:r>
        <w:rPr>
          <w:rFonts w:eastAsia="Calibri" w:cs="TimesNewRomanPSMT"/>
          <w:sz w:val="22"/>
          <w:lang w:val="en-US"/>
        </w:rPr>
        <w:tab/>
      </w:r>
      <w:r w:rsidRPr="00B96643">
        <w:rPr>
          <w:rFonts w:eastAsia="Calibri" w:cs="TimesNewRomanPSMT"/>
          <w:b/>
          <w:bCs/>
          <w:sz w:val="22"/>
          <w:u w:val="single"/>
          <w:lang w:val="en-US"/>
        </w:rPr>
        <w:t>Test series 3 is carried out with the unpackaged substance/mixture.</w:t>
      </w:r>
      <w:r>
        <w:rPr>
          <w:rFonts w:eastAsia="Calibri" w:cs="TimesNewRomanPSMT"/>
          <w:sz w:val="22"/>
          <w:lang w:val="en-US"/>
        </w:rPr>
        <w:t xml:space="preserve"> </w:t>
      </w:r>
      <w:r w:rsidRPr="00DD3540">
        <w:rPr>
          <w:rFonts w:eastAsia="Calibri" w:cs="TimesNewRomanPSMT"/>
          <w:sz w:val="22"/>
          <w:lang w:val="en-US"/>
        </w:rPr>
        <w:t>Before packaged substances or mixtures are subjected to the burning rate test, the test series 6</w:t>
      </w:r>
      <w:r>
        <w:rPr>
          <w:rFonts w:eastAsia="Calibri" w:cs="TimesNewRomanPSMT"/>
          <w:sz w:val="22"/>
          <w:lang w:val="en-US"/>
        </w:rPr>
        <w:t xml:space="preserve"> </w:t>
      </w:r>
      <w:r w:rsidRPr="00DD3540">
        <w:rPr>
          <w:rFonts w:eastAsia="Calibri" w:cs="TimesNewRomanPSMT"/>
          <w:sz w:val="22"/>
          <w:lang w:val="en-US"/>
        </w:rPr>
        <w:t>types 6</w:t>
      </w:r>
      <w:r>
        <w:rPr>
          <w:rFonts w:eastAsia="Calibri" w:cs="TimesNewRomanPSMT"/>
          <w:sz w:val="22"/>
          <w:lang w:val="en-US"/>
        </w:rPr>
        <w:t> </w:t>
      </w:r>
      <w:r w:rsidRPr="00DD3540">
        <w:rPr>
          <w:rFonts w:eastAsia="Calibri" w:cs="TimesNewRomanPSMT"/>
          <w:sz w:val="22"/>
          <w:lang w:val="en-US"/>
        </w:rPr>
        <w:t>(a) and 6</w:t>
      </w:r>
      <w:r>
        <w:rPr>
          <w:rFonts w:eastAsia="Calibri" w:cs="TimesNewRomanPSMT"/>
          <w:sz w:val="22"/>
          <w:lang w:val="en-US"/>
        </w:rPr>
        <w:t> </w:t>
      </w:r>
      <w:r w:rsidRPr="00DD3540">
        <w:rPr>
          <w:rFonts w:eastAsia="Calibri" w:cs="TimesNewRomanPSMT"/>
          <w:sz w:val="22"/>
          <w:lang w:val="en-US"/>
        </w:rPr>
        <w:t>(b) shall be performed in alphabetical order. The substances or mixtures should be tested first</w:t>
      </w:r>
      <w:r>
        <w:rPr>
          <w:rFonts w:eastAsia="Calibri" w:cs="TimesNewRomanPSMT"/>
          <w:sz w:val="22"/>
          <w:lang w:val="en-US"/>
        </w:rPr>
        <w:t xml:space="preserve"> </w:t>
      </w:r>
      <w:r w:rsidRPr="00DD3540">
        <w:rPr>
          <w:rFonts w:eastAsia="Calibri" w:cs="TimesNewRomanPSMT"/>
          <w:sz w:val="22"/>
          <w:lang w:val="en-US"/>
        </w:rPr>
        <w:t>with a standard detonator (Appendix 1 of the Manual) and, if no explosion occurs, with an igniter just sufficient</w:t>
      </w:r>
      <w:r>
        <w:rPr>
          <w:rFonts w:eastAsia="Calibri" w:cs="TimesNewRomanPSMT"/>
          <w:sz w:val="22"/>
          <w:lang w:val="en-US"/>
        </w:rPr>
        <w:t xml:space="preserve"> </w:t>
      </w:r>
      <w:r w:rsidRPr="00DD3540">
        <w:rPr>
          <w:rFonts w:eastAsia="Calibri" w:cs="TimesNewRomanPSMT"/>
          <w:sz w:val="22"/>
          <w:lang w:val="en-US"/>
        </w:rPr>
        <w:t>(but not more than 30</w:t>
      </w:r>
      <w:r>
        <w:rPr>
          <w:rFonts w:eastAsia="Calibri" w:cs="TimesNewRomanPSMT"/>
          <w:sz w:val="22"/>
          <w:lang w:val="en-US"/>
        </w:rPr>
        <w:t> </w:t>
      </w:r>
      <w:r w:rsidRPr="00DD3540">
        <w:rPr>
          <w:rFonts w:eastAsia="Calibri" w:cs="TimesNewRomanPSMT"/>
          <w:sz w:val="22"/>
          <w:lang w:val="en-US"/>
        </w:rPr>
        <w:t>g of black powder) to ensure ignition of the substance or mixture in the packaging. The</w:t>
      </w:r>
      <w:r>
        <w:rPr>
          <w:rFonts w:eastAsia="Calibri" w:cs="TimesNewRomanPSMT"/>
          <w:sz w:val="22"/>
          <w:lang w:val="en-US"/>
        </w:rPr>
        <w:t xml:space="preserve"> </w:t>
      </w:r>
      <w:r w:rsidRPr="00DD3540">
        <w:rPr>
          <w:rFonts w:eastAsia="Calibri" w:cs="TimesNewRomanPSMT"/>
          <w:sz w:val="22"/>
          <w:lang w:val="en-US"/>
        </w:rPr>
        <w:t>initiation system giving a positive result in the 6 (a) test should be used for the 6 (b) test.</w:t>
      </w:r>
    </w:p>
    <w:p w14:paraId="089FA4B1" w14:textId="60CE50D7" w:rsidR="00DD5585" w:rsidRPr="00082341" w:rsidRDefault="00DD5585" w:rsidP="00DA19E5">
      <w:pPr>
        <w:tabs>
          <w:tab w:val="left" w:pos="1418"/>
        </w:tabs>
        <w:suppressAutoHyphens w:val="0"/>
        <w:spacing w:before="240" w:line="240" w:lineRule="auto"/>
        <w:ind w:left="426"/>
        <w:jc w:val="both"/>
        <w:rPr>
          <w:rFonts w:eastAsiaTheme="minorEastAsia"/>
          <w:sz w:val="22"/>
          <w:szCs w:val="22"/>
          <w:lang w:val="en-US"/>
        </w:rPr>
      </w:pPr>
      <w:r w:rsidRPr="00082341">
        <w:rPr>
          <w:rFonts w:eastAsiaTheme="minorEastAsia"/>
          <w:sz w:val="22"/>
          <w:szCs w:val="22"/>
          <w:lang w:val="en-US"/>
        </w:rPr>
        <w:t>51.3.2</w:t>
      </w:r>
      <w:r>
        <w:rPr>
          <w:rFonts w:eastAsiaTheme="minorEastAsia"/>
          <w:sz w:val="22"/>
          <w:szCs w:val="22"/>
          <w:lang w:val="en-US"/>
        </w:rPr>
        <w:tab/>
      </w:r>
      <w:r w:rsidRPr="00082341">
        <w:rPr>
          <w:rFonts w:eastAsiaTheme="minorEastAsia"/>
          <w:sz w:val="22"/>
          <w:szCs w:val="22"/>
          <w:lang w:val="en-US"/>
        </w:rPr>
        <w:t xml:space="preserve">However, it is not always necessary to conduct tests of all types. </w:t>
      </w:r>
      <w:r w:rsidRPr="009B7B9F">
        <w:rPr>
          <w:rFonts w:eastAsia="Calibri" w:cs="TimesNewRomanPSMT"/>
          <w:b/>
          <w:bCs/>
          <w:sz w:val="22"/>
          <w:u w:val="single"/>
          <w:lang w:val="en-US"/>
        </w:rPr>
        <w:t>Test series 3 may be waived if the explosive itself (i.e. before desensitized) is not too sensitive or unstable according to test series</w:t>
      </w:r>
      <w:r w:rsidR="001D4366">
        <w:rPr>
          <w:rFonts w:eastAsia="Calibri" w:cs="TimesNewRomanPSMT"/>
          <w:b/>
          <w:bCs/>
          <w:sz w:val="22"/>
          <w:u w:val="single"/>
          <w:lang w:val="en-US"/>
        </w:rPr>
        <w:t> </w:t>
      </w:r>
      <w:r w:rsidRPr="009B7B9F">
        <w:rPr>
          <w:rFonts w:eastAsia="Calibri" w:cs="TimesNewRomanPSMT"/>
          <w:b/>
          <w:bCs/>
          <w:sz w:val="22"/>
          <w:u w:val="single"/>
          <w:lang w:val="en-US"/>
        </w:rPr>
        <w:t>3.</w:t>
      </w:r>
      <w:r>
        <w:rPr>
          <w:rFonts w:eastAsia="Calibri" w:cs="TimesNewRomanPSMT"/>
          <w:b/>
          <w:bCs/>
          <w:sz w:val="22"/>
          <w:u w:val="single"/>
          <w:lang w:val="en-US"/>
        </w:rPr>
        <w:t xml:space="preserve"> Test series 3 type (c) test may be waived for nitrocellulose mixtures for which stability is established according to Appendix 10.</w:t>
      </w:r>
      <w:r>
        <w:rPr>
          <w:rFonts w:eastAsia="Calibri" w:cs="TimesNewRomanPSMT"/>
          <w:sz w:val="22"/>
          <w:lang w:val="en-US"/>
        </w:rPr>
        <w:t xml:space="preserve"> </w:t>
      </w:r>
      <w:r w:rsidRPr="00082341">
        <w:rPr>
          <w:rFonts w:eastAsiaTheme="minorEastAsia"/>
          <w:sz w:val="22"/>
          <w:szCs w:val="22"/>
          <w:lang w:val="en-US"/>
        </w:rPr>
        <w:t>Test type 6 (b) may be waived</w:t>
      </w:r>
      <w:r>
        <w:rPr>
          <w:rFonts w:eastAsiaTheme="minorEastAsia"/>
          <w:sz w:val="22"/>
          <w:szCs w:val="22"/>
          <w:lang w:val="en-US"/>
        </w:rPr>
        <w:t xml:space="preserve"> </w:t>
      </w:r>
      <w:r w:rsidRPr="00082341">
        <w:rPr>
          <w:rFonts w:eastAsiaTheme="minorEastAsia"/>
          <w:sz w:val="22"/>
          <w:szCs w:val="22"/>
          <w:lang w:val="en-US"/>
        </w:rPr>
        <w:t>if in each type 6 (a) test:</w:t>
      </w:r>
    </w:p>
    <w:p w14:paraId="6F7DD02C" w14:textId="77777777" w:rsidR="00DD5585" w:rsidRPr="00724C10" w:rsidRDefault="00DD5585" w:rsidP="00DA19E5">
      <w:pPr>
        <w:suppressAutoHyphens w:val="0"/>
        <w:spacing w:before="240" w:line="240" w:lineRule="auto"/>
        <w:ind w:left="1985" w:hanging="567"/>
        <w:rPr>
          <w:rFonts w:eastAsia="Calibri" w:cs="TimesNewRomanPSMT"/>
          <w:sz w:val="22"/>
          <w:lang w:val="en-US"/>
        </w:rPr>
      </w:pPr>
      <w:r w:rsidRPr="00724C10">
        <w:rPr>
          <w:rFonts w:eastAsia="Calibri" w:cs="TimesNewRomanPSMT"/>
          <w:sz w:val="22"/>
          <w:lang w:val="en-US"/>
        </w:rPr>
        <w:t>(a)</w:t>
      </w:r>
      <w:r>
        <w:rPr>
          <w:rFonts w:eastAsia="Calibri" w:cs="TimesNewRomanPSMT"/>
          <w:sz w:val="22"/>
          <w:lang w:val="en-US"/>
        </w:rPr>
        <w:tab/>
      </w:r>
      <w:r w:rsidRPr="00724C10">
        <w:rPr>
          <w:rFonts w:eastAsia="Calibri" w:cs="TimesNewRomanPSMT"/>
          <w:sz w:val="22"/>
          <w:lang w:val="en-US"/>
        </w:rPr>
        <w:t>The exterior of the package is undamaged by internal detonation and/or ignition; or</w:t>
      </w:r>
    </w:p>
    <w:p w14:paraId="48A818D4" w14:textId="77777777" w:rsidR="00DD5585" w:rsidRPr="00724C10" w:rsidRDefault="00DD5585" w:rsidP="00DA19E5">
      <w:pPr>
        <w:suppressAutoHyphens w:val="0"/>
        <w:spacing w:before="240" w:line="240" w:lineRule="auto"/>
        <w:ind w:left="1985" w:hanging="567"/>
        <w:rPr>
          <w:rFonts w:eastAsia="Calibri" w:cs="TimesNewRomanPSMT"/>
          <w:sz w:val="22"/>
          <w:lang w:val="en-US"/>
        </w:rPr>
      </w:pPr>
      <w:r w:rsidRPr="00724C10">
        <w:rPr>
          <w:rFonts w:eastAsia="Calibri" w:cs="TimesNewRomanPSMT"/>
          <w:sz w:val="22"/>
          <w:lang w:val="en-US"/>
        </w:rPr>
        <w:t>(b)</w:t>
      </w:r>
      <w:r>
        <w:rPr>
          <w:rFonts w:eastAsia="Calibri" w:cs="TimesNewRomanPSMT"/>
          <w:sz w:val="22"/>
          <w:lang w:val="en-US"/>
        </w:rPr>
        <w:tab/>
      </w:r>
      <w:r w:rsidRPr="00724C10">
        <w:rPr>
          <w:rFonts w:eastAsia="Calibri" w:cs="TimesNewRomanPSMT"/>
          <w:sz w:val="22"/>
          <w:lang w:val="en-US"/>
        </w:rPr>
        <w:t>The contents of the package fail to explode, or explode so feebly as would exclude</w:t>
      </w:r>
      <w:r>
        <w:rPr>
          <w:rFonts w:eastAsia="Calibri" w:cs="TimesNewRomanPSMT"/>
          <w:sz w:val="22"/>
          <w:lang w:val="en-US"/>
        </w:rPr>
        <w:t xml:space="preserve"> </w:t>
      </w:r>
      <w:r w:rsidRPr="00724C10">
        <w:rPr>
          <w:rFonts w:eastAsia="Calibri" w:cs="TimesNewRomanPSMT"/>
          <w:sz w:val="22"/>
          <w:lang w:val="en-US"/>
        </w:rPr>
        <w:t>propagation of the explosive effect from one package to another in test type 6(b).</w:t>
      </w:r>
    </w:p>
    <w:p w14:paraId="73CD45C5" w14:textId="77777777" w:rsidR="00DD5585" w:rsidRPr="00082341" w:rsidRDefault="00DD5585" w:rsidP="00DA19E5">
      <w:pPr>
        <w:tabs>
          <w:tab w:val="left" w:pos="1418"/>
        </w:tabs>
        <w:suppressAutoHyphens w:val="0"/>
        <w:spacing w:before="240" w:line="240" w:lineRule="auto"/>
        <w:ind w:left="426"/>
        <w:rPr>
          <w:rFonts w:eastAsiaTheme="minorEastAsia"/>
          <w:sz w:val="22"/>
          <w:szCs w:val="22"/>
          <w:lang w:val="en-US"/>
        </w:rPr>
      </w:pPr>
      <w:r w:rsidRPr="00082341">
        <w:rPr>
          <w:rFonts w:eastAsiaTheme="minorEastAsia"/>
          <w:sz w:val="22"/>
          <w:szCs w:val="22"/>
          <w:lang w:val="en-US"/>
        </w:rPr>
        <w:t>51.3.3</w:t>
      </w:r>
      <w:r>
        <w:rPr>
          <w:rFonts w:eastAsiaTheme="minorEastAsia"/>
          <w:sz w:val="22"/>
          <w:szCs w:val="22"/>
          <w:lang w:val="en-US"/>
        </w:rPr>
        <w:tab/>
      </w:r>
      <w:r w:rsidRPr="00082341">
        <w:rPr>
          <w:rFonts w:eastAsiaTheme="minorEastAsia"/>
          <w:sz w:val="22"/>
          <w:szCs w:val="22"/>
          <w:lang w:val="en-US"/>
        </w:rPr>
        <w:t>If a substance or mixture gives a negative result (no propagation of detonation) in the Series 1</w:t>
      </w:r>
      <w:r>
        <w:rPr>
          <w:rFonts w:eastAsiaTheme="minorEastAsia"/>
          <w:sz w:val="22"/>
          <w:szCs w:val="22"/>
          <w:lang w:val="en-US"/>
        </w:rPr>
        <w:t xml:space="preserve"> </w:t>
      </w:r>
      <w:r w:rsidRPr="00082341">
        <w:rPr>
          <w:rFonts w:eastAsiaTheme="minorEastAsia"/>
          <w:sz w:val="22"/>
          <w:szCs w:val="22"/>
          <w:lang w:val="en-US"/>
        </w:rPr>
        <w:t>type 1(a) test, the 6(a) test with a detonator may be waived</w:t>
      </w:r>
      <w:r w:rsidRPr="00B96643">
        <w:rPr>
          <w:rStyle w:val="FootnoteReference"/>
          <w:rFonts w:eastAsiaTheme="minorEastAsia"/>
        </w:rPr>
        <w:t>3</w:t>
      </w:r>
      <w:r w:rsidRPr="00082341">
        <w:rPr>
          <w:rFonts w:eastAsiaTheme="minorEastAsia"/>
          <w:sz w:val="22"/>
          <w:szCs w:val="22"/>
          <w:lang w:val="en-US"/>
        </w:rPr>
        <w:t>). If a substance or mixture gives a negative result</w:t>
      </w:r>
      <w:r>
        <w:rPr>
          <w:rFonts w:eastAsiaTheme="minorEastAsia"/>
          <w:sz w:val="22"/>
          <w:szCs w:val="22"/>
          <w:lang w:val="en-US"/>
        </w:rPr>
        <w:t xml:space="preserve"> </w:t>
      </w:r>
      <w:r w:rsidRPr="00082341">
        <w:rPr>
          <w:rFonts w:eastAsiaTheme="minorEastAsia"/>
          <w:sz w:val="22"/>
          <w:szCs w:val="22"/>
          <w:lang w:val="en-US"/>
        </w:rPr>
        <w:t>(no or slow deflagration) in a Series 2 type 2(c) test, the 6 (a) test with an igniter may be waived.</w:t>
      </w:r>
    </w:p>
    <w:p w14:paraId="24FA7EB8" w14:textId="7A281B70" w:rsidR="00DD5585" w:rsidRDefault="00DD5585" w:rsidP="00DA19E5">
      <w:pPr>
        <w:tabs>
          <w:tab w:val="left" w:pos="1418"/>
        </w:tabs>
        <w:suppressAutoHyphens w:val="0"/>
        <w:spacing w:before="240" w:line="240" w:lineRule="auto"/>
        <w:ind w:left="426"/>
        <w:rPr>
          <w:rFonts w:eastAsiaTheme="minorEastAsia"/>
          <w:sz w:val="22"/>
          <w:szCs w:val="22"/>
          <w:lang w:val="en-US"/>
        </w:rPr>
      </w:pPr>
      <w:r w:rsidRPr="00082341">
        <w:rPr>
          <w:rFonts w:eastAsiaTheme="minorEastAsia"/>
          <w:sz w:val="22"/>
          <w:szCs w:val="22"/>
          <w:lang w:val="en-US"/>
        </w:rPr>
        <w:t>51.3.4</w:t>
      </w:r>
      <w:r>
        <w:rPr>
          <w:rFonts w:eastAsiaTheme="minorEastAsia"/>
          <w:sz w:val="22"/>
          <w:szCs w:val="22"/>
          <w:lang w:val="en-US"/>
        </w:rPr>
        <w:tab/>
      </w:r>
      <w:r w:rsidRPr="00082341">
        <w:rPr>
          <w:rFonts w:eastAsiaTheme="minorEastAsia"/>
          <w:sz w:val="22"/>
          <w:szCs w:val="22"/>
          <w:lang w:val="en-US"/>
        </w:rPr>
        <w:t>The test for determination of the burning rate by large-scale test need not be performed if, in</w:t>
      </w:r>
      <w:r>
        <w:rPr>
          <w:rFonts w:eastAsiaTheme="minorEastAsia"/>
          <w:sz w:val="22"/>
          <w:szCs w:val="22"/>
          <w:lang w:val="en-US"/>
        </w:rPr>
        <w:t xml:space="preserve"> </w:t>
      </w:r>
      <w:r w:rsidRPr="00082341">
        <w:rPr>
          <w:rFonts w:eastAsiaTheme="minorEastAsia"/>
          <w:sz w:val="22"/>
          <w:szCs w:val="22"/>
          <w:lang w:val="en-US"/>
        </w:rPr>
        <w:t xml:space="preserve">a test type 6 (b), there is practically instantaneous explosion of virtually the total contents of the stack. </w:t>
      </w:r>
      <w:r w:rsidRPr="00724C10">
        <w:rPr>
          <w:rFonts w:eastAsiaTheme="minorEastAsia"/>
          <w:sz w:val="22"/>
          <w:szCs w:val="22"/>
          <w:lang w:val="en-US"/>
        </w:rPr>
        <w:t>In such</w:t>
      </w:r>
      <w:r>
        <w:rPr>
          <w:rFonts w:eastAsiaTheme="minorEastAsia"/>
          <w:sz w:val="22"/>
          <w:szCs w:val="22"/>
          <w:lang w:val="en-US"/>
        </w:rPr>
        <w:t xml:space="preserve"> </w:t>
      </w:r>
      <w:r w:rsidRPr="00724C10">
        <w:rPr>
          <w:rFonts w:eastAsiaTheme="minorEastAsia"/>
          <w:sz w:val="22"/>
          <w:szCs w:val="22"/>
          <w:lang w:val="en-US"/>
        </w:rPr>
        <w:t>cases the product is assigned to Division 1.1.</w:t>
      </w:r>
      <w:r w:rsidR="00F966E1">
        <w:rPr>
          <w:rFonts w:eastAsiaTheme="minorEastAsia"/>
          <w:sz w:val="22"/>
          <w:szCs w:val="22"/>
          <w:lang w:val="en-US"/>
        </w:rPr>
        <w:t>”.</w:t>
      </w:r>
    </w:p>
    <w:p w14:paraId="31566AD7" w14:textId="0DB05AF0" w:rsidR="00EC43FD" w:rsidRDefault="009815F1" w:rsidP="00DA19E5">
      <w:pPr>
        <w:tabs>
          <w:tab w:val="left" w:pos="567"/>
          <w:tab w:val="left" w:pos="1134"/>
        </w:tabs>
        <w:suppressAutoHyphens w:val="0"/>
        <w:spacing w:before="240" w:line="240" w:lineRule="auto"/>
        <w:rPr>
          <w:rStyle w:val="SingleTxtGCar"/>
          <w:u w:val="single"/>
        </w:rPr>
      </w:pPr>
      <w:r>
        <w:rPr>
          <w:rFonts w:eastAsia="Calibri" w:cs="TimesNewRomanPSMT"/>
          <w:i/>
          <w:iCs/>
          <w:sz w:val="22"/>
          <w:lang w:val="en-US"/>
        </w:rPr>
        <w:tab/>
      </w:r>
      <w:r w:rsidR="001456D2">
        <w:rPr>
          <w:rFonts w:eastAsia="Calibri" w:cs="TimesNewRomanPSMT"/>
          <w:i/>
          <w:iCs/>
          <w:sz w:val="22"/>
          <w:lang w:val="en-US"/>
        </w:rPr>
        <w:t>(</w:t>
      </w:r>
      <w:r w:rsidR="00DD5585" w:rsidRPr="00DA19E5">
        <w:rPr>
          <w:rFonts w:eastAsia="Calibri" w:cs="TimesNewRomanPSMT"/>
          <w:i/>
          <w:iCs/>
          <w:sz w:val="22"/>
          <w:lang w:val="en-US"/>
        </w:rPr>
        <w:t>No amendments are foreseen in the further text of Section 51</w:t>
      </w:r>
      <w:r w:rsidR="001456D2">
        <w:rPr>
          <w:rFonts w:eastAsia="Calibri" w:cs="TimesNewRomanPSMT"/>
          <w:i/>
          <w:iCs/>
          <w:sz w:val="22"/>
          <w:lang w:val="en-US"/>
        </w:rPr>
        <w:t>)</w:t>
      </w:r>
    </w:p>
    <w:p w14:paraId="61F4CAD7" w14:textId="4B42D626" w:rsidR="00AF5DE1" w:rsidRPr="00795847" w:rsidRDefault="001456D2" w:rsidP="00DA19E5">
      <w:pPr>
        <w:spacing w:before="240"/>
        <w:jc w:val="center"/>
      </w:pPr>
      <w:r>
        <w:rPr>
          <w:u w:val="single"/>
        </w:rPr>
        <w:tab/>
      </w:r>
      <w:r>
        <w:rPr>
          <w:u w:val="single"/>
        </w:rPr>
        <w:tab/>
      </w:r>
      <w:r>
        <w:rPr>
          <w:u w:val="single"/>
        </w:rPr>
        <w:tab/>
      </w:r>
    </w:p>
    <w:sectPr w:rsidR="00AF5DE1" w:rsidRPr="00795847" w:rsidSect="00795847">
      <w:headerReference w:type="even" r:id="rId12"/>
      <w:headerReference w:type="default" r:id="rId13"/>
      <w:footerReference w:type="even" r:id="rId14"/>
      <w:footerReference w:type="default" r:id="rId15"/>
      <w:footerReference w:type="first" r:id="rId16"/>
      <w:footnotePr>
        <w:numRestart w:val="eachPage"/>
      </w:footnotePr>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22B29" w14:textId="77777777" w:rsidR="00D71B1C" w:rsidRPr="00C47B2E" w:rsidRDefault="00D71B1C" w:rsidP="00C47B2E">
      <w:pPr>
        <w:pStyle w:val="Footer"/>
      </w:pPr>
    </w:p>
  </w:endnote>
  <w:endnote w:type="continuationSeparator" w:id="0">
    <w:p w14:paraId="1815E7C4" w14:textId="77777777" w:rsidR="00D71B1C" w:rsidRPr="00C47B2E" w:rsidRDefault="00D71B1C" w:rsidP="00C47B2E">
      <w:pPr>
        <w:pStyle w:val="Footer"/>
      </w:pPr>
    </w:p>
  </w:endnote>
  <w:endnote w:type="continuationNotice" w:id="1">
    <w:p w14:paraId="24BC3AB0" w14:textId="77777777" w:rsidR="00D71B1C" w:rsidRPr="00C47B2E" w:rsidRDefault="00D71B1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890C1" w14:textId="482B456D" w:rsidR="00D94B05" w:rsidRPr="00795847" w:rsidRDefault="00795847" w:rsidP="00795847">
    <w:pPr>
      <w:pStyle w:val="Footer"/>
      <w:tabs>
        <w:tab w:val="right" w:pos="9598"/>
        <w:tab w:val="right" w:pos="9638"/>
      </w:tabs>
      <w:rPr>
        <w:sz w:val="18"/>
      </w:rPr>
    </w:pPr>
    <w:r w:rsidRPr="00795847">
      <w:rPr>
        <w:b/>
        <w:sz w:val="18"/>
      </w:rPr>
      <w:fldChar w:fldCharType="begin"/>
    </w:r>
    <w:r w:rsidRPr="00795847">
      <w:rPr>
        <w:b/>
        <w:sz w:val="18"/>
      </w:rPr>
      <w:instrText xml:space="preserve"> PAGE  \* MERGEFORMAT </w:instrText>
    </w:r>
    <w:r w:rsidRPr="00795847">
      <w:rPr>
        <w:b/>
        <w:sz w:val="18"/>
      </w:rPr>
      <w:fldChar w:fldCharType="separate"/>
    </w:r>
    <w:r w:rsidRPr="00795847">
      <w:rPr>
        <w:b/>
        <w:noProof/>
        <w:sz w:val="18"/>
      </w:rPr>
      <w:t>2</w:t>
    </w:r>
    <w:r w:rsidRPr="0079584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F5873" w14:textId="7663EE9A" w:rsidR="00D94B05" w:rsidRPr="0041656F" w:rsidRDefault="00F966E1" w:rsidP="00795847">
    <w:pPr>
      <w:pStyle w:val="Footer"/>
      <w:tabs>
        <w:tab w:val="left" w:pos="5775"/>
        <w:tab w:val="right" w:pos="9598"/>
        <w:tab w:val="right" w:pos="9638"/>
      </w:tabs>
      <w:rPr>
        <w:b/>
        <w:bCs/>
        <w:sz w:val="18"/>
      </w:rPr>
    </w:pPr>
    <w:r>
      <w:rPr>
        <w:b/>
        <w:sz w:val="18"/>
      </w:rPr>
      <w:tab/>
    </w:r>
    <w:r w:rsidR="00795847">
      <w:rPr>
        <w:b/>
        <w:sz w:val="18"/>
      </w:rPr>
      <w:tab/>
    </w:r>
    <w:r w:rsidR="00795847" w:rsidRPr="0041656F">
      <w:rPr>
        <w:b/>
        <w:bCs/>
        <w:sz w:val="18"/>
      </w:rPr>
      <w:fldChar w:fldCharType="begin"/>
    </w:r>
    <w:r w:rsidR="00795847" w:rsidRPr="0041108F">
      <w:rPr>
        <w:b/>
        <w:bCs/>
        <w:sz w:val="18"/>
      </w:rPr>
      <w:instrText xml:space="preserve"> PAGE  \* MERGEFORMAT </w:instrText>
    </w:r>
    <w:r w:rsidR="00795847" w:rsidRPr="0041656F">
      <w:rPr>
        <w:b/>
        <w:bCs/>
        <w:sz w:val="18"/>
      </w:rPr>
      <w:fldChar w:fldCharType="separate"/>
    </w:r>
    <w:r w:rsidR="00795847" w:rsidRPr="0041108F">
      <w:rPr>
        <w:b/>
        <w:bCs/>
        <w:noProof/>
        <w:sz w:val="18"/>
      </w:rPr>
      <w:t>3</w:t>
    </w:r>
    <w:r w:rsidR="00795847" w:rsidRPr="0041656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CB694" w14:textId="77777777" w:rsidR="00D94B05" w:rsidRPr="00795847"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6DD4E342" wp14:editId="1B1F4933">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F1DC4" w14:textId="77777777" w:rsidR="00D71B1C" w:rsidRPr="00C47B2E" w:rsidRDefault="00D71B1C" w:rsidP="00C47B2E">
      <w:pPr>
        <w:tabs>
          <w:tab w:val="right" w:pos="2155"/>
        </w:tabs>
        <w:spacing w:after="80" w:line="240" w:lineRule="auto"/>
        <w:ind w:left="680"/>
      </w:pPr>
      <w:r>
        <w:rPr>
          <w:u w:val="single"/>
        </w:rPr>
        <w:tab/>
      </w:r>
    </w:p>
  </w:footnote>
  <w:footnote w:type="continuationSeparator" w:id="0">
    <w:p w14:paraId="3E4A7C7A" w14:textId="77777777" w:rsidR="00D71B1C" w:rsidRPr="00C47B2E" w:rsidRDefault="00D71B1C" w:rsidP="005E716E">
      <w:pPr>
        <w:tabs>
          <w:tab w:val="right" w:pos="2155"/>
        </w:tabs>
        <w:spacing w:after="80" w:line="240" w:lineRule="auto"/>
        <w:ind w:left="680"/>
      </w:pPr>
      <w:r>
        <w:rPr>
          <w:u w:val="single"/>
        </w:rPr>
        <w:tab/>
      </w:r>
    </w:p>
  </w:footnote>
  <w:footnote w:type="continuationNotice" w:id="1">
    <w:p w14:paraId="7BD7EAB2" w14:textId="77777777" w:rsidR="00D71B1C" w:rsidRPr="00C47B2E" w:rsidRDefault="00D71B1C" w:rsidP="00C47B2E">
      <w:pPr>
        <w:pStyle w:val="Footer"/>
      </w:pPr>
    </w:p>
  </w:footnote>
  <w:footnote w:id="2">
    <w:p w14:paraId="031ED9A7" w14:textId="4527D2B1" w:rsidR="0064778D" w:rsidRPr="0064778D" w:rsidRDefault="0064778D" w:rsidP="00A21FE3">
      <w:pPr>
        <w:pStyle w:val="FootnoteText"/>
        <w:tabs>
          <w:tab w:val="clear" w:pos="1021"/>
        </w:tabs>
        <w:ind w:left="851" w:hanging="284"/>
        <w:rPr>
          <w:lang w:val="fr-CH"/>
        </w:rPr>
      </w:pPr>
      <w:r>
        <w:rPr>
          <w:rStyle w:val="FootnoteReference"/>
        </w:rPr>
        <w:tab/>
      </w:r>
      <w:r w:rsidRPr="0064778D">
        <w:rPr>
          <w:rStyle w:val="FootnoteReference"/>
          <w:sz w:val="20"/>
          <w:vertAlign w:val="baseline"/>
        </w:rPr>
        <w:t>*</w:t>
      </w:r>
      <w:r>
        <w:rPr>
          <w:rStyle w:val="FootnoteReference"/>
          <w:sz w:val="20"/>
          <w:vertAlign w:val="baseline"/>
        </w:rPr>
        <w:tab/>
      </w:r>
      <w:r>
        <w:rPr>
          <w:lang w:val="en-US"/>
        </w:rPr>
        <w:t>A/75/6 (Sect.20), para. 20.51.</w:t>
      </w:r>
    </w:p>
  </w:footnote>
  <w:footnote w:id="3">
    <w:p w14:paraId="0F7E867C" w14:textId="10E7ED79" w:rsidR="00726C75" w:rsidRPr="00A17EC5" w:rsidRDefault="00726C75" w:rsidP="00A17EC5">
      <w:pPr>
        <w:tabs>
          <w:tab w:val="left" w:pos="567"/>
        </w:tabs>
        <w:suppressAutoHyphens w:val="0"/>
        <w:spacing w:before="80" w:line="240" w:lineRule="auto"/>
        <w:ind w:left="567"/>
        <w:rPr>
          <w:rFonts w:eastAsiaTheme="minorEastAsia"/>
          <w:i/>
          <w:iCs/>
          <w:strike/>
          <w:sz w:val="18"/>
          <w:szCs w:val="18"/>
          <w:lang w:val="en-US"/>
        </w:rPr>
      </w:pPr>
      <w:r w:rsidRPr="00A17EC5">
        <w:rPr>
          <w:rFonts w:eastAsiaTheme="minorEastAsia"/>
          <w:strike/>
          <w:sz w:val="18"/>
          <w:szCs w:val="18"/>
          <w:vertAlign w:val="superscript"/>
          <w:lang w:val="en-US"/>
        </w:rPr>
        <w:t>1</w:t>
      </w:r>
      <w:r w:rsidRPr="00A17EC5">
        <w:rPr>
          <w:rFonts w:eastAsiaTheme="minorEastAsia"/>
          <w:i/>
          <w:iCs/>
          <w:strike/>
          <w:sz w:val="18"/>
          <w:szCs w:val="18"/>
          <w:lang w:val="en-US"/>
        </w:rPr>
        <w:tab/>
        <w:t>Explosives of GHS Chapter 2.1 that are considered too sensitive to assign a division can also be stabilized by desensitization and consequently may be classified as desensitized explosives, provided all criteria of GHS Chapter 2.17 are met. In this case the desensitized explosive should be tested according to test series 3 (Part I of this Manual) because information about its sensitiveness to mechanical stimuli is likely to be important for determining conditions for safe handling and use. The results should be communicated in the safety data sheet.</w:t>
      </w:r>
    </w:p>
    <w:p w14:paraId="0B114986" w14:textId="03FA018B" w:rsidR="00C57975" w:rsidRPr="00726C75" w:rsidRDefault="00C57975">
      <w:pPr>
        <w:pStyle w:val="FootnoteText"/>
        <w:rPr>
          <w:lang w:val="fr-CH"/>
        </w:rPr>
      </w:pPr>
    </w:p>
  </w:footnote>
  <w:footnote w:id="4">
    <w:p w14:paraId="2FD41495" w14:textId="29418827" w:rsidR="00DB2B8E" w:rsidRPr="00A973F1" w:rsidRDefault="00DB2B8E" w:rsidP="00DB2B8E">
      <w:pPr>
        <w:tabs>
          <w:tab w:val="left" w:pos="567"/>
        </w:tabs>
        <w:suppressAutoHyphens w:val="0"/>
        <w:spacing w:before="80" w:line="240" w:lineRule="auto"/>
        <w:rPr>
          <w:rFonts w:eastAsiaTheme="minorEastAsia"/>
          <w:i/>
          <w:iCs/>
          <w:strike/>
          <w:sz w:val="18"/>
          <w:szCs w:val="18"/>
          <w:lang w:val="en-US"/>
        </w:rPr>
      </w:pPr>
      <w:r w:rsidRPr="00A973F1">
        <w:rPr>
          <w:rFonts w:eastAsiaTheme="minorEastAsia"/>
          <w:strike/>
          <w:sz w:val="18"/>
          <w:szCs w:val="18"/>
          <w:vertAlign w:val="superscript"/>
          <w:lang w:val="en-US"/>
        </w:rPr>
        <w:t>1</w:t>
      </w:r>
      <w:r w:rsidRPr="00A973F1">
        <w:rPr>
          <w:rFonts w:eastAsiaTheme="minorEastAsia"/>
          <w:i/>
          <w:iCs/>
          <w:strike/>
          <w:sz w:val="18"/>
          <w:szCs w:val="18"/>
          <w:lang w:val="en-US"/>
        </w:rPr>
        <w:tab/>
        <w:t>Unstable explosives as defined in Chapter 2.1 of the GHS can also be stabilized by desensitization and consequently may be classified as desensitized explosives, provided all criteria of GHS Chapter 2.17 are met. In this case the desensitized explosive should be tested according to test series 3 (Part I of this Manual) because information about its sensitiveness to mechanical stimuli is likely to be important for determining conditions for safe handling and use. The results should be communicated in the safety data sheet.</w:t>
      </w:r>
    </w:p>
    <w:p w14:paraId="193851AB" w14:textId="56F6CFCA" w:rsidR="00DB2B8E" w:rsidRPr="00A973F1" w:rsidRDefault="00175EAF" w:rsidP="00DA19E5">
      <w:pPr>
        <w:tabs>
          <w:tab w:val="left" w:pos="567"/>
        </w:tabs>
        <w:suppressAutoHyphens w:val="0"/>
        <w:spacing w:before="80" w:line="240" w:lineRule="auto"/>
        <w:rPr>
          <w:sz w:val="18"/>
          <w:szCs w:val="18"/>
          <w:lang w:val="fr-CH"/>
        </w:rPr>
      </w:pPr>
      <w:r w:rsidRPr="00A973F1">
        <w:rPr>
          <w:rFonts w:eastAsiaTheme="minorEastAsia"/>
          <w:b/>
          <w:bCs/>
          <w:sz w:val="18"/>
          <w:szCs w:val="18"/>
          <w:u w:val="single"/>
          <w:vertAlign w:val="superscript"/>
          <w:lang w:val="en-US"/>
        </w:rPr>
        <w:t>1</w:t>
      </w:r>
      <w:r w:rsidRPr="00A973F1">
        <w:rPr>
          <w:rFonts w:eastAsiaTheme="minorEastAsia"/>
          <w:b/>
          <w:bCs/>
          <w:strike/>
          <w:sz w:val="18"/>
          <w:szCs w:val="18"/>
          <w:vertAlign w:val="superscript"/>
          <w:lang w:val="en-US"/>
        </w:rPr>
        <w:t>2</w:t>
      </w:r>
      <w:r w:rsidRPr="00A973F1">
        <w:rPr>
          <w:rFonts w:eastAsiaTheme="minorEastAsia"/>
          <w:i/>
          <w:iCs/>
          <w:sz w:val="18"/>
          <w:szCs w:val="18"/>
          <w:lang w:val="en-US"/>
        </w:rPr>
        <w:tab/>
        <w:t>The exothermic decomposition energy should be determined using the explosive already desensitized (i.e.: the homogenous solid or liquids mixture formed by the explosive and the substance(s) used to suppress its explosive properties). The exothermic decomposition energy may be estimated using a suitable calorimetric technique (see Section 20, sub-section 20.3.3.3 in Part II of this Manual).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E59D6" w14:textId="41D7A919" w:rsidR="00795847" w:rsidRPr="00795847" w:rsidRDefault="000B14A4">
    <w:pPr>
      <w:pStyle w:val="Header"/>
    </w:pPr>
    <w:r>
      <w:fldChar w:fldCharType="begin"/>
    </w:r>
    <w:r>
      <w:instrText xml:space="preserve"> TITLE  \* MERGEFORMAT </w:instrText>
    </w:r>
    <w:r>
      <w:fldChar w:fldCharType="separate"/>
    </w:r>
    <w:r>
      <w:t>ST/SG/AC.10/C.3/2021/37</w:t>
    </w:r>
    <w:r>
      <w:fldChar w:fldCharType="end"/>
    </w:r>
    <w:r w:rsidR="00795847">
      <w:br/>
    </w:r>
    <w:r>
      <w:fldChar w:fldCharType="begin"/>
    </w:r>
    <w:r>
      <w:instrText xml:space="preserve"> KEYWORDS  \* MERGEFORMAT </w:instrText>
    </w:r>
    <w:r>
      <w:fldChar w:fldCharType="separate"/>
    </w:r>
    <w:r>
      <w:t>ST/SG/AC.10/C.4/2021/7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55D47" w14:textId="1F7181D2" w:rsidR="00D94B05" w:rsidRPr="00795847" w:rsidRDefault="000B14A4" w:rsidP="00795847">
    <w:pPr>
      <w:pStyle w:val="Header"/>
      <w:jc w:val="right"/>
    </w:pPr>
    <w:r>
      <w:fldChar w:fldCharType="begin"/>
    </w:r>
    <w:r>
      <w:instrText xml:space="preserve"> TITLE  \* MERGEFORMAT </w:instrText>
    </w:r>
    <w:r>
      <w:fldChar w:fldCharType="separate"/>
    </w:r>
    <w:r>
      <w:t>ST/SG/AC.10/C.3/2021/37</w:t>
    </w:r>
    <w:r>
      <w:fldChar w:fldCharType="end"/>
    </w:r>
    <w:r w:rsidR="00795847">
      <w:br/>
    </w:r>
    <w:r>
      <w:fldChar w:fldCharType="begin"/>
    </w:r>
    <w:r>
      <w:instrText xml:space="preserve"> KEYWORDS  \* MERGEFORMAT </w:instrText>
    </w:r>
    <w:r>
      <w:fldChar w:fldCharType="separate"/>
    </w:r>
    <w:r>
      <w:t>ST/SG/AC.10/C.4/2021/7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10"/>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trackRevisions/>
  <w:defaultTabStop w:val="567"/>
  <w:hyphenationZone w:val="425"/>
  <w:evenAndOddHeaders/>
  <w:characterSpacingControl w:val="doNotCompress"/>
  <w:hdrShapeDefaults>
    <o:shapedefaults v:ext="edit" spidmax="6145"/>
  </w:hdrShapeDefaults>
  <w:footnotePr>
    <w:numRestart w:val="eachPage"/>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47"/>
    <w:rsid w:val="00040AE0"/>
    <w:rsid w:val="00046E92"/>
    <w:rsid w:val="00063C90"/>
    <w:rsid w:val="0007679D"/>
    <w:rsid w:val="000B14A4"/>
    <w:rsid w:val="000F0C83"/>
    <w:rsid w:val="00101B98"/>
    <w:rsid w:val="001456D2"/>
    <w:rsid w:val="0014605C"/>
    <w:rsid w:val="001514D1"/>
    <w:rsid w:val="00175EAF"/>
    <w:rsid w:val="001D150C"/>
    <w:rsid w:val="001D4366"/>
    <w:rsid w:val="001E28FF"/>
    <w:rsid w:val="002003AC"/>
    <w:rsid w:val="00247E2C"/>
    <w:rsid w:val="00276805"/>
    <w:rsid w:val="00297144"/>
    <w:rsid w:val="002A32CB"/>
    <w:rsid w:val="002B4AA8"/>
    <w:rsid w:val="002D5B2C"/>
    <w:rsid w:val="002D6C53"/>
    <w:rsid w:val="002F5595"/>
    <w:rsid w:val="00334F6A"/>
    <w:rsid w:val="00337CF4"/>
    <w:rsid w:val="00342AC8"/>
    <w:rsid w:val="00343302"/>
    <w:rsid w:val="0038182A"/>
    <w:rsid w:val="00390FBE"/>
    <w:rsid w:val="003979DE"/>
    <w:rsid w:val="003B4550"/>
    <w:rsid w:val="003C2BAF"/>
    <w:rsid w:val="003D2A18"/>
    <w:rsid w:val="0041108F"/>
    <w:rsid w:val="00413386"/>
    <w:rsid w:val="0041656F"/>
    <w:rsid w:val="004338B6"/>
    <w:rsid w:val="00451AAB"/>
    <w:rsid w:val="00453A91"/>
    <w:rsid w:val="00461253"/>
    <w:rsid w:val="004858F5"/>
    <w:rsid w:val="004A2814"/>
    <w:rsid w:val="004A4623"/>
    <w:rsid w:val="004C0622"/>
    <w:rsid w:val="004D73B3"/>
    <w:rsid w:val="005042C2"/>
    <w:rsid w:val="00523880"/>
    <w:rsid w:val="005879B9"/>
    <w:rsid w:val="005962D0"/>
    <w:rsid w:val="005E716E"/>
    <w:rsid w:val="0062738A"/>
    <w:rsid w:val="006476E1"/>
    <w:rsid w:val="0064778D"/>
    <w:rsid w:val="006604DF"/>
    <w:rsid w:val="00671529"/>
    <w:rsid w:val="006845D1"/>
    <w:rsid w:val="006B033E"/>
    <w:rsid w:val="006B2D0C"/>
    <w:rsid w:val="006E6BAE"/>
    <w:rsid w:val="0070489D"/>
    <w:rsid w:val="007268F9"/>
    <w:rsid w:val="00726C75"/>
    <w:rsid w:val="00750282"/>
    <w:rsid w:val="00760179"/>
    <w:rsid w:val="00764440"/>
    <w:rsid w:val="0077101B"/>
    <w:rsid w:val="00790542"/>
    <w:rsid w:val="00795847"/>
    <w:rsid w:val="007B0EF6"/>
    <w:rsid w:val="007C52B0"/>
    <w:rsid w:val="007C6033"/>
    <w:rsid w:val="008147C8"/>
    <w:rsid w:val="0081753A"/>
    <w:rsid w:val="00857D23"/>
    <w:rsid w:val="0086602F"/>
    <w:rsid w:val="009411B4"/>
    <w:rsid w:val="00946F1D"/>
    <w:rsid w:val="009815F1"/>
    <w:rsid w:val="009848C0"/>
    <w:rsid w:val="009B138D"/>
    <w:rsid w:val="009C1A56"/>
    <w:rsid w:val="009D0139"/>
    <w:rsid w:val="009D4D2F"/>
    <w:rsid w:val="009D717D"/>
    <w:rsid w:val="009E6921"/>
    <w:rsid w:val="009F5CDC"/>
    <w:rsid w:val="00A072D7"/>
    <w:rsid w:val="00A17EC5"/>
    <w:rsid w:val="00A21FE3"/>
    <w:rsid w:val="00A51C4F"/>
    <w:rsid w:val="00A775CF"/>
    <w:rsid w:val="00A973F1"/>
    <w:rsid w:val="00AA5770"/>
    <w:rsid w:val="00AC571F"/>
    <w:rsid w:val="00AD1A9C"/>
    <w:rsid w:val="00AF5DE1"/>
    <w:rsid w:val="00B06045"/>
    <w:rsid w:val="00B206DD"/>
    <w:rsid w:val="00B21C84"/>
    <w:rsid w:val="00B52EF4"/>
    <w:rsid w:val="00B53150"/>
    <w:rsid w:val="00B777AD"/>
    <w:rsid w:val="00B921F2"/>
    <w:rsid w:val="00BB08ED"/>
    <w:rsid w:val="00BD47F2"/>
    <w:rsid w:val="00BE021D"/>
    <w:rsid w:val="00BF7A98"/>
    <w:rsid w:val="00C03015"/>
    <w:rsid w:val="00C0358D"/>
    <w:rsid w:val="00C03597"/>
    <w:rsid w:val="00C11E1C"/>
    <w:rsid w:val="00C1668D"/>
    <w:rsid w:val="00C2500E"/>
    <w:rsid w:val="00C35A27"/>
    <w:rsid w:val="00C47B2E"/>
    <w:rsid w:val="00C57975"/>
    <w:rsid w:val="00C771F7"/>
    <w:rsid w:val="00C84B74"/>
    <w:rsid w:val="00CC329F"/>
    <w:rsid w:val="00CC492D"/>
    <w:rsid w:val="00D26856"/>
    <w:rsid w:val="00D53363"/>
    <w:rsid w:val="00D63CD2"/>
    <w:rsid w:val="00D71B1C"/>
    <w:rsid w:val="00D87DC2"/>
    <w:rsid w:val="00D933F1"/>
    <w:rsid w:val="00D94B05"/>
    <w:rsid w:val="00DA19E5"/>
    <w:rsid w:val="00DB2B8E"/>
    <w:rsid w:val="00DD5585"/>
    <w:rsid w:val="00DF4B2C"/>
    <w:rsid w:val="00E02C2B"/>
    <w:rsid w:val="00E21C27"/>
    <w:rsid w:val="00E26BCF"/>
    <w:rsid w:val="00E52109"/>
    <w:rsid w:val="00E563AE"/>
    <w:rsid w:val="00E75317"/>
    <w:rsid w:val="00EB5DE8"/>
    <w:rsid w:val="00EC0CE6"/>
    <w:rsid w:val="00EC43FD"/>
    <w:rsid w:val="00EC7C1D"/>
    <w:rsid w:val="00ED6C48"/>
    <w:rsid w:val="00EE3045"/>
    <w:rsid w:val="00F06ADC"/>
    <w:rsid w:val="00F62864"/>
    <w:rsid w:val="00F65F5D"/>
    <w:rsid w:val="00F86A3A"/>
    <w:rsid w:val="00F909AA"/>
    <w:rsid w:val="00F966E1"/>
    <w:rsid w:val="00FD635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15B41A"/>
  <w15:docId w15:val="{956A4AC7-468C-4068-A2F8-88075F1B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rmaltextrun">
    <w:name w:val="normaltextrun"/>
    <w:basedOn w:val="DefaultParagraphFont"/>
    <w:rsid w:val="00D53363"/>
  </w:style>
  <w:style w:type="character" w:customStyle="1" w:styleId="eop">
    <w:name w:val="eop"/>
    <w:basedOn w:val="DefaultParagraphFont"/>
    <w:rsid w:val="00D53363"/>
  </w:style>
  <w:style w:type="character" w:customStyle="1" w:styleId="HChGChar">
    <w:name w:val="_ H _Ch_G Char"/>
    <w:link w:val="HChG"/>
    <w:locked/>
    <w:rsid w:val="00DD5585"/>
    <w:rPr>
      <w:b/>
      <w:sz w:val="28"/>
    </w:rPr>
  </w:style>
  <w:style w:type="character" w:customStyle="1" w:styleId="H1GChar">
    <w:name w:val="_ H_1_G Char"/>
    <w:link w:val="H1G"/>
    <w:locked/>
    <w:rsid w:val="00DD5585"/>
    <w:rPr>
      <w:b/>
      <w:sz w:val="24"/>
    </w:rPr>
  </w:style>
  <w:style w:type="character" w:customStyle="1" w:styleId="SingleTxtGChar">
    <w:name w:val="_ Single Txt_G Char"/>
    <w:link w:val="SingleTxtG"/>
    <w:qFormat/>
    <w:rsid w:val="00DD5585"/>
  </w:style>
  <w:style w:type="character" w:customStyle="1" w:styleId="SingleTxtGCar">
    <w:name w:val="_ Single Txt_G Car"/>
    <w:rsid w:val="00DD558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2B584-FC6E-4D0B-B282-C7F1B3075069}">
  <ds:schemaRefs>
    <ds:schemaRef ds:uri="acccb6d4-dbe5-46d2-b4d3-5733603d8cc6"/>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C46AFB3-552A-4D99-8C66-10AC8727508B}">
  <ds:schemaRefs>
    <ds:schemaRef ds:uri="http://schemas.microsoft.com/sharepoint/v3/contenttype/forms"/>
  </ds:schemaRefs>
</ds:datastoreItem>
</file>

<file path=customXml/itemProps3.xml><?xml version="1.0" encoding="utf-8"?>
<ds:datastoreItem xmlns:ds="http://schemas.openxmlformats.org/officeDocument/2006/customXml" ds:itemID="{344BF109-1461-4AA9-829F-2710F3465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1</TotalTime>
  <Pages>9</Pages>
  <Words>2831</Words>
  <Characters>16137</Characters>
  <Application>Microsoft Office Word</Application>
  <DocSecurity>0</DocSecurity>
  <Lines>134</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ST/SG/AC.10/C.3/2021/37</dc:title>
  <dc:subject/>
  <dc:creator>Rosa Garcia-Couto</dc:creator>
  <cp:keywords>ST/SG/AC.10/C.4/2021/7</cp:keywords>
  <cp:lastModifiedBy>Laurence Berthet</cp:lastModifiedBy>
  <cp:revision>5</cp:revision>
  <cp:lastPrinted>2021-09-14T10:38:00Z</cp:lastPrinted>
  <dcterms:created xsi:type="dcterms:W3CDTF">2021-09-14T10:35:00Z</dcterms:created>
  <dcterms:modified xsi:type="dcterms:W3CDTF">2021-09-14T10:38:00Z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