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41B238BD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367C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B1E46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1423" w14:textId="719E788A" w:rsidR="00E52109" w:rsidRDefault="00993D78" w:rsidP="00993D78">
            <w:pPr>
              <w:suppressAutoHyphens w:val="0"/>
              <w:jc w:val="right"/>
            </w:pPr>
            <w:r w:rsidRPr="00993D78">
              <w:rPr>
                <w:sz w:val="40"/>
              </w:rPr>
              <w:t>ST</w:t>
            </w:r>
            <w:r>
              <w:t>/SG/AC.10/C.3/2021/</w:t>
            </w:r>
            <w:r w:rsidR="00402C35">
              <w:t>54</w:t>
            </w:r>
          </w:p>
        </w:tc>
      </w:tr>
      <w:tr w:rsidR="00E52109" w14:paraId="4E9FBE1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378313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C4F87B" wp14:editId="2C7D8D2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5AC56A2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53607" w14:textId="77777777" w:rsidR="00D94B05" w:rsidRDefault="00993D78" w:rsidP="00993D7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267A95F" w14:textId="5BE2A398" w:rsidR="00993D78" w:rsidRDefault="00FA4868" w:rsidP="00993D78">
            <w:pPr>
              <w:suppressAutoHyphens w:val="0"/>
              <w:spacing w:line="240" w:lineRule="exact"/>
            </w:pPr>
            <w:r>
              <w:t xml:space="preserve">20 </w:t>
            </w:r>
            <w:r w:rsidR="00993D78">
              <w:t>September 2021</w:t>
            </w:r>
          </w:p>
          <w:p w14:paraId="158A207D" w14:textId="77777777" w:rsidR="00993D78" w:rsidRDefault="00993D78" w:rsidP="00993D78">
            <w:pPr>
              <w:suppressAutoHyphens w:val="0"/>
              <w:spacing w:line="240" w:lineRule="exact"/>
            </w:pPr>
          </w:p>
          <w:p w14:paraId="3F843987" w14:textId="6F0D2B5B" w:rsidR="00993D78" w:rsidRDefault="00993D78" w:rsidP="00993D78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27B2177" w14:textId="77777777" w:rsidR="00937E22" w:rsidRPr="006500BA" w:rsidRDefault="00937E22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BF94EA" w14:textId="77777777" w:rsidR="00937E22" w:rsidRPr="006500BA" w:rsidRDefault="00937E22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2825F68" w14:textId="77777777" w:rsidR="00C9141D" w:rsidRPr="006500BA" w:rsidRDefault="00C9141D" w:rsidP="00C9141D">
      <w:pPr>
        <w:spacing w:before="120"/>
        <w:rPr>
          <w:b/>
        </w:rPr>
      </w:pPr>
      <w:r>
        <w:rPr>
          <w:b/>
        </w:rPr>
        <w:t xml:space="preserve">Fifty-ninth </w:t>
      </w:r>
      <w:r w:rsidRPr="006500BA">
        <w:rPr>
          <w:b/>
        </w:rPr>
        <w:t>session</w:t>
      </w:r>
    </w:p>
    <w:p w14:paraId="1E92DE78" w14:textId="1FC4FD9D" w:rsidR="00C9141D" w:rsidRDefault="00C9141D" w:rsidP="00C9141D">
      <w:pPr>
        <w:rPr>
          <w:lang w:val="en-US"/>
        </w:rPr>
      </w:pPr>
      <w:r w:rsidRPr="006500BA">
        <w:t>Geneva,</w:t>
      </w:r>
      <w:r>
        <w:t xml:space="preserve"> 29 November – 8 December 2021</w:t>
      </w:r>
      <w:r>
        <w:br/>
      </w:r>
      <w:r>
        <w:rPr>
          <w:lang w:val="en-US"/>
        </w:rPr>
        <w:t xml:space="preserve">Item </w:t>
      </w:r>
      <w:r w:rsidR="00C81AA9">
        <w:rPr>
          <w:lang w:val="en-US"/>
        </w:rPr>
        <w:t>4 (c)</w:t>
      </w:r>
      <w:r>
        <w:rPr>
          <w:lang w:val="en-US"/>
        </w:rPr>
        <w:t xml:space="preserve"> of the provisional agenda</w:t>
      </w:r>
    </w:p>
    <w:p w14:paraId="4C4AA8EC" w14:textId="52AE253D" w:rsidR="00AF5DE1" w:rsidRPr="0058355A" w:rsidRDefault="000B3322" w:rsidP="00C9141D">
      <w:pPr>
        <w:rPr>
          <w:b/>
          <w:bCs/>
          <w:lang w:val="en-US"/>
        </w:rPr>
      </w:pPr>
      <w:r w:rsidRPr="0058355A">
        <w:rPr>
          <w:b/>
          <w:bCs/>
        </w:rPr>
        <w:t xml:space="preserve">Electric storage systems: </w:t>
      </w:r>
      <w:r w:rsidR="0058355A" w:rsidRPr="0058355A">
        <w:rPr>
          <w:b/>
          <w:bCs/>
        </w:rPr>
        <w:t>transport provisions</w:t>
      </w:r>
    </w:p>
    <w:p w14:paraId="2900BB90" w14:textId="77777777" w:rsidR="00445E8D" w:rsidRDefault="00445E8D" w:rsidP="00445E8D">
      <w:pPr>
        <w:pStyle w:val="HChG"/>
      </w:pPr>
      <w:r>
        <w:tab/>
      </w:r>
      <w:r>
        <w:tab/>
      </w:r>
      <w:r w:rsidRPr="00C6639D">
        <w:t>Proposed amendments to packing instruction LP903</w:t>
      </w:r>
    </w:p>
    <w:p w14:paraId="1C283F2F" w14:textId="25A558C6" w:rsidR="00445E8D" w:rsidRDefault="00445E8D" w:rsidP="00445E8D">
      <w:pPr>
        <w:pStyle w:val="H1G"/>
      </w:pPr>
      <w:r>
        <w:tab/>
      </w:r>
      <w:r>
        <w:tab/>
      </w:r>
      <w:r w:rsidR="0044565C" w:rsidRPr="004D5E9F">
        <w:t>Transmitted by PRBA – The Recha</w:t>
      </w:r>
      <w:r w:rsidR="0044565C">
        <w:t xml:space="preserve">rgeable Battery Association and RECHARGE the </w:t>
      </w:r>
      <w:r w:rsidR="0044565C" w:rsidRPr="00350536">
        <w:t>Advanced Rechargeable &amp; Lithium Batteries Association</w:t>
      </w:r>
      <w:r w:rsidR="003675BF">
        <w:rPr>
          <w:rStyle w:val="FootnoteReference"/>
        </w:rPr>
        <w:footnoteReference w:id="2"/>
      </w:r>
    </w:p>
    <w:p w14:paraId="4F0CA692" w14:textId="77777777" w:rsidR="00445E8D" w:rsidRPr="007207CE" w:rsidRDefault="00445E8D" w:rsidP="0058355A">
      <w:pPr>
        <w:pStyle w:val="HChG"/>
      </w:pPr>
      <w:r>
        <w:tab/>
      </w:r>
      <w:r>
        <w:tab/>
      </w:r>
      <w:r w:rsidRPr="0058355A">
        <w:t>Introduction</w:t>
      </w:r>
    </w:p>
    <w:p w14:paraId="335F073B" w14:textId="234742D7" w:rsidR="00445E8D" w:rsidRDefault="0058355A" w:rsidP="0058355A">
      <w:pPr>
        <w:pStyle w:val="SingleTxtG"/>
      </w:pPr>
      <w:r>
        <w:tab/>
        <w:t>1.</w:t>
      </w:r>
      <w:r>
        <w:tab/>
      </w:r>
      <w:r w:rsidR="00445E8D">
        <w:t xml:space="preserve">During the fifty-eighth session, the Sub-Committee considered amendments to </w:t>
      </w:r>
      <w:r w:rsidR="0030293D">
        <w:t>p</w:t>
      </w:r>
      <w:r w:rsidR="00445E8D">
        <w:t xml:space="preserve">acking </w:t>
      </w:r>
      <w:r w:rsidR="00BD5637">
        <w:t>i</w:t>
      </w:r>
      <w:r w:rsidR="00445E8D">
        <w:t xml:space="preserve">nstruction LP903 based on document </w:t>
      </w:r>
      <w:r w:rsidR="00445E8D" w:rsidRPr="00FB404E">
        <w:t>ST/SG/AC.10/C.3/2021/28</w:t>
      </w:r>
      <w:r w:rsidR="00445E8D">
        <w:t xml:space="preserve">. </w:t>
      </w:r>
      <w:r w:rsidR="000E1DF6">
        <w:t>Taking account of</w:t>
      </w:r>
      <w:r w:rsidR="00445E8D">
        <w:t xml:space="preserve"> </w:t>
      </w:r>
      <w:r w:rsidR="000E1DF6">
        <w:t xml:space="preserve">the </w:t>
      </w:r>
      <w:r w:rsidR="00445E8D" w:rsidRPr="0058355A">
        <w:t>comments</w:t>
      </w:r>
      <w:r w:rsidR="00445E8D">
        <w:t xml:space="preserve"> received from members of the Sub-Committee, PRBA and RECHARGE prepared new proposed amendments to LP903 for the Sub-Committee’s consideration.</w:t>
      </w:r>
    </w:p>
    <w:p w14:paraId="5FA53441" w14:textId="442E2B03" w:rsidR="00445E8D" w:rsidRDefault="00E5247C" w:rsidP="00E5247C">
      <w:pPr>
        <w:pStyle w:val="SingleTxtG"/>
      </w:pPr>
      <w:r>
        <w:tab/>
        <w:t>2.</w:t>
      </w:r>
      <w:r>
        <w:tab/>
      </w:r>
      <w:r w:rsidR="00445E8D">
        <w:t xml:space="preserve">As noted in </w:t>
      </w:r>
      <w:r w:rsidR="00445E8D" w:rsidRPr="000552DD">
        <w:t>ST/SG/AC.10/C.3/2021/28</w:t>
      </w:r>
      <w:r w:rsidR="00445E8D">
        <w:t xml:space="preserve">, the lithium ion battery industry will see significant growth over the next </w:t>
      </w:r>
      <w:r w:rsidR="00FD7E10">
        <w:t>ten</w:t>
      </w:r>
      <w:r w:rsidR="00445E8D">
        <w:t xml:space="preserve"> years as new </w:t>
      </w:r>
      <w:r w:rsidR="00445E8D" w:rsidRPr="000552DD">
        <w:t>“</w:t>
      </w:r>
      <w:r w:rsidR="00C846CC">
        <w:t>g</w:t>
      </w:r>
      <w:r w:rsidR="00445E8D" w:rsidRPr="000552DD">
        <w:t>iga</w:t>
      </w:r>
      <w:r w:rsidR="00B34AD8">
        <w:t>-</w:t>
      </w:r>
      <w:r w:rsidR="00445E8D" w:rsidRPr="000552DD">
        <w:t xml:space="preserve">factories” </w:t>
      </w:r>
      <w:r w:rsidR="00445E8D">
        <w:t>are constructed in many parts of the world</w:t>
      </w:r>
      <w:r w:rsidR="00445E8D" w:rsidRPr="000552DD">
        <w:t xml:space="preserve">. </w:t>
      </w:r>
      <w:r w:rsidR="00445E8D" w:rsidRPr="00E5247C">
        <w:t>These</w:t>
      </w:r>
      <w:r w:rsidR="00445E8D" w:rsidRPr="000552DD">
        <w:t xml:space="preserve"> factories will each have the capability of producing billions of </w:t>
      </w:r>
      <w:r w:rsidR="00445E8D">
        <w:t xml:space="preserve">lithium ion </w:t>
      </w:r>
      <w:r w:rsidR="00445E8D" w:rsidRPr="000552DD">
        <w:t xml:space="preserve">cells annually for portable, industrial, and electric vehicle applications. </w:t>
      </w:r>
      <w:r w:rsidR="00445E8D">
        <w:t xml:space="preserve">To accommodate such growth, it is imperative </w:t>
      </w:r>
      <w:r w:rsidR="0081380E">
        <w:t xml:space="preserve">that </w:t>
      </w:r>
      <w:r w:rsidR="00445E8D">
        <w:t xml:space="preserve">the limitation </w:t>
      </w:r>
      <w:r w:rsidR="002F5226">
        <w:t>t</w:t>
      </w:r>
      <w:r w:rsidR="00445E8D">
        <w:t>o one cell, battery, or item of equipment per large packaging currently included in LP903 be removed.</w:t>
      </w:r>
    </w:p>
    <w:p w14:paraId="5FD288F0" w14:textId="4A1FCCE6" w:rsidR="00445E8D" w:rsidRPr="000552DD" w:rsidRDefault="00E5247C" w:rsidP="00E5247C">
      <w:pPr>
        <w:pStyle w:val="SingleTxtG"/>
      </w:pPr>
      <w:r>
        <w:t>3.</w:t>
      </w:r>
      <w:r>
        <w:tab/>
      </w:r>
      <w:r w:rsidR="00445E8D">
        <w:t xml:space="preserve">The comments PRBA and RECHARGE received in response to </w:t>
      </w:r>
      <w:bookmarkStart w:id="0" w:name="_Hlk81834356"/>
      <w:r w:rsidR="00445E8D" w:rsidRPr="00B944A6">
        <w:t>ST/SG/AC.10/C.3/2021/28</w:t>
      </w:r>
      <w:r w:rsidR="00445E8D">
        <w:t xml:space="preserve"> </w:t>
      </w:r>
      <w:bookmarkEnd w:id="0"/>
      <w:r w:rsidR="00445E8D">
        <w:t xml:space="preserve">focused primarily on the use of inner packaging and the need to </w:t>
      </w:r>
      <w:r w:rsidR="00445E8D" w:rsidRPr="00E5247C">
        <w:t>limit</w:t>
      </w:r>
      <w:r w:rsidR="00445E8D">
        <w:t xml:space="preserve"> the large </w:t>
      </w:r>
      <w:proofErr w:type="spellStart"/>
      <w:r w:rsidR="00445E8D">
        <w:t>packagings</w:t>
      </w:r>
      <w:proofErr w:type="spellEnd"/>
      <w:r w:rsidR="00445E8D">
        <w:t xml:space="preserve"> to cell, battery, and equipment designs the packaging was tested to accommodate. PRBA and RECHARGE also have not included any requirements associated with t</w:t>
      </w:r>
      <w:r w:rsidR="00445E8D" w:rsidRPr="00B944A6">
        <w:t xml:space="preserve">he energy content of </w:t>
      </w:r>
      <w:r w:rsidR="00445E8D">
        <w:t xml:space="preserve">cells and </w:t>
      </w:r>
      <w:r w:rsidR="00445E8D" w:rsidRPr="00B944A6">
        <w:t>batteries</w:t>
      </w:r>
      <w:r w:rsidR="00445E8D">
        <w:t xml:space="preserve"> based on several requests from members of the Sub-Committee.</w:t>
      </w:r>
    </w:p>
    <w:p w14:paraId="2ADC4B89" w14:textId="241F33BF" w:rsidR="00445E8D" w:rsidRPr="00715A03" w:rsidRDefault="0016402D" w:rsidP="0016402D">
      <w:pPr>
        <w:pStyle w:val="HChG"/>
      </w:pPr>
      <w:r>
        <w:lastRenderedPageBreak/>
        <w:tab/>
      </w:r>
      <w:r>
        <w:tab/>
      </w:r>
      <w:r w:rsidR="00445E8D" w:rsidRPr="00715A03">
        <w:t>Proposal</w:t>
      </w:r>
    </w:p>
    <w:p w14:paraId="604A9345" w14:textId="4FEB2110" w:rsidR="00445E8D" w:rsidRDefault="001100CD" w:rsidP="00B34AD8">
      <w:pPr>
        <w:pStyle w:val="SingleTxtG"/>
        <w:keepNext/>
        <w:keepLines/>
        <w:spacing w:after="240"/>
      </w:pPr>
      <w:r>
        <w:tab/>
        <w:t>4.</w:t>
      </w:r>
      <w:r>
        <w:tab/>
      </w:r>
      <w:r w:rsidR="00445E8D">
        <w:t xml:space="preserve">PRBA and RECHARGE therefore propose </w:t>
      </w:r>
      <w:r w:rsidR="00B725F3">
        <w:t>to</w:t>
      </w:r>
      <w:r w:rsidR="00445E8D">
        <w:t xml:space="preserve"> amend </w:t>
      </w:r>
      <w:r w:rsidR="007D3637">
        <w:t xml:space="preserve">4.1.4.3 </w:t>
      </w:r>
      <w:r w:rsidR="00B725F3">
        <w:t>on</w:t>
      </w:r>
      <w:r w:rsidR="00445E8D">
        <w:t xml:space="preserve"> </w:t>
      </w:r>
      <w:r w:rsidR="004C7B92" w:rsidRPr="00C6639D">
        <w:t xml:space="preserve">packing instruction </w:t>
      </w:r>
      <w:r w:rsidR="00445E8D">
        <w:t>LP903</w:t>
      </w:r>
      <w:r w:rsidR="00B725F3">
        <w:t xml:space="preserve"> as follows</w:t>
      </w:r>
      <w:r w:rsidR="001E3299">
        <w:t xml:space="preserve"> </w:t>
      </w:r>
      <w:r w:rsidR="001E3299" w:rsidRPr="001E3299">
        <w:t xml:space="preserve">(new text is underlined, deleted text is </w:t>
      </w:r>
      <w:proofErr w:type="gramStart"/>
      <w:r w:rsidR="001E3299" w:rsidRPr="001E3299">
        <w:t>stricken-through</w:t>
      </w:r>
      <w:proofErr w:type="gramEnd"/>
      <w:r w:rsidR="001E3299" w:rsidRPr="001E3299">
        <w:t>)</w:t>
      </w:r>
      <w:r w:rsidR="00445E8D">
        <w:t xml:space="preserve">: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891"/>
      </w:tblGrid>
      <w:tr w:rsidR="00445E8D" w:rsidRPr="00BB076F" w14:paraId="6AA07A8D" w14:textId="77777777" w:rsidTr="009F6BE5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2D2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82" w:right="345"/>
              <w:jc w:val="both"/>
              <w:rPr>
                <w:b/>
                <w:lang w:val="x-none"/>
              </w:rPr>
            </w:pPr>
            <w:r w:rsidRPr="00BB076F">
              <w:rPr>
                <w:b/>
                <w:lang w:val="x-none"/>
              </w:rPr>
              <w:t xml:space="preserve">LP903       </w:t>
            </w:r>
            <w:r w:rsidRPr="00BB076F">
              <w:rPr>
                <w:b/>
              </w:rPr>
              <w:t xml:space="preserve">        </w:t>
            </w:r>
            <w:r w:rsidRPr="00BB076F">
              <w:rPr>
                <w:b/>
                <w:lang w:val="x-none"/>
              </w:rPr>
              <w:t xml:space="preserve">                   </w:t>
            </w:r>
            <w:r w:rsidRPr="00BB076F">
              <w:rPr>
                <w:b/>
              </w:rPr>
              <w:t xml:space="preserve">          </w:t>
            </w:r>
            <w:r w:rsidRPr="00BB076F">
              <w:rPr>
                <w:b/>
                <w:lang w:val="x-none"/>
              </w:rPr>
              <w:t xml:space="preserve">            PACKING INSTRUCTION                                              LP903</w:t>
            </w:r>
          </w:p>
        </w:tc>
      </w:tr>
      <w:tr w:rsidR="00445E8D" w:rsidRPr="00BB076F" w14:paraId="3F52B015" w14:textId="77777777" w:rsidTr="009F6BE5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7261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262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This instruction applies to UN Nos. 3090, 3091, 3480 and 3481</w:t>
            </w:r>
          </w:p>
        </w:tc>
      </w:tr>
      <w:tr w:rsidR="00445E8D" w:rsidRPr="00BB076F" w14:paraId="3E219E85" w14:textId="77777777" w:rsidTr="009F6BE5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9DBFC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262" w:right="35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 xml:space="preserve">The following large </w:t>
            </w:r>
            <w:proofErr w:type="spellStart"/>
            <w:r w:rsidRPr="00BB076F">
              <w:rPr>
                <w:lang w:val="x-none"/>
              </w:rPr>
              <w:t>packagings</w:t>
            </w:r>
            <w:proofErr w:type="spellEnd"/>
            <w:r w:rsidRPr="00BB076F">
              <w:rPr>
                <w:lang w:val="x-none"/>
              </w:rPr>
              <w:t xml:space="preserve"> are authorized for</w:t>
            </w:r>
            <w:r w:rsidRPr="00BB076F">
              <w:t xml:space="preserve"> </w:t>
            </w:r>
            <w:r w:rsidRPr="00BB076F">
              <w:rPr>
                <w:u w:val="single"/>
              </w:rPr>
              <w:t>cells,</w:t>
            </w:r>
            <w:r w:rsidRPr="00BB076F">
              <w:rPr>
                <w:lang w:val="x-none"/>
              </w:rPr>
              <w:t xml:space="preserve"> </w:t>
            </w:r>
            <w:r w:rsidRPr="00BB076F">
              <w:rPr>
                <w:strike/>
                <w:lang w:val="x-none"/>
              </w:rPr>
              <w:t>a single</w:t>
            </w:r>
            <w:r w:rsidRPr="00BB076F">
              <w:rPr>
                <w:lang w:val="x-none"/>
              </w:rPr>
              <w:t xml:space="preserve"> </w:t>
            </w:r>
            <w:proofErr w:type="spellStart"/>
            <w:r w:rsidRPr="00BB076F">
              <w:rPr>
                <w:lang w:val="x-none"/>
              </w:rPr>
              <w:t>batter</w:t>
            </w:r>
            <w:r w:rsidRPr="00BB076F">
              <w:rPr>
                <w:strike/>
                <w:lang w:val="x-none"/>
              </w:rPr>
              <w:t>y</w:t>
            </w:r>
            <w:r w:rsidRPr="00BB076F">
              <w:rPr>
                <w:u w:val="single"/>
                <w:lang w:val="x-none"/>
              </w:rPr>
              <w:t>ies</w:t>
            </w:r>
            <w:proofErr w:type="spellEnd"/>
            <w:r w:rsidRPr="00BB076F">
              <w:rPr>
                <w:lang w:val="x-none"/>
              </w:rPr>
              <w:t xml:space="preserve"> and for </w:t>
            </w:r>
            <w:r w:rsidRPr="00BB076F">
              <w:rPr>
                <w:strike/>
                <w:lang w:val="x-none"/>
              </w:rPr>
              <w:t>a single item of</w:t>
            </w:r>
            <w:r w:rsidRPr="00BB076F">
              <w:rPr>
                <w:lang w:val="x-none"/>
              </w:rPr>
              <w:t xml:space="preserve"> equipment containing batteries, provided that the general provisions of </w:t>
            </w:r>
            <w:r w:rsidRPr="00BB076F">
              <w:rPr>
                <w:b/>
                <w:lang w:val="x-none"/>
              </w:rPr>
              <w:t>4.1.1</w:t>
            </w:r>
            <w:r w:rsidRPr="00BB076F">
              <w:rPr>
                <w:lang w:val="x-none"/>
              </w:rPr>
              <w:t xml:space="preserve"> and </w:t>
            </w:r>
            <w:r w:rsidRPr="00BB076F">
              <w:rPr>
                <w:b/>
                <w:lang w:val="x-none"/>
              </w:rPr>
              <w:t>4.1.3</w:t>
            </w:r>
            <w:r w:rsidRPr="00BB076F">
              <w:rPr>
                <w:lang w:val="x-none"/>
              </w:rPr>
              <w:t xml:space="preserve"> are met:</w:t>
            </w:r>
          </w:p>
          <w:p w14:paraId="60B941E3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262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 xml:space="preserve">Rigid large </w:t>
            </w:r>
            <w:proofErr w:type="spellStart"/>
            <w:r w:rsidRPr="00BB076F">
              <w:rPr>
                <w:lang w:val="x-none"/>
              </w:rPr>
              <w:t>packagings</w:t>
            </w:r>
            <w:proofErr w:type="spellEnd"/>
            <w:r w:rsidRPr="00BB076F">
              <w:rPr>
                <w:lang w:val="x-none"/>
              </w:rPr>
              <w:t xml:space="preserve"> conforming to the packing group II performance level, made of:</w:t>
            </w:r>
          </w:p>
        </w:tc>
      </w:tr>
      <w:tr w:rsidR="00445E8D" w:rsidRPr="00BB076F" w14:paraId="4F704D26" w14:textId="77777777" w:rsidTr="009F6BE5">
        <w:trPr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B343A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1134" w:right="1134"/>
              <w:jc w:val="both"/>
              <w:rPr>
                <w:lang w:val="x-none"/>
              </w:rPr>
            </w:pPr>
          </w:p>
        </w:tc>
        <w:tc>
          <w:tcPr>
            <w:tcW w:w="78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9F5BBA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331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steel (50A);</w:t>
            </w:r>
          </w:p>
          <w:p w14:paraId="0C8ED36D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331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aluminium (50B);</w:t>
            </w:r>
          </w:p>
          <w:p w14:paraId="5E51C2CE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331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metal other than steel or aluminium (50N);</w:t>
            </w:r>
          </w:p>
          <w:p w14:paraId="01AB3A3F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331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rigid plastics (50H);</w:t>
            </w:r>
          </w:p>
          <w:p w14:paraId="20E63B76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331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natural wood (50C);</w:t>
            </w:r>
          </w:p>
          <w:p w14:paraId="3B83D6AA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331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plywood (50D);</w:t>
            </w:r>
          </w:p>
          <w:p w14:paraId="4BCF1C76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331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reconstituted wood (50F);</w:t>
            </w:r>
          </w:p>
          <w:p w14:paraId="6383B980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331" w:right="1134"/>
              <w:jc w:val="both"/>
              <w:rPr>
                <w:lang w:val="x-none"/>
              </w:rPr>
            </w:pPr>
            <w:r w:rsidRPr="00BB076F">
              <w:rPr>
                <w:lang w:val="x-none"/>
              </w:rPr>
              <w:t>rigid fibreboard (50G).</w:t>
            </w:r>
          </w:p>
        </w:tc>
      </w:tr>
      <w:tr w:rsidR="00445E8D" w:rsidRPr="00BB076F" w14:paraId="6D30381C" w14:textId="77777777" w:rsidTr="009F6BE5">
        <w:trPr>
          <w:jc w:val="center"/>
        </w:trPr>
        <w:tc>
          <w:tcPr>
            <w:tcW w:w="8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88FE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262" w:right="354"/>
              <w:jc w:val="both"/>
              <w:rPr>
                <w:lang w:val="x-none"/>
              </w:rPr>
            </w:pPr>
            <w:r w:rsidRPr="00BB076F">
              <w:rPr>
                <w:strike/>
                <w:lang w:val="x-none"/>
              </w:rPr>
              <w:t>The</w:t>
            </w:r>
            <w:r w:rsidRPr="00BB076F">
              <w:rPr>
                <w:lang w:val="x-none"/>
              </w:rPr>
              <w:t xml:space="preserve"> </w:t>
            </w:r>
            <w:r w:rsidRPr="00BB076F">
              <w:t>C</w:t>
            </w:r>
            <w:r w:rsidRPr="00BB076F">
              <w:rPr>
                <w:u w:val="single"/>
              </w:rPr>
              <w:t xml:space="preserve">ells, </w:t>
            </w:r>
            <w:proofErr w:type="spellStart"/>
            <w:r w:rsidRPr="00BB076F">
              <w:rPr>
                <w:lang w:val="x-none"/>
              </w:rPr>
              <w:t>batter</w:t>
            </w:r>
            <w:r w:rsidRPr="00BB076F">
              <w:rPr>
                <w:strike/>
                <w:lang w:val="x-none"/>
              </w:rPr>
              <w:t>y</w:t>
            </w:r>
            <w:r w:rsidRPr="00BB076F">
              <w:t>ies</w:t>
            </w:r>
            <w:proofErr w:type="spellEnd"/>
            <w:r w:rsidRPr="00BB076F">
              <w:rPr>
                <w:lang w:val="x-none"/>
              </w:rPr>
              <w:t xml:space="preserve"> or </w:t>
            </w:r>
            <w:r w:rsidRPr="00BB076F">
              <w:rPr>
                <w:strike/>
                <w:lang w:val="x-none"/>
              </w:rPr>
              <w:t xml:space="preserve">the </w:t>
            </w:r>
            <w:r w:rsidRPr="00BB076F">
              <w:rPr>
                <w:lang w:val="x-none"/>
              </w:rPr>
              <w:t xml:space="preserve">equipment shall be </w:t>
            </w:r>
            <w:r w:rsidRPr="00BB076F">
              <w:rPr>
                <w:u w:val="single"/>
              </w:rPr>
              <w:t>placed</w:t>
            </w:r>
            <w:r w:rsidRPr="00BB076F">
              <w:rPr>
                <w:u w:val="single"/>
                <w:lang w:val="x-none"/>
              </w:rPr>
              <w:t xml:space="preserve"> in inner packaging </w:t>
            </w:r>
            <w:r w:rsidRPr="00BB076F">
              <w:rPr>
                <w:u w:val="single"/>
              </w:rPr>
              <w:t xml:space="preserve">that completely enclose and separate them </w:t>
            </w:r>
            <w:r w:rsidRPr="00BB076F">
              <w:rPr>
                <w:u w:val="single"/>
                <w:lang w:val="x-none"/>
              </w:rPr>
              <w:t xml:space="preserve">to ensure </w:t>
            </w:r>
            <w:r w:rsidRPr="00BB076F">
              <w:rPr>
                <w:strike/>
                <w:lang w:val="x-none"/>
              </w:rPr>
              <w:t>packed so that the</w:t>
            </w:r>
            <w:r w:rsidRPr="00BB076F">
              <w:rPr>
                <w:u w:val="single"/>
              </w:rPr>
              <w:t xml:space="preserve"> </w:t>
            </w:r>
            <w:r w:rsidRPr="00BB076F">
              <w:rPr>
                <w:strike/>
                <w:lang w:val="x-none"/>
              </w:rPr>
              <w:t>battery or the equipment is</w:t>
            </w:r>
            <w:r w:rsidRPr="00BB076F">
              <w:rPr>
                <w:lang w:val="x-none"/>
              </w:rPr>
              <w:t xml:space="preserve"> </w:t>
            </w:r>
            <w:proofErr w:type="spellStart"/>
            <w:r w:rsidRPr="00BB076F">
              <w:rPr>
                <w:u w:val="single"/>
                <w:lang w:val="x-none"/>
              </w:rPr>
              <w:t>protect</w:t>
            </w:r>
            <w:r w:rsidRPr="00BB076F">
              <w:rPr>
                <w:strike/>
                <w:u w:val="single"/>
                <w:lang w:val="x-none"/>
              </w:rPr>
              <w:t>ed</w:t>
            </w:r>
            <w:r w:rsidRPr="00BB076F">
              <w:rPr>
                <w:u w:val="single"/>
              </w:rPr>
              <w:t>ion</w:t>
            </w:r>
            <w:proofErr w:type="spellEnd"/>
            <w:r w:rsidRPr="00BB076F">
              <w:rPr>
                <w:lang w:val="x-none"/>
              </w:rPr>
              <w:t xml:space="preserve"> against damage that may be caused by </w:t>
            </w:r>
            <w:r w:rsidRPr="00BB076F">
              <w:rPr>
                <w:strike/>
                <w:lang w:val="x-none"/>
              </w:rPr>
              <w:t>its</w:t>
            </w:r>
            <w:r w:rsidRPr="00BB076F">
              <w:rPr>
                <w:lang w:val="x-none"/>
              </w:rPr>
              <w:t xml:space="preserve"> movement o</w:t>
            </w:r>
            <w:r w:rsidRPr="00BB076F">
              <w:t>r</w:t>
            </w:r>
            <w:r w:rsidRPr="00BB076F">
              <w:rPr>
                <w:lang w:val="x-none"/>
              </w:rPr>
              <w:t xml:space="preserve"> placement within the large packaging.</w:t>
            </w:r>
          </w:p>
        </w:tc>
      </w:tr>
      <w:tr w:rsidR="00445E8D" w:rsidRPr="00BB076F" w14:paraId="32366018" w14:textId="77777777" w:rsidTr="009F6BE5">
        <w:trPr>
          <w:jc w:val="center"/>
        </w:trPr>
        <w:tc>
          <w:tcPr>
            <w:tcW w:w="8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8115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262" w:right="1134"/>
              <w:jc w:val="both"/>
              <w:rPr>
                <w:b/>
                <w:lang w:val="x-none"/>
              </w:rPr>
            </w:pPr>
            <w:r w:rsidRPr="00BB076F">
              <w:rPr>
                <w:b/>
                <w:lang w:val="x-none"/>
              </w:rPr>
              <w:t>Additional requirement</w:t>
            </w:r>
            <w:r w:rsidRPr="00BB076F">
              <w:rPr>
                <w:b/>
              </w:rPr>
              <w:t>s</w:t>
            </w:r>
            <w:r w:rsidRPr="00BB076F">
              <w:rPr>
                <w:b/>
                <w:lang w:val="x-none"/>
              </w:rPr>
              <w:t>:</w:t>
            </w:r>
          </w:p>
          <w:p w14:paraId="1895E6A9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262" w:right="1134"/>
              <w:jc w:val="both"/>
            </w:pPr>
            <w:r w:rsidRPr="00BB076F">
              <w:rPr>
                <w:u w:val="single"/>
              </w:rPr>
              <w:t xml:space="preserve">Cells and </w:t>
            </w:r>
            <w:r w:rsidRPr="00BB076F">
              <w:t xml:space="preserve">batteries </w:t>
            </w:r>
            <w:r w:rsidRPr="00BB076F">
              <w:rPr>
                <w:lang w:val="x-none"/>
              </w:rPr>
              <w:t>shall be protected against short circuit.</w:t>
            </w:r>
            <w:r w:rsidRPr="00BB076F">
              <w:t xml:space="preserve"> </w:t>
            </w:r>
          </w:p>
          <w:p w14:paraId="49BEA7C0" w14:textId="77777777" w:rsidR="00445E8D" w:rsidRPr="00BB076F" w:rsidRDefault="00445E8D" w:rsidP="00B34AD8">
            <w:pPr>
              <w:keepNext/>
              <w:keepLines/>
              <w:kinsoku/>
              <w:overflowPunct/>
              <w:autoSpaceDE/>
              <w:autoSpaceDN/>
              <w:adjustRightInd/>
              <w:snapToGrid/>
              <w:spacing w:after="120"/>
              <w:ind w:left="262" w:right="354"/>
              <w:jc w:val="both"/>
              <w:rPr>
                <w:u w:val="single"/>
              </w:rPr>
            </w:pPr>
            <w:r w:rsidRPr="00BB076F">
              <w:rPr>
                <w:u w:val="single"/>
              </w:rPr>
              <w:t>The large packaging shall only be used to transport cell, battery, or equipment designs the packaging was originally designed and tested to accommodate.</w:t>
            </w:r>
          </w:p>
        </w:tc>
      </w:tr>
    </w:tbl>
    <w:p w14:paraId="63DF7E0B" w14:textId="4DA935F1" w:rsidR="00C9141D" w:rsidRPr="001100CD" w:rsidRDefault="001100CD" w:rsidP="001100C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9141D" w:rsidRPr="001100CD" w:rsidSect="00993D7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E7D0" w14:textId="77777777" w:rsidR="00A710AA" w:rsidRPr="00C47B2E" w:rsidRDefault="00A710AA" w:rsidP="00C47B2E">
      <w:pPr>
        <w:pStyle w:val="Footer"/>
      </w:pPr>
    </w:p>
  </w:endnote>
  <w:endnote w:type="continuationSeparator" w:id="0">
    <w:p w14:paraId="48ADBDB5" w14:textId="77777777" w:rsidR="00A710AA" w:rsidRPr="00C47B2E" w:rsidRDefault="00A710AA" w:rsidP="00C47B2E">
      <w:pPr>
        <w:pStyle w:val="Footer"/>
      </w:pPr>
    </w:p>
  </w:endnote>
  <w:endnote w:type="continuationNotice" w:id="1">
    <w:p w14:paraId="3FD94FA8" w14:textId="77777777" w:rsidR="00A710AA" w:rsidRPr="00C47B2E" w:rsidRDefault="00A710AA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79F5F" w14:textId="4A49B613" w:rsidR="00D94B05" w:rsidRPr="00993D78" w:rsidRDefault="00993D78" w:rsidP="00993D78">
    <w:pPr>
      <w:pStyle w:val="Footer"/>
      <w:tabs>
        <w:tab w:val="right" w:pos="9598"/>
        <w:tab w:val="right" w:pos="9638"/>
      </w:tabs>
      <w:rPr>
        <w:sz w:val="18"/>
      </w:rPr>
    </w:pPr>
    <w:r w:rsidRPr="00993D78">
      <w:rPr>
        <w:b/>
        <w:sz w:val="18"/>
      </w:rPr>
      <w:fldChar w:fldCharType="begin"/>
    </w:r>
    <w:r w:rsidRPr="00993D78">
      <w:rPr>
        <w:b/>
        <w:sz w:val="18"/>
      </w:rPr>
      <w:instrText xml:space="preserve"> PAGE  \* MERGEFORMAT </w:instrText>
    </w:r>
    <w:r w:rsidRPr="00993D78">
      <w:rPr>
        <w:b/>
        <w:sz w:val="18"/>
      </w:rPr>
      <w:fldChar w:fldCharType="separate"/>
    </w:r>
    <w:r w:rsidRPr="00993D78">
      <w:rPr>
        <w:b/>
        <w:noProof/>
        <w:sz w:val="18"/>
      </w:rPr>
      <w:t>2</w:t>
    </w:r>
    <w:r w:rsidRPr="00993D7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3DCE6" w14:textId="2FB86F2F" w:rsidR="00D94B05" w:rsidRPr="00993D78" w:rsidRDefault="00993D78" w:rsidP="00993D78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93D78">
      <w:rPr>
        <w:sz w:val="18"/>
      </w:rPr>
      <w:fldChar w:fldCharType="begin"/>
    </w:r>
    <w:r w:rsidRPr="00993D78">
      <w:rPr>
        <w:sz w:val="18"/>
      </w:rPr>
      <w:instrText xml:space="preserve"> PAGE  \* MERGEFORMAT </w:instrText>
    </w:r>
    <w:r w:rsidRPr="00993D78">
      <w:rPr>
        <w:sz w:val="18"/>
      </w:rPr>
      <w:fldChar w:fldCharType="separate"/>
    </w:r>
    <w:r w:rsidRPr="00993D78">
      <w:rPr>
        <w:noProof/>
        <w:sz w:val="18"/>
      </w:rPr>
      <w:t>3</w:t>
    </w:r>
    <w:r w:rsidRPr="00993D78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747F" w14:textId="77777777" w:rsidR="00D94B05" w:rsidRPr="00993D78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5DC1E9C2" wp14:editId="73318DF1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84B37" w14:textId="77777777" w:rsidR="00A710AA" w:rsidRPr="00C47B2E" w:rsidRDefault="00A710AA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03E722E" w14:textId="77777777" w:rsidR="00A710AA" w:rsidRPr="00C47B2E" w:rsidRDefault="00A710AA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5AE3DAF" w14:textId="77777777" w:rsidR="00A710AA" w:rsidRPr="00C47B2E" w:rsidRDefault="00A710AA" w:rsidP="00C47B2E">
      <w:pPr>
        <w:pStyle w:val="Footer"/>
      </w:pPr>
    </w:p>
  </w:footnote>
  <w:footnote w:id="2">
    <w:p w14:paraId="534B7A2C" w14:textId="37F88EB7" w:rsidR="003675BF" w:rsidRPr="003675BF" w:rsidRDefault="003675BF" w:rsidP="003675BF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4AF8" w14:textId="19BE8660" w:rsidR="00993D78" w:rsidRPr="001100CD" w:rsidRDefault="001100CD">
    <w:pPr>
      <w:pStyle w:val="Header"/>
      <w:rPr>
        <w:lang w:val="fr-CH"/>
      </w:rPr>
    </w:pPr>
    <w:r>
      <w:rPr>
        <w:lang w:val="fr-CH"/>
      </w:rPr>
      <w:t>ST/SG/AC.10/C.3/2021/</w:t>
    </w:r>
    <w:r w:rsidR="00402C35">
      <w:rPr>
        <w:lang w:val="fr-CH"/>
      </w:rPr>
      <w:t>54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19B5" w14:textId="408E2A0F" w:rsidR="00D94B05" w:rsidRPr="00993D78" w:rsidRDefault="00FC26A1" w:rsidP="00993D7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ST/SG/AC.10/C.3/2021/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D4A29"/>
    <w:multiLevelType w:val="hybridMultilevel"/>
    <w:tmpl w:val="166CA526"/>
    <w:lvl w:ilvl="0" w:tplc="C5CA6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78"/>
    <w:rsid w:val="00046E92"/>
    <w:rsid w:val="00063C90"/>
    <w:rsid w:val="00085769"/>
    <w:rsid w:val="000B3322"/>
    <w:rsid w:val="000E1DF6"/>
    <w:rsid w:val="00101B98"/>
    <w:rsid w:val="001100CD"/>
    <w:rsid w:val="001514D1"/>
    <w:rsid w:val="00154B17"/>
    <w:rsid w:val="0016402D"/>
    <w:rsid w:val="001E3299"/>
    <w:rsid w:val="002168DB"/>
    <w:rsid w:val="00244E5B"/>
    <w:rsid w:val="00247E2C"/>
    <w:rsid w:val="002A32CB"/>
    <w:rsid w:val="002D5B2C"/>
    <w:rsid w:val="002D6C53"/>
    <w:rsid w:val="002F5226"/>
    <w:rsid w:val="002F5595"/>
    <w:rsid w:val="0030293D"/>
    <w:rsid w:val="00334F6A"/>
    <w:rsid w:val="00342AC8"/>
    <w:rsid w:val="00343302"/>
    <w:rsid w:val="003675BF"/>
    <w:rsid w:val="003979DE"/>
    <w:rsid w:val="003B4550"/>
    <w:rsid w:val="003D2A18"/>
    <w:rsid w:val="00402C35"/>
    <w:rsid w:val="00413386"/>
    <w:rsid w:val="00437213"/>
    <w:rsid w:val="0044565C"/>
    <w:rsid w:val="00445E8D"/>
    <w:rsid w:val="00461253"/>
    <w:rsid w:val="004858F5"/>
    <w:rsid w:val="004A2814"/>
    <w:rsid w:val="004C0622"/>
    <w:rsid w:val="004C7B92"/>
    <w:rsid w:val="005030CD"/>
    <w:rsid w:val="005042C2"/>
    <w:rsid w:val="0058355A"/>
    <w:rsid w:val="005E716E"/>
    <w:rsid w:val="006476E1"/>
    <w:rsid w:val="006604DF"/>
    <w:rsid w:val="00671529"/>
    <w:rsid w:val="0070489D"/>
    <w:rsid w:val="007268F9"/>
    <w:rsid w:val="00750282"/>
    <w:rsid w:val="00764440"/>
    <w:rsid w:val="0077101B"/>
    <w:rsid w:val="007C52B0"/>
    <w:rsid w:val="007C6033"/>
    <w:rsid w:val="007D3637"/>
    <w:rsid w:val="0081380E"/>
    <w:rsid w:val="008147C8"/>
    <w:rsid w:val="0081753A"/>
    <w:rsid w:val="00857D23"/>
    <w:rsid w:val="00937E22"/>
    <w:rsid w:val="009411B4"/>
    <w:rsid w:val="00946F1D"/>
    <w:rsid w:val="00993D78"/>
    <w:rsid w:val="009D0139"/>
    <w:rsid w:val="009D717D"/>
    <w:rsid w:val="009F5CDC"/>
    <w:rsid w:val="00A072D7"/>
    <w:rsid w:val="00A710AA"/>
    <w:rsid w:val="00A775CF"/>
    <w:rsid w:val="00AD1A9C"/>
    <w:rsid w:val="00AF5DE1"/>
    <w:rsid w:val="00B06045"/>
    <w:rsid w:val="00B06103"/>
    <w:rsid w:val="00B206DD"/>
    <w:rsid w:val="00B34AD8"/>
    <w:rsid w:val="00B52EF4"/>
    <w:rsid w:val="00B725F3"/>
    <w:rsid w:val="00B777AD"/>
    <w:rsid w:val="00BB076F"/>
    <w:rsid w:val="00BD5637"/>
    <w:rsid w:val="00C03015"/>
    <w:rsid w:val="00C0358D"/>
    <w:rsid w:val="00C35A27"/>
    <w:rsid w:val="00C47B2E"/>
    <w:rsid w:val="00C81AA9"/>
    <w:rsid w:val="00C846CC"/>
    <w:rsid w:val="00C9141D"/>
    <w:rsid w:val="00C94FB0"/>
    <w:rsid w:val="00D63CD2"/>
    <w:rsid w:val="00D87DC2"/>
    <w:rsid w:val="00D94B05"/>
    <w:rsid w:val="00E02C2B"/>
    <w:rsid w:val="00E21C27"/>
    <w:rsid w:val="00E26BCF"/>
    <w:rsid w:val="00E52109"/>
    <w:rsid w:val="00E5247C"/>
    <w:rsid w:val="00E75317"/>
    <w:rsid w:val="00EC0CE6"/>
    <w:rsid w:val="00EC7C1D"/>
    <w:rsid w:val="00ED6C48"/>
    <w:rsid w:val="00EE3045"/>
    <w:rsid w:val="00F65F5D"/>
    <w:rsid w:val="00F86A3A"/>
    <w:rsid w:val="00FA206B"/>
    <w:rsid w:val="00FA4868"/>
    <w:rsid w:val="00FC26A1"/>
    <w:rsid w:val="00FD7E10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16D577"/>
  <w15:docId w15:val="{A8126B55-4719-40C3-99BD-D6D625B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445E8D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445E8D"/>
  </w:style>
  <w:style w:type="character" w:customStyle="1" w:styleId="H1GChar">
    <w:name w:val="_ H_1_G Char"/>
    <w:link w:val="H1G"/>
    <w:rsid w:val="00445E8D"/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445E8D"/>
    <w:pPr>
      <w:suppressAutoHyphens/>
      <w:spacing w:after="0"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0FA4D6-D89D-4094-9C7C-13F386AA6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3688E-9576-4911-807C-DA5C0813F6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4ED80-5E87-4044-BE99-2B2B5671E79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cccb6d4-dbe5-46d2-b4d3-5733603d8cc6"/>
    <ds:schemaRef ds:uri="http://schemas.openxmlformats.org/package/2006/metadata/core-properties"/>
    <ds:schemaRef ds:uri="4b4a1c0d-4a69-4996-a84a-fc699b9f49de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28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</dc:title>
  <dc:subject/>
  <dc:creator>Laurence BERTHET</dc:creator>
  <cp:lastModifiedBy>Laurence Berthet</cp:lastModifiedBy>
  <cp:revision>29</cp:revision>
  <cp:lastPrinted>2021-09-20T07:11:00Z</cp:lastPrinted>
  <dcterms:created xsi:type="dcterms:W3CDTF">2021-09-07T06:29:00Z</dcterms:created>
  <dcterms:modified xsi:type="dcterms:W3CDTF">2021-09-20T07:11:00Z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