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41B238BD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4367C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8B1E46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51423" w14:textId="545B0E65" w:rsidR="00E52109" w:rsidRDefault="00993D78" w:rsidP="00993D78">
            <w:pPr>
              <w:suppressAutoHyphens w:val="0"/>
              <w:jc w:val="right"/>
            </w:pPr>
            <w:r w:rsidRPr="00993D78">
              <w:rPr>
                <w:sz w:val="40"/>
              </w:rPr>
              <w:t>ST</w:t>
            </w:r>
            <w:r>
              <w:t>/SG/AC.10/C.3/2021/</w:t>
            </w:r>
            <w:r w:rsidR="00DA2976">
              <w:t>53</w:t>
            </w:r>
          </w:p>
        </w:tc>
      </w:tr>
      <w:tr w:rsidR="00E52109" w14:paraId="4E9FBE1E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D378313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1C4F87B" wp14:editId="2C7D8D2E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5AC56A2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EF53607" w14:textId="77777777" w:rsidR="00D94B05" w:rsidRDefault="00993D78" w:rsidP="00993D78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2267A95F" w14:textId="6CE18202" w:rsidR="00993D78" w:rsidRDefault="007110E1" w:rsidP="00993D78">
            <w:pPr>
              <w:suppressAutoHyphens w:val="0"/>
              <w:spacing w:line="240" w:lineRule="exact"/>
            </w:pPr>
            <w:r>
              <w:t xml:space="preserve">20 </w:t>
            </w:r>
            <w:r w:rsidR="00993D78">
              <w:t>September 2021</w:t>
            </w:r>
          </w:p>
          <w:p w14:paraId="158A207D" w14:textId="77777777" w:rsidR="00993D78" w:rsidRDefault="00993D78" w:rsidP="00993D78">
            <w:pPr>
              <w:suppressAutoHyphens w:val="0"/>
              <w:spacing w:line="240" w:lineRule="exact"/>
            </w:pPr>
          </w:p>
          <w:p w14:paraId="3F843987" w14:textId="6F0D2B5B" w:rsidR="00993D78" w:rsidRDefault="00993D78" w:rsidP="00993D78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227B2177" w14:textId="77777777" w:rsidR="00937E22" w:rsidRPr="006500BA" w:rsidRDefault="00937E22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68BF94EA" w14:textId="77777777" w:rsidR="00937E22" w:rsidRPr="006500BA" w:rsidRDefault="00937E22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42825F68" w14:textId="77777777" w:rsidR="00C9141D" w:rsidRPr="006500BA" w:rsidRDefault="00C9141D" w:rsidP="00C9141D">
      <w:pPr>
        <w:spacing w:before="120"/>
        <w:rPr>
          <w:b/>
        </w:rPr>
      </w:pPr>
      <w:r>
        <w:rPr>
          <w:b/>
        </w:rPr>
        <w:t xml:space="preserve">Fifty-ninth </w:t>
      </w:r>
      <w:r w:rsidRPr="006500BA">
        <w:rPr>
          <w:b/>
        </w:rPr>
        <w:t>session</w:t>
      </w:r>
    </w:p>
    <w:p w14:paraId="1E92DE78" w14:textId="0FCBCE0A" w:rsidR="00C9141D" w:rsidRDefault="00C9141D" w:rsidP="00C9141D">
      <w:pPr>
        <w:rPr>
          <w:lang w:val="en-US"/>
        </w:rPr>
      </w:pPr>
      <w:r w:rsidRPr="006500BA">
        <w:t>Geneva,</w:t>
      </w:r>
      <w:r>
        <w:t xml:space="preserve"> 29 November – 8 December 2021</w:t>
      </w:r>
      <w:r>
        <w:br/>
      </w:r>
      <w:r>
        <w:rPr>
          <w:lang w:val="en-US"/>
        </w:rPr>
        <w:t xml:space="preserve">Item </w:t>
      </w:r>
      <w:r w:rsidR="00F670A3">
        <w:rPr>
          <w:lang w:val="en-US"/>
        </w:rPr>
        <w:t>3</w:t>
      </w:r>
      <w:r>
        <w:rPr>
          <w:lang w:val="en-US"/>
        </w:rPr>
        <w:t xml:space="preserve"> of the provisional agenda</w:t>
      </w:r>
    </w:p>
    <w:p w14:paraId="4C4AA8EC" w14:textId="45D2B5FC" w:rsidR="00AF5DE1" w:rsidRDefault="00F670A3" w:rsidP="00C9141D">
      <w:pPr>
        <w:rPr>
          <w:b/>
          <w:lang w:val="en-US"/>
        </w:rPr>
      </w:pPr>
      <w:r w:rsidRPr="00F670A3">
        <w:rPr>
          <w:b/>
        </w:rPr>
        <w:t xml:space="preserve">Listing, </w:t>
      </w:r>
      <w:proofErr w:type="gramStart"/>
      <w:r w:rsidRPr="00F670A3">
        <w:rPr>
          <w:b/>
        </w:rPr>
        <w:t>classification</w:t>
      </w:r>
      <w:proofErr w:type="gramEnd"/>
      <w:r w:rsidRPr="008F4901">
        <w:rPr>
          <w:bCs/>
        </w:rPr>
        <w:t xml:space="preserve"> </w:t>
      </w:r>
      <w:r w:rsidRPr="00F670A3">
        <w:rPr>
          <w:b/>
        </w:rPr>
        <w:t>and packing</w:t>
      </w:r>
    </w:p>
    <w:p w14:paraId="32687ADA" w14:textId="598C79B0" w:rsidR="009D4D68" w:rsidRDefault="009D4D68" w:rsidP="009D4D68">
      <w:pPr>
        <w:pStyle w:val="HChG"/>
        <w:ind w:leftChars="587" w:left="1182" w:hangingChars="3" w:hanging="8"/>
        <w:jc w:val="both"/>
      </w:pPr>
      <w:r w:rsidRPr="00687C8A">
        <w:t xml:space="preserve">Proposal for </w:t>
      </w:r>
      <w:r w:rsidR="0059758F">
        <w:t>e</w:t>
      </w:r>
      <w:r w:rsidRPr="00687C8A">
        <w:t>x</w:t>
      </w:r>
      <w:r w:rsidR="0059758F">
        <w:t>e</w:t>
      </w:r>
      <w:r w:rsidRPr="00687C8A">
        <w:t xml:space="preserve">mption of </w:t>
      </w:r>
      <w:r w:rsidR="0059758F">
        <w:t>m</w:t>
      </w:r>
      <w:r>
        <w:t xml:space="preserve">anufactured </w:t>
      </w:r>
      <w:r w:rsidR="0059758F">
        <w:t>a</w:t>
      </w:r>
      <w:r>
        <w:t>rticles</w:t>
      </w:r>
      <w:r w:rsidRPr="00687C8A">
        <w:t xml:space="preserve"> </w:t>
      </w:r>
      <w:r w:rsidR="0059758F">
        <w:t>c</w:t>
      </w:r>
      <w:r w:rsidRPr="00687C8A">
        <w:t xml:space="preserve">ontaining </w:t>
      </w:r>
      <w:r w:rsidR="0059758F">
        <w:t>s</w:t>
      </w:r>
      <w:r w:rsidRPr="00687C8A">
        <w:t xml:space="preserve">mall </w:t>
      </w:r>
      <w:r w:rsidR="0059758F">
        <w:t>a</w:t>
      </w:r>
      <w:r w:rsidRPr="00687C8A">
        <w:t xml:space="preserve">mounts of </w:t>
      </w:r>
      <w:r>
        <w:t>G</w:t>
      </w:r>
      <w:r w:rsidRPr="00687C8A">
        <w:t>allium</w:t>
      </w:r>
      <w:r>
        <w:t xml:space="preserve"> </w:t>
      </w:r>
      <w:r w:rsidR="009515F5">
        <w:t xml:space="preserve">- </w:t>
      </w:r>
      <w:r>
        <w:t>Update of</w:t>
      </w:r>
      <w:r w:rsidR="009515F5">
        <w:t xml:space="preserve"> document</w:t>
      </w:r>
      <w:r>
        <w:t xml:space="preserve"> ST/SG/AC.10/C.3/2021/17</w:t>
      </w:r>
    </w:p>
    <w:p w14:paraId="37CB53AE" w14:textId="30A253A2" w:rsidR="001D3FED" w:rsidRPr="001D3FED" w:rsidRDefault="001D3FED" w:rsidP="001D3FED">
      <w:pPr>
        <w:pStyle w:val="H1G"/>
        <w:rPr>
          <w:szCs w:val="24"/>
        </w:rPr>
      </w:pPr>
      <w:r>
        <w:tab/>
      </w:r>
      <w:r>
        <w:tab/>
        <w:t>Transmitted by the expert from China</w:t>
      </w:r>
      <w:r w:rsidR="00286DA7">
        <w:rPr>
          <w:rStyle w:val="FootnoteReference"/>
        </w:rPr>
        <w:footnoteReference w:id="2"/>
      </w:r>
    </w:p>
    <w:p w14:paraId="6D3DBCF5" w14:textId="77777777" w:rsidR="009D4D68" w:rsidRPr="005801E9" w:rsidRDefault="009D4D68" w:rsidP="00C925A9">
      <w:pPr>
        <w:pStyle w:val="HChG"/>
        <w:spacing w:before="240"/>
        <w:ind w:left="0" w:firstLine="0"/>
      </w:pPr>
      <w:r w:rsidRPr="005801E9">
        <w:tab/>
      </w:r>
      <w:r w:rsidRPr="005801E9">
        <w:tab/>
      </w:r>
      <w:r>
        <w:t>Introduction</w:t>
      </w:r>
    </w:p>
    <w:p w14:paraId="7486F2F2" w14:textId="279F349F" w:rsidR="009D4D68" w:rsidRDefault="00F5559B" w:rsidP="00F5559B">
      <w:pPr>
        <w:pStyle w:val="SingleTxtG"/>
      </w:pPr>
      <w:r>
        <w:tab/>
        <w:t>1.</w:t>
      </w:r>
      <w:r>
        <w:tab/>
      </w:r>
      <w:r w:rsidR="009D4D68">
        <w:t>At</w:t>
      </w:r>
      <w:r w:rsidR="009D4D68" w:rsidRPr="009352B5">
        <w:t xml:space="preserve"> the </w:t>
      </w:r>
      <w:r>
        <w:t>fifty-eighth</w:t>
      </w:r>
      <w:r w:rsidR="009D4D68" w:rsidRPr="009352B5">
        <w:t xml:space="preserve"> </w:t>
      </w:r>
      <w:r w:rsidR="009D4D68">
        <w:t>session</w:t>
      </w:r>
      <w:r w:rsidR="009D4D68" w:rsidRPr="009352B5">
        <w:t xml:space="preserve"> of </w:t>
      </w:r>
      <w:r>
        <w:t xml:space="preserve">the </w:t>
      </w:r>
      <w:r w:rsidR="009D4D68">
        <w:t>S</w:t>
      </w:r>
      <w:r w:rsidR="009D4D68" w:rsidRPr="009352B5">
        <w:t>ub</w:t>
      </w:r>
      <w:r w:rsidR="009D4D68">
        <w:t>-C</w:t>
      </w:r>
      <w:r w:rsidR="009D4D68" w:rsidRPr="009352B5">
        <w:t xml:space="preserve">ommittee, </w:t>
      </w:r>
      <w:r w:rsidR="007464AB">
        <w:t xml:space="preserve">the </w:t>
      </w:r>
      <w:r w:rsidR="009D4D68" w:rsidRPr="009352B5">
        <w:t xml:space="preserve">expert </w:t>
      </w:r>
      <w:r w:rsidR="009D4D68">
        <w:t xml:space="preserve">from China </w:t>
      </w:r>
      <w:r w:rsidR="009D4D68" w:rsidRPr="009352B5">
        <w:t xml:space="preserve">submitted </w:t>
      </w:r>
      <w:r w:rsidR="007464AB">
        <w:t xml:space="preserve">official </w:t>
      </w:r>
      <w:r w:rsidR="009D4D68" w:rsidRPr="009352B5">
        <w:t xml:space="preserve">document ST/SG/AC.10/C.3/2021/17, proposing to </w:t>
      </w:r>
      <w:r w:rsidR="009D4D68">
        <w:t>amend</w:t>
      </w:r>
      <w:r w:rsidR="009D4D68" w:rsidRPr="009352B5">
        <w:t xml:space="preserve"> </w:t>
      </w:r>
      <w:r w:rsidR="007464AB">
        <w:t xml:space="preserve">special provision </w:t>
      </w:r>
      <w:r w:rsidR="009D4D68">
        <w:t xml:space="preserve">366 to make it </w:t>
      </w:r>
      <w:r w:rsidR="009D4D68" w:rsidRPr="009352B5">
        <w:t xml:space="preserve">also adjust to </w:t>
      </w:r>
      <w:r w:rsidR="009D4D68">
        <w:t>“g</w:t>
      </w:r>
      <w:r w:rsidR="009D4D68" w:rsidRPr="009352B5">
        <w:t xml:space="preserve">allium </w:t>
      </w:r>
      <w:r w:rsidR="009D4D68" w:rsidRPr="00F5559B">
        <w:t>contained</w:t>
      </w:r>
      <w:r w:rsidR="009D4D68" w:rsidRPr="009352B5">
        <w:t xml:space="preserve"> in manufactured articles</w:t>
      </w:r>
      <w:r w:rsidR="009D4D68">
        <w:t xml:space="preserve">”, so that articles containing gallium and meeting relevant requirements </w:t>
      </w:r>
      <w:r w:rsidR="007464AB">
        <w:t>w</w:t>
      </w:r>
      <w:r w:rsidR="009D4D68">
        <w:t>e</w:t>
      </w:r>
      <w:r w:rsidR="007464AB">
        <w:t>re</w:t>
      </w:r>
      <w:r w:rsidR="009D4D68">
        <w:t xml:space="preserve"> </w:t>
      </w:r>
      <w:r w:rsidR="009D4D68" w:rsidRPr="000A003A">
        <w:t>not subject</w:t>
      </w:r>
      <w:r w:rsidR="007464AB">
        <w:t>ed</w:t>
      </w:r>
      <w:r w:rsidR="009D4D68" w:rsidRPr="000A003A">
        <w:t xml:space="preserve"> to the</w:t>
      </w:r>
      <w:r w:rsidR="007464AB">
        <w:t xml:space="preserve"> UN</w:t>
      </w:r>
      <w:r w:rsidR="009D4D68">
        <w:t xml:space="preserve"> </w:t>
      </w:r>
      <w:r w:rsidR="009D4D68" w:rsidRPr="007464AB">
        <w:rPr>
          <w:iCs/>
        </w:rPr>
        <w:t>Model Regulations</w:t>
      </w:r>
      <w:r w:rsidR="009D4D68">
        <w:t>.</w:t>
      </w:r>
    </w:p>
    <w:p w14:paraId="78231623" w14:textId="41BFFEB7" w:rsidR="009D4D68" w:rsidRDefault="00F5559B" w:rsidP="00F5559B">
      <w:pPr>
        <w:pStyle w:val="SingleTxtG"/>
      </w:pPr>
      <w:r>
        <w:tab/>
        <w:t>2.</w:t>
      </w:r>
      <w:r>
        <w:tab/>
      </w:r>
      <w:r w:rsidR="009D4D68">
        <w:rPr>
          <w:rFonts w:hint="eastAsia"/>
        </w:rPr>
        <w:t>G</w:t>
      </w:r>
      <w:r w:rsidR="009D4D68">
        <w:t xml:space="preserve">allium, UN </w:t>
      </w:r>
      <w:r w:rsidR="00DD1A4E">
        <w:t>No.</w:t>
      </w:r>
      <w:r w:rsidR="009D4D68" w:rsidRPr="00E64EEB">
        <w:t xml:space="preserve"> 2803</w:t>
      </w:r>
      <w:r w:rsidR="009D4D68">
        <w:t xml:space="preserve">, </w:t>
      </w:r>
      <w:r w:rsidR="009D4D68" w:rsidRPr="00E64EEB">
        <w:t xml:space="preserve">is a corrosive silver white metal with </w:t>
      </w:r>
      <w:r w:rsidR="00DD1A4E">
        <w:t xml:space="preserve">a </w:t>
      </w:r>
      <w:r w:rsidR="009D4D68" w:rsidRPr="00E64EEB">
        <w:t>low melting point.</w:t>
      </w:r>
      <w:r w:rsidR="009D4D68">
        <w:t xml:space="preserve"> Considering that it is safer and more </w:t>
      </w:r>
      <w:r w:rsidR="009D4D68" w:rsidRPr="00E64EEB">
        <w:t>environmentally friendly</w:t>
      </w:r>
      <w:r w:rsidR="009D4D68">
        <w:t>,</w:t>
      </w:r>
      <w:r w:rsidR="009D4D68" w:rsidRPr="000A003A">
        <w:t xml:space="preserve"> </w:t>
      </w:r>
      <w:r w:rsidR="009D4D68" w:rsidRPr="00E64EEB">
        <w:t xml:space="preserve">this metal and its alloys are </w:t>
      </w:r>
      <w:r w:rsidR="009D4D68">
        <w:t xml:space="preserve">currently </w:t>
      </w:r>
      <w:r w:rsidR="009D4D68" w:rsidRPr="00E64EEB">
        <w:t xml:space="preserve">being </w:t>
      </w:r>
      <w:r w:rsidR="009D4D68">
        <w:t xml:space="preserve">widely </w:t>
      </w:r>
      <w:r w:rsidR="009D4D68" w:rsidRPr="00E64EEB">
        <w:t xml:space="preserve">used </w:t>
      </w:r>
      <w:r w:rsidR="009D4D68">
        <w:t xml:space="preserve">in a variety of </w:t>
      </w:r>
      <w:r w:rsidR="009D4D68" w:rsidRPr="00E64EEB">
        <w:t xml:space="preserve">products </w:t>
      </w:r>
      <w:r w:rsidR="009D4D68">
        <w:t>(</w:t>
      </w:r>
      <w:r w:rsidR="009D4D68" w:rsidRPr="007F18C1">
        <w:t>such as mercury</w:t>
      </w:r>
      <w:r w:rsidR="009D4D68">
        <w:t>-</w:t>
      </w:r>
      <w:r w:rsidR="009D4D68" w:rsidRPr="007F18C1">
        <w:t>free gallium thermometers and gallium</w:t>
      </w:r>
      <w:r w:rsidR="009D4D68">
        <w:t xml:space="preserve"> </w:t>
      </w:r>
      <w:r w:rsidR="009D4D68" w:rsidRPr="007F18C1">
        <w:t>UV lamps</w:t>
      </w:r>
      <w:r w:rsidR="009D4D68">
        <w:t xml:space="preserve">) </w:t>
      </w:r>
      <w:r w:rsidR="009D4D68" w:rsidRPr="00F5559B">
        <w:t>as</w:t>
      </w:r>
      <w:r w:rsidR="009D4D68" w:rsidRPr="00E64EEB">
        <w:t xml:space="preserve"> a substitute </w:t>
      </w:r>
      <w:r w:rsidR="009D4D68">
        <w:t>of mercury</w:t>
      </w:r>
      <w:r w:rsidR="009D4D68" w:rsidRPr="00E64EEB">
        <w:t xml:space="preserve">. According to </w:t>
      </w:r>
      <w:r w:rsidR="009D4D68" w:rsidRPr="00942CBA">
        <w:t>the Model Regulations, mercury</w:t>
      </w:r>
      <w:r w:rsidR="009D4D68" w:rsidRPr="000A003A">
        <w:t xml:space="preserve">-containing articles meeting the requirements in </w:t>
      </w:r>
      <w:r w:rsidR="00C4136E">
        <w:t xml:space="preserve">special provision </w:t>
      </w:r>
      <w:r w:rsidR="009D4D68" w:rsidRPr="000A003A">
        <w:t>366 are not subject to the</w:t>
      </w:r>
      <w:r w:rsidR="009D4D68">
        <w:t xml:space="preserve"> regulations, while there is no special provision to exempt manufactured articles containing small amounts of gallium.</w:t>
      </w:r>
    </w:p>
    <w:p w14:paraId="75153007" w14:textId="23E042CB" w:rsidR="009D4D68" w:rsidRDefault="00F5559B" w:rsidP="00F5559B">
      <w:pPr>
        <w:pStyle w:val="SingleTxtG"/>
      </w:pPr>
      <w:r>
        <w:tab/>
        <w:t>3.</w:t>
      </w:r>
      <w:r>
        <w:tab/>
      </w:r>
      <w:r w:rsidR="009D4D68" w:rsidRPr="00C126DB">
        <w:t xml:space="preserve">During the discussion </w:t>
      </w:r>
      <w:r w:rsidR="009D4D68">
        <w:t xml:space="preserve">at </w:t>
      </w:r>
      <w:r w:rsidR="00E427CF">
        <w:t>that</w:t>
      </w:r>
      <w:r w:rsidR="009D4D68">
        <w:t xml:space="preserve"> session</w:t>
      </w:r>
      <w:r w:rsidR="009D4D68" w:rsidRPr="00C126DB">
        <w:t xml:space="preserve">, most experts who spoke </w:t>
      </w:r>
      <w:r w:rsidR="009D4D68">
        <w:t>showed</w:t>
      </w:r>
      <w:r w:rsidR="009D4D68" w:rsidRPr="00C126DB">
        <w:t xml:space="preserve"> </w:t>
      </w:r>
      <w:r w:rsidR="009D4D68">
        <w:t>no</w:t>
      </w:r>
      <w:r w:rsidR="009D4D68" w:rsidRPr="00C126DB">
        <w:t xml:space="preserve"> </w:t>
      </w:r>
      <w:r w:rsidR="009D4D68">
        <w:t>opposition</w:t>
      </w:r>
      <w:r w:rsidR="009D4D68" w:rsidRPr="00C126DB">
        <w:t xml:space="preserve"> to the principle of this proposal. However, on the </w:t>
      </w:r>
      <w:r w:rsidR="009D4D68">
        <w:t>proposed options for amendments</w:t>
      </w:r>
      <w:r w:rsidR="009D4D68" w:rsidRPr="00C126DB">
        <w:t xml:space="preserve">, </w:t>
      </w:r>
      <w:r w:rsidR="009D4D68">
        <w:t>agreement was not reached.</w:t>
      </w:r>
      <w:r w:rsidR="009D4D68" w:rsidRPr="00C126DB">
        <w:t xml:space="preserve"> </w:t>
      </w:r>
      <w:r w:rsidR="009D4D68">
        <w:t>E</w:t>
      </w:r>
      <w:r w:rsidR="009D4D68" w:rsidRPr="00C126DB">
        <w:t xml:space="preserve">xperts gave many </w:t>
      </w:r>
      <w:r w:rsidR="009D4D68">
        <w:t>valuable</w:t>
      </w:r>
      <w:r w:rsidR="009D4D68" w:rsidRPr="00C126DB">
        <w:t xml:space="preserve"> </w:t>
      </w:r>
      <w:r w:rsidR="009D4D68">
        <w:t>comments on issues including</w:t>
      </w:r>
      <w:r w:rsidR="009D4D68" w:rsidRPr="00C126DB">
        <w:t xml:space="preserve"> whether it is necessary to </w:t>
      </w:r>
      <w:r w:rsidR="009D4D68">
        <w:t>introduce</w:t>
      </w:r>
      <w:r w:rsidR="009D4D68" w:rsidRPr="00C126DB">
        <w:t xml:space="preserve"> </w:t>
      </w:r>
      <w:r w:rsidR="009D4D68">
        <w:t xml:space="preserve">a new </w:t>
      </w:r>
      <w:r w:rsidR="009D4D68" w:rsidRPr="00C126DB">
        <w:t xml:space="preserve">UN number, whether the special packaging provision </w:t>
      </w:r>
      <w:r w:rsidR="009D4D68">
        <w:t>PP</w:t>
      </w:r>
      <w:r w:rsidR="009D4D68" w:rsidRPr="00C126DB">
        <w:t xml:space="preserve">41 </w:t>
      </w:r>
      <w:r w:rsidR="009D4D68">
        <w:t>referring to</w:t>
      </w:r>
      <w:r w:rsidR="009D4D68" w:rsidRPr="00C126DB">
        <w:t xml:space="preserve"> dry ice should be introduced for gallium contained in </w:t>
      </w:r>
      <w:r w:rsidR="009D4D68">
        <w:t>manufactured articles</w:t>
      </w:r>
      <w:r w:rsidR="009D4D68" w:rsidRPr="00C126DB">
        <w:t>, whether the</w:t>
      </w:r>
      <w:r w:rsidR="009D4D68">
        <w:t xml:space="preserve"> requirements</w:t>
      </w:r>
      <w:r w:rsidR="009D4D68" w:rsidRPr="00C126DB">
        <w:t xml:space="preserve"> </w:t>
      </w:r>
      <w:r w:rsidR="009D4D68">
        <w:t>to exempt</w:t>
      </w:r>
      <w:r w:rsidR="009D4D68" w:rsidRPr="00C126DB">
        <w:t xml:space="preserve"> </w:t>
      </w:r>
      <w:r w:rsidR="009D4D68">
        <w:t>articles</w:t>
      </w:r>
      <w:r w:rsidR="009D4D68" w:rsidRPr="00C126DB">
        <w:t xml:space="preserve"> containing mercury and gallium in </w:t>
      </w:r>
      <w:r w:rsidR="009D4D68">
        <w:t>special provision A</w:t>
      </w:r>
      <w:r w:rsidR="009D4D68" w:rsidRPr="00C126DB">
        <w:t xml:space="preserve">69 </w:t>
      </w:r>
      <w:r w:rsidR="009D4D68">
        <w:t>of</w:t>
      </w:r>
      <w:r w:rsidR="009D4D68" w:rsidRPr="00C126DB">
        <w:t xml:space="preserve"> the</w:t>
      </w:r>
      <w:r w:rsidR="009D4D68" w:rsidRPr="005238C1">
        <w:rPr>
          <w:i/>
        </w:rPr>
        <w:t xml:space="preserve"> </w:t>
      </w:r>
      <w:r w:rsidR="009D4D68" w:rsidRPr="00D6783C">
        <w:rPr>
          <w:iCs/>
        </w:rPr>
        <w:t xml:space="preserve">Technical Instructions </w:t>
      </w:r>
      <w:r w:rsidR="00D6783C">
        <w:rPr>
          <w:iCs/>
        </w:rPr>
        <w:t xml:space="preserve">of the </w:t>
      </w:r>
      <w:r w:rsidR="00956588" w:rsidRPr="00D6783C">
        <w:rPr>
          <w:iCs/>
        </w:rPr>
        <w:t>International Civil Aviation Organization</w:t>
      </w:r>
      <w:r w:rsidR="00D6783C">
        <w:rPr>
          <w:iCs/>
        </w:rPr>
        <w:t xml:space="preserve"> (ICAO) </w:t>
      </w:r>
      <w:r w:rsidR="009D4D68" w:rsidRPr="00D6783C">
        <w:rPr>
          <w:iCs/>
        </w:rPr>
        <w:t xml:space="preserve">should be introduced into the </w:t>
      </w:r>
      <w:r w:rsidR="00D6783C">
        <w:rPr>
          <w:iCs/>
        </w:rPr>
        <w:t xml:space="preserve">UN </w:t>
      </w:r>
      <w:r w:rsidR="009D4D68" w:rsidRPr="00D6783C">
        <w:rPr>
          <w:iCs/>
        </w:rPr>
        <w:t>Model Regulations, etc.</w:t>
      </w:r>
    </w:p>
    <w:p w14:paraId="48E06B5D" w14:textId="0432BE3A" w:rsidR="009D4D68" w:rsidRDefault="00F5559B" w:rsidP="00F5559B">
      <w:pPr>
        <w:pStyle w:val="SingleTxtG"/>
      </w:pPr>
      <w:r>
        <w:t>4.</w:t>
      </w:r>
      <w:r>
        <w:tab/>
      </w:r>
      <w:r w:rsidR="009D4D68" w:rsidRPr="005238C1">
        <w:t xml:space="preserve">After </w:t>
      </w:r>
      <w:r w:rsidR="009D4D68" w:rsidRPr="00F5559B">
        <w:t>considering</w:t>
      </w:r>
      <w:r w:rsidR="009D4D68" w:rsidRPr="005238C1">
        <w:t xml:space="preserve"> the feedback</w:t>
      </w:r>
      <w:r w:rsidR="009B6202">
        <w:t xml:space="preserve"> received</w:t>
      </w:r>
      <w:r w:rsidR="009D4D68" w:rsidRPr="005238C1">
        <w:t xml:space="preserve"> </w:t>
      </w:r>
      <w:r w:rsidR="007E4493">
        <w:t>during th</w:t>
      </w:r>
      <w:r w:rsidR="009B6202">
        <w:t>at</w:t>
      </w:r>
      <w:r w:rsidR="009D4D68">
        <w:t xml:space="preserve"> session</w:t>
      </w:r>
      <w:r w:rsidR="009D4D68" w:rsidRPr="005238C1">
        <w:t xml:space="preserve">, experts </w:t>
      </w:r>
      <w:r w:rsidR="009D4D68">
        <w:t xml:space="preserve">from China </w:t>
      </w:r>
      <w:r w:rsidR="009D4D68" w:rsidRPr="005238C1">
        <w:t>submitted this updated</w:t>
      </w:r>
      <w:r w:rsidR="009D4D68">
        <w:t xml:space="preserve"> working document</w:t>
      </w:r>
      <w:r w:rsidR="009D4D68" w:rsidRPr="005238C1">
        <w:t xml:space="preserve"> to the </w:t>
      </w:r>
      <w:r w:rsidR="00B51B2F">
        <w:t>fifty-ninth</w:t>
      </w:r>
      <w:r w:rsidR="009D4D68" w:rsidRPr="005238C1">
        <w:t xml:space="preserve"> </w:t>
      </w:r>
      <w:r w:rsidR="009D4D68">
        <w:t>session</w:t>
      </w:r>
      <w:r w:rsidR="009D4D68" w:rsidRPr="005238C1">
        <w:t xml:space="preserve"> of </w:t>
      </w:r>
      <w:r w:rsidR="009D4D68">
        <w:t>S</w:t>
      </w:r>
      <w:r w:rsidR="009D4D68" w:rsidRPr="005238C1">
        <w:t>ub</w:t>
      </w:r>
      <w:r w:rsidR="009D4D68">
        <w:t>-C</w:t>
      </w:r>
      <w:r w:rsidR="009D4D68" w:rsidRPr="005238C1">
        <w:t>ommittee.</w:t>
      </w:r>
    </w:p>
    <w:p w14:paraId="64839B23" w14:textId="257CDD70" w:rsidR="009D4D68" w:rsidRDefault="00F5559B" w:rsidP="00F5559B">
      <w:pPr>
        <w:pStyle w:val="SingleTxtG"/>
      </w:pPr>
      <w:r>
        <w:t>5.</w:t>
      </w:r>
      <w:r>
        <w:tab/>
      </w:r>
      <w:r w:rsidR="009D4D68" w:rsidRPr="000F2CEF">
        <w:t xml:space="preserve">This document contains two options. Option 1 is to add the entry </w:t>
      </w:r>
      <w:r w:rsidR="009D4D68">
        <w:t>GALLIUM CONTAINED IN</w:t>
      </w:r>
      <w:r w:rsidR="009D4D68">
        <w:rPr>
          <w:rFonts w:hint="eastAsia"/>
        </w:rPr>
        <w:t xml:space="preserve"> </w:t>
      </w:r>
      <w:r w:rsidR="009D4D68">
        <w:t>MANUFACTURED ARTICLES</w:t>
      </w:r>
      <w:r w:rsidR="009D4D68" w:rsidRPr="000F2CEF">
        <w:t xml:space="preserve"> and </w:t>
      </w:r>
      <w:r w:rsidR="009D4D68">
        <w:t>amend</w:t>
      </w:r>
      <w:r w:rsidR="00774E29">
        <w:t xml:space="preserve"> special provision </w:t>
      </w:r>
      <w:r w:rsidR="009D4D68" w:rsidRPr="000F2CEF">
        <w:t xml:space="preserve">366 </w:t>
      </w:r>
      <w:r w:rsidR="00774E29">
        <w:t>for</w:t>
      </w:r>
      <w:r w:rsidR="009D4D68" w:rsidRPr="000F2CEF">
        <w:t xml:space="preserve"> this </w:t>
      </w:r>
      <w:r w:rsidR="009D4D68" w:rsidRPr="000F2CEF">
        <w:lastRenderedPageBreak/>
        <w:t xml:space="preserve">entry. Option 2 is to </w:t>
      </w:r>
      <w:r w:rsidR="009D4D68">
        <w:t>introduce</w:t>
      </w:r>
      <w:r w:rsidR="009D4D68" w:rsidRPr="000F2CEF">
        <w:t xml:space="preserve"> </w:t>
      </w:r>
      <w:r w:rsidR="009D4D68">
        <w:t xml:space="preserve">a new special provision </w:t>
      </w:r>
      <w:r w:rsidR="009D4D68" w:rsidRPr="000F2CEF">
        <w:t xml:space="preserve">to the </w:t>
      </w:r>
      <w:r w:rsidR="009D4D68">
        <w:t xml:space="preserve">current </w:t>
      </w:r>
      <w:r w:rsidR="009D4D68" w:rsidRPr="000F2CEF">
        <w:t xml:space="preserve">entry of </w:t>
      </w:r>
      <w:r w:rsidR="009D4D68">
        <w:t>UN</w:t>
      </w:r>
      <w:r w:rsidR="004B721F">
        <w:t xml:space="preserve"> </w:t>
      </w:r>
      <w:r w:rsidR="00D03CE2">
        <w:t xml:space="preserve">No. </w:t>
      </w:r>
      <w:r w:rsidR="009D4D68" w:rsidRPr="000F2CEF">
        <w:t>2803</w:t>
      </w:r>
      <w:r w:rsidR="009D4D68">
        <w:t>, GALLIUM,</w:t>
      </w:r>
      <w:r w:rsidR="009D4D68" w:rsidRPr="000F2CEF">
        <w:t xml:space="preserve"> to exempt the articles </w:t>
      </w:r>
      <w:r w:rsidR="009D4D68">
        <w:t>meeting the requirements in the new special provision</w:t>
      </w:r>
      <w:r w:rsidR="009D4D68" w:rsidRPr="000F2CEF">
        <w:t>, while articles containing gallium</w:t>
      </w:r>
      <w:r w:rsidR="009D4D68">
        <w:t xml:space="preserve"> </w:t>
      </w:r>
      <w:r w:rsidR="009D4D68" w:rsidRPr="000F2CEF">
        <w:t xml:space="preserve">that do not meet the </w:t>
      </w:r>
      <w:r w:rsidR="009D4D68">
        <w:t>requirements</w:t>
      </w:r>
      <w:r w:rsidR="009D4D68" w:rsidRPr="000F2CEF">
        <w:t xml:space="preserve"> </w:t>
      </w:r>
      <w:r w:rsidR="009D4D68">
        <w:t>should be</w:t>
      </w:r>
      <w:r w:rsidR="009D4D68" w:rsidRPr="000F2CEF">
        <w:t xml:space="preserve"> transported </w:t>
      </w:r>
      <w:r w:rsidR="009D4D68">
        <w:t>under</w:t>
      </w:r>
      <w:r w:rsidR="009D4D68" w:rsidRPr="000F2CEF">
        <w:t xml:space="preserve"> </w:t>
      </w:r>
      <w:r w:rsidR="009D4D68">
        <w:t>UN</w:t>
      </w:r>
      <w:r w:rsidR="004B721F">
        <w:t xml:space="preserve"> </w:t>
      </w:r>
      <w:r w:rsidR="00D03CE2">
        <w:t xml:space="preserve">No. </w:t>
      </w:r>
      <w:r w:rsidR="009D4D68" w:rsidRPr="000F2CEF">
        <w:t xml:space="preserve">3363 or </w:t>
      </w:r>
      <w:r w:rsidR="009D4D68">
        <w:t>UN</w:t>
      </w:r>
      <w:r w:rsidR="004B721F">
        <w:t xml:space="preserve"> </w:t>
      </w:r>
      <w:r w:rsidR="00D03CE2">
        <w:t xml:space="preserve">No. </w:t>
      </w:r>
      <w:r w:rsidR="009D4D68" w:rsidRPr="000F2CEF">
        <w:t>3547.</w:t>
      </w:r>
    </w:p>
    <w:p w14:paraId="36987376" w14:textId="409D3885" w:rsidR="00861A87" w:rsidRDefault="00861A87" w:rsidP="00C925A9">
      <w:pPr>
        <w:pStyle w:val="HChG"/>
        <w:spacing w:before="240"/>
        <w:ind w:left="0" w:firstLine="0"/>
      </w:pPr>
      <w:r>
        <w:tab/>
      </w:r>
      <w:r>
        <w:tab/>
      </w:r>
      <w:r w:rsidRPr="00861A87">
        <w:rPr>
          <w:rFonts w:hint="eastAsia"/>
        </w:rPr>
        <w:t>P</w:t>
      </w:r>
      <w:r w:rsidRPr="00861A87">
        <w:t>roposal</w:t>
      </w:r>
    </w:p>
    <w:p w14:paraId="119237CF" w14:textId="7C7F7CFC" w:rsidR="00861A87" w:rsidRDefault="00861A87" w:rsidP="00861A87">
      <w:pPr>
        <w:pStyle w:val="SingleTxtG"/>
      </w:pPr>
      <w:r>
        <w:tab/>
        <w:t>6.</w:t>
      </w:r>
      <w:r>
        <w:tab/>
      </w:r>
      <w:r w:rsidR="00236F84">
        <w:t>China proposes t</w:t>
      </w:r>
      <w:r w:rsidRPr="00A67515">
        <w:t xml:space="preserve">wo options </w:t>
      </w:r>
      <w:r>
        <w:t xml:space="preserve">to </w:t>
      </w:r>
      <w:r>
        <w:rPr>
          <w:rFonts w:hint="eastAsia"/>
        </w:rPr>
        <w:t>ad</w:t>
      </w:r>
      <w:r>
        <w:t>dress e</w:t>
      </w:r>
      <w:r w:rsidRPr="0010423E">
        <w:t xml:space="preserve">xemption of </w:t>
      </w:r>
      <w:r>
        <w:t>m</w:t>
      </w:r>
      <w:r w:rsidRPr="0010423E">
        <w:t xml:space="preserve">anufactured </w:t>
      </w:r>
      <w:r>
        <w:t>a</w:t>
      </w:r>
      <w:r w:rsidRPr="0010423E">
        <w:t xml:space="preserve">rticles </w:t>
      </w:r>
      <w:r>
        <w:t>c</w:t>
      </w:r>
      <w:r w:rsidRPr="0010423E">
        <w:t xml:space="preserve">ontaining </w:t>
      </w:r>
      <w:r>
        <w:t>s</w:t>
      </w:r>
      <w:r w:rsidRPr="0010423E">
        <w:t xml:space="preserve">mall </w:t>
      </w:r>
      <w:r>
        <w:t>a</w:t>
      </w:r>
      <w:r w:rsidRPr="0010423E">
        <w:t xml:space="preserve">mounts of </w:t>
      </w:r>
      <w:r>
        <w:t>g</w:t>
      </w:r>
      <w:r w:rsidRPr="0010423E">
        <w:t>allium</w:t>
      </w:r>
      <w:r w:rsidR="000F3D9E">
        <w:t xml:space="preserve"> </w:t>
      </w:r>
      <w:r w:rsidR="000F3D9E" w:rsidRPr="000F3D9E">
        <w:t xml:space="preserve">(new text is bold and underlined, deleted text is </w:t>
      </w:r>
      <w:proofErr w:type="gramStart"/>
      <w:r w:rsidR="000F3D9E" w:rsidRPr="000F3D9E">
        <w:t>stricken-through</w:t>
      </w:r>
      <w:proofErr w:type="gramEnd"/>
      <w:r w:rsidR="000F3D9E" w:rsidRPr="000F3D9E">
        <w:t>)</w:t>
      </w:r>
      <w:r>
        <w:rPr>
          <w:rFonts w:hint="eastAsia"/>
        </w:rPr>
        <w:t>.</w:t>
      </w:r>
    </w:p>
    <w:p w14:paraId="3173ADAF" w14:textId="5F007719" w:rsidR="00861A87" w:rsidRDefault="00861A87" w:rsidP="00DF5B3D">
      <w:pPr>
        <w:pStyle w:val="H1G"/>
        <w:spacing w:before="240"/>
        <w:rPr>
          <w:lang w:val="en-US"/>
        </w:rPr>
      </w:pPr>
      <w:r>
        <w:tab/>
      </w:r>
      <w:r>
        <w:tab/>
      </w:r>
      <w:r>
        <w:rPr>
          <w:rFonts w:hint="eastAsia"/>
        </w:rPr>
        <w:t>O</w:t>
      </w:r>
      <w:r>
        <w:t>ption 1</w:t>
      </w:r>
    </w:p>
    <w:p w14:paraId="3DDACFDE" w14:textId="659028C2" w:rsidR="00861A87" w:rsidRPr="00034DBE" w:rsidRDefault="00956F52" w:rsidP="00956F52">
      <w:pPr>
        <w:pStyle w:val="SingleTxtG"/>
        <w:rPr>
          <w:iCs/>
          <w:lang w:val="en-US"/>
        </w:rPr>
      </w:pPr>
      <w:r>
        <w:rPr>
          <w:lang w:val="en-US"/>
        </w:rPr>
        <w:tab/>
        <w:t>7.</w:t>
      </w:r>
      <w:r>
        <w:rPr>
          <w:lang w:val="en-US"/>
        </w:rPr>
        <w:tab/>
      </w:r>
      <w:r w:rsidR="00236F84">
        <w:rPr>
          <w:lang w:val="en-US"/>
        </w:rPr>
        <w:t xml:space="preserve">It is </w:t>
      </w:r>
      <w:r w:rsidR="00861A87" w:rsidRPr="004534D2">
        <w:rPr>
          <w:lang w:val="en-US"/>
        </w:rPr>
        <w:t>propos</w:t>
      </w:r>
      <w:r w:rsidR="00236F84">
        <w:rPr>
          <w:lang w:val="en-US"/>
        </w:rPr>
        <w:t>ed</w:t>
      </w:r>
      <w:r w:rsidR="00861A87" w:rsidRPr="004534D2">
        <w:rPr>
          <w:lang w:val="en-US"/>
        </w:rPr>
        <w:t xml:space="preserve"> to add </w:t>
      </w:r>
      <w:r w:rsidR="00236F84" w:rsidRPr="004534D2">
        <w:rPr>
          <w:lang w:val="en-US"/>
        </w:rPr>
        <w:t xml:space="preserve">in Chapter 3.2 </w:t>
      </w:r>
      <w:r w:rsidR="00236F84" w:rsidRPr="00956F52">
        <w:t>Dangerous</w:t>
      </w:r>
      <w:r w:rsidR="00236F84" w:rsidRPr="004534D2">
        <w:rPr>
          <w:lang w:val="en-US"/>
        </w:rPr>
        <w:t xml:space="preserve"> Goods List </w:t>
      </w:r>
      <w:r w:rsidR="00861A87" w:rsidRPr="004534D2">
        <w:rPr>
          <w:lang w:val="en-US"/>
        </w:rPr>
        <w:t xml:space="preserve">a new entry for gallium contained in manufactured articles and </w:t>
      </w:r>
      <w:r w:rsidR="00BF1DC4">
        <w:rPr>
          <w:lang w:val="en-US"/>
        </w:rPr>
        <w:t xml:space="preserve">to </w:t>
      </w:r>
      <w:r w:rsidR="00861A87" w:rsidRPr="004534D2">
        <w:rPr>
          <w:lang w:val="en-US"/>
        </w:rPr>
        <w:t>in</w:t>
      </w:r>
      <w:r w:rsidR="00A525F8">
        <w:rPr>
          <w:lang w:val="en-US"/>
        </w:rPr>
        <w:t>sert</w:t>
      </w:r>
      <w:r w:rsidR="00861A87" w:rsidRPr="004534D2">
        <w:rPr>
          <w:lang w:val="en-US"/>
        </w:rPr>
        <w:t xml:space="preserve"> </w:t>
      </w:r>
      <w:r w:rsidR="00A525F8">
        <w:rPr>
          <w:lang w:val="en-US"/>
        </w:rPr>
        <w:t>in</w:t>
      </w:r>
      <w:r w:rsidR="00A525F8" w:rsidRPr="004534D2">
        <w:rPr>
          <w:lang w:val="en-US"/>
        </w:rPr>
        <w:t xml:space="preserve"> th</w:t>
      </w:r>
      <w:r w:rsidR="001C3869">
        <w:rPr>
          <w:lang w:val="en-US"/>
        </w:rPr>
        <w:t>e</w:t>
      </w:r>
      <w:r w:rsidR="00A525F8" w:rsidRPr="004534D2">
        <w:rPr>
          <w:lang w:val="en-US"/>
        </w:rPr>
        <w:t xml:space="preserve"> new entry </w:t>
      </w:r>
      <w:r w:rsidR="00E1281A">
        <w:rPr>
          <w:lang w:val="en-US"/>
        </w:rPr>
        <w:t xml:space="preserve">the </w:t>
      </w:r>
      <w:r w:rsidR="00861A87" w:rsidRPr="004534D2">
        <w:rPr>
          <w:lang w:val="en-US"/>
        </w:rPr>
        <w:t xml:space="preserve">modified </w:t>
      </w:r>
      <w:r w:rsidR="00E1281A">
        <w:rPr>
          <w:lang w:val="en-US"/>
        </w:rPr>
        <w:t xml:space="preserve">special provision </w:t>
      </w:r>
      <w:r w:rsidR="00861A87" w:rsidRPr="004534D2">
        <w:rPr>
          <w:lang w:val="en-US"/>
        </w:rPr>
        <w:t>366</w:t>
      </w:r>
      <w:r w:rsidR="001C3869" w:rsidRPr="001C3869">
        <w:rPr>
          <w:lang w:val="en-US"/>
        </w:rPr>
        <w:t xml:space="preserve"> </w:t>
      </w:r>
      <w:r w:rsidR="001C3869" w:rsidRPr="004534D2">
        <w:rPr>
          <w:lang w:val="en-US"/>
        </w:rPr>
        <w:t>as follows</w:t>
      </w:r>
      <w:r w:rsidR="00034DBE">
        <w:rPr>
          <w:bCs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1744"/>
        <w:gridCol w:w="756"/>
        <w:gridCol w:w="857"/>
        <w:gridCol w:w="760"/>
        <w:gridCol w:w="842"/>
        <w:gridCol w:w="432"/>
        <w:gridCol w:w="394"/>
        <w:gridCol w:w="735"/>
        <w:gridCol w:w="22"/>
        <w:gridCol w:w="713"/>
        <w:gridCol w:w="895"/>
        <w:gridCol w:w="778"/>
      </w:tblGrid>
      <w:tr w:rsidR="00483822" w14:paraId="32D1654A" w14:textId="77777777" w:rsidTr="00050CF0">
        <w:tc>
          <w:tcPr>
            <w:tcW w:w="800" w:type="dxa"/>
            <w:vMerge w:val="restart"/>
          </w:tcPr>
          <w:p w14:paraId="4DD7BC13" w14:textId="77777777" w:rsidR="00483822" w:rsidRDefault="00483822" w:rsidP="00050CF0">
            <w:r>
              <w:rPr>
                <w:b/>
                <w:bCs/>
                <w:sz w:val="16"/>
                <w:szCs w:val="16"/>
              </w:rPr>
              <w:t>UN No.</w:t>
            </w:r>
          </w:p>
        </w:tc>
        <w:tc>
          <w:tcPr>
            <w:tcW w:w="955" w:type="dxa"/>
            <w:vMerge w:val="restart"/>
          </w:tcPr>
          <w:p w14:paraId="68571332" w14:textId="77777777" w:rsidR="00483822" w:rsidRDefault="00483822" w:rsidP="00050CF0">
            <w:r>
              <w:rPr>
                <w:b/>
                <w:bCs/>
                <w:sz w:val="16"/>
                <w:szCs w:val="16"/>
              </w:rPr>
              <w:t>Name and description</w:t>
            </w:r>
          </w:p>
        </w:tc>
        <w:tc>
          <w:tcPr>
            <w:tcW w:w="861" w:type="dxa"/>
            <w:vMerge w:val="restart"/>
          </w:tcPr>
          <w:p w14:paraId="6F884D63" w14:textId="77777777" w:rsidR="00483822" w:rsidRDefault="00483822" w:rsidP="00050CF0">
            <w:r>
              <w:rPr>
                <w:b/>
                <w:bCs/>
                <w:sz w:val="16"/>
                <w:szCs w:val="16"/>
              </w:rPr>
              <w:t>Class or division</w:t>
            </w:r>
          </w:p>
        </w:tc>
        <w:tc>
          <w:tcPr>
            <w:tcW w:w="911" w:type="dxa"/>
            <w:vMerge w:val="restart"/>
          </w:tcPr>
          <w:p w14:paraId="5B0DC234" w14:textId="77777777" w:rsidR="00483822" w:rsidRDefault="00483822" w:rsidP="00050CF0">
            <w:r>
              <w:rPr>
                <w:b/>
                <w:bCs/>
                <w:sz w:val="16"/>
                <w:szCs w:val="16"/>
              </w:rPr>
              <w:t>Subsidiary hazard</w:t>
            </w:r>
          </w:p>
        </w:tc>
        <w:tc>
          <w:tcPr>
            <w:tcW w:w="863" w:type="dxa"/>
            <w:vMerge w:val="restart"/>
          </w:tcPr>
          <w:p w14:paraId="39E02CD1" w14:textId="77777777" w:rsidR="00483822" w:rsidRDefault="00483822" w:rsidP="00050CF0">
            <w:r>
              <w:rPr>
                <w:b/>
                <w:bCs/>
                <w:sz w:val="16"/>
                <w:szCs w:val="16"/>
              </w:rPr>
              <w:t>UN packing group</w:t>
            </w:r>
          </w:p>
        </w:tc>
        <w:tc>
          <w:tcPr>
            <w:tcW w:w="902" w:type="dxa"/>
            <w:vMerge w:val="restart"/>
          </w:tcPr>
          <w:p w14:paraId="6824254A" w14:textId="77777777" w:rsidR="00483822" w:rsidRDefault="00483822" w:rsidP="00050C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Special </w:t>
            </w:r>
          </w:p>
          <w:p w14:paraId="4DB78024" w14:textId="77777777" w:rsidR="00483822" w:rsidRDefault="00483822" w:rsidP="00050CF0">
            <w:r>
              <w:rPr>
                <w:b/>
                <w:bCs/>
                <w:sz w:val="16"/>
                <w:szCs w:val="16"/>
              </w:rPr>
              <w:t>Provisions</w:t>
            </w:r>
          </w:p>
        </w:tc>
        <w:tc>
          <w:tcPr>
            <w:tcW w:w="896" w:type="dxa"/>
            <w:gridSpan w:val="2"/>
            <w:vMerge w:val="restart"/>
          </w:tcPr>
          <w:p w14:paraId="13BBD360" w14:textId="77777777" w:rsidR="00483822" w:rsidRDefault="00483822" w:rsidP="00050CF0">
            <w:r>
              <w:rPr>
                <w:b/>
                <w:bCs/>
                <w:sz w:val="16"/>
                <w:szCs w:val="16"/>
              </w:rPr>
              <w:t>Limited and excepted quantities</w:t>
            </w:r>
          </w:p>
        </w:tc>
        <w:tc>
          <w:tcPr>
            <w:tcW w:w="1470" w:type="dxa"/>
            <w:gridSpan w:val="3"/>
          </w:tcPr>
          <w:p w14:paraId="27A8CBBD" w14:textId="77777777" w:rsidR="00483822" w:rsidRDefault="00483822" w:rsidP="00050CF0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Packagings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119CDE8A" w14:textId="77777777" w:rsidR="00483822" w:rsidRDefault="00483822" w:rsidP="00050CF0">
            <w:r>
              <w:rPr>
                <w:b/>
                <w:bCs/>
                <w:sz w:val="16"/>
                <w:szCs w:val="16"/>
              </w:rPr>
              <w:t>and IBCs</w:t>
            </w:r>
          </w:p>
        </w:tc>
        <w:tc>
          <w:tcPr>
            <w:tcW w:w="1734" w:type="dxa"/>
            <w:gridSpan w:val="2"/>
          </w:tcPr>
          <w:p w14:paraId="4A12158C" w14:textId="77777777" w:rsidR="00483822" w:rsidRDefault="00483822" w:rsidP="00050CF0">
            <w:r>
              <w:rPr>
                <w:b/>
                <w:bCs/>
                <w:sz w:val="16"/>
                <w:szCs w:val="16"/>
              </w:rPr>
              <w:t>Portable tanks and bulk containers</w:t>
            </w:r>
          </w:p>
        </w:tc>
      </w:tr>
      <w:tr w:rsidR="00483822" w14:paraId="1632A35C" w14:textId="77777777" w:rsidTr="00050CF0">
        <w:tc>
          <w:tcPr>
            <w:tcW w:w="800" w:type="dxa"/>
            <w:vMerge/>
          </w:tcPr>
          <w:p w14:paraId="2627A206" w14:textId="77777777" w:rsidR="00483822" w:rsidRDefault="00483822" w:rsidP="00050CF0"/>
        </w:tc>
        <w:tc>
          <w:tcPr>
            <w:tcW w:w="955" w:type="dxa"/>
            <w:vMerge/>
          </w:tcPr>
          <w:p w14:paraId="597F875C" w14:textId="77777777" w:rsidR="00483822" w:rsidRDefault="00483822" w:rsidP="00050CF0"/>
        </w:tc>
        <w:tc>
          <w:tcPr>
            <w:tcW w:w="861" w:type="dxa"/>
            <w:vMerge/>
          </w:tcPr>
          <w:p w14:paraId="0C78C3B2" w14:textId="77777777" w:rsidR="00483822" w:rsidRDefault="00483822" w:rsidP="00050CF0"/>
        </w:tc>
        <w:tc>
          <w:tcPr>
            <w:tcW w:w="911" w:type="dxa"/>
            <w:vMerge/>
          </w:tcPr>
          <w:p w14:paraId="0FF82D07" w14:textId="77777777" w:rsidR="00483822" w:rsidRDefault="00483822" w:rsidP="00050CF0"/>
        </w:tc>
        <w:tc>
          <w:tcPr>
            <w:tcW w:w="863" w:type="dxa"/>
            <w:vMerge/>
          </w:tcPr>
          <w:p w14:paraId="3EE42336" w14:textId="77777777" w:rsidR="00483822" w:rsidRDefault="00483822" w:rsidP="00050CF0"/>
        </w:tc>
        <w:tc>
          <w:tcPr>
            <w:tcW w:w="902" w:type="dxa"/>
            <w:vMerge/>
          </w:tcPr>
          <w:p w14:paraId="512794E6" w14:textId="77777777" w:rsidR="00483822" w:rsidRDefault="00483822" w:rsidP="00050CF0"/>
        </w:tc>
        <w:tc>
          <w:tcPr>
            <w:tcW w:w="896" w:type="dxa"/>
            <w:gridSpan w:val="2"/>
            <w:vMerge/>
          </w:tcPr>
          <w:p w14:paraId="768823ED" w14:textId="77777777" w:rsidR="00483822" w:rsidRDefault="00483822" w:rsidP="00050CF0"/>
        </w:tc>
        <w:tc>
          <w:tcPr>
            <w:tcW w:w="757" w:type="dxa"/>
            <w:gridSpan w:val="2"/>
          </w:tcPr>
          <w:p w14:paraId="5FD73C46" w14:textId="77777777" w:rsidR="00483822" w:rsidRDefault="00483822" w:rsidP="00050CF0">
            <w:r>
              <w:rPr>
                <w:b/>
                <w:bCs/>
                <w:sz w:val="16"/>
                <w:szCs w:val="16"/>
              </w:rPr>
              <w:t>Packing instruction</w:t>
            </w:r>
          </w:p>
        </w:tc>
        <w:tc>
          <w:tcPr>
            <w:tcW w:w="713" w:type="dxa"/>
          </w:tcPr>
          <w:p w14:paraId="5F3028F6" w14:textId="77777777" w:rsidR="00483822" w:rsidRDefault="00483822" w:rsidP="00050CF0">
            <w:r>
              <w:rPr>
                <w:b/>
                <w:bCs/>
                <w:sz w:val="16"/>
                <w:szCs w:val="16"/>
              </w:rPr>
              <w:t>Special packing provisions</w:t>
            </w:r>
          </w:p>
        </w:tc>
        <w:tc>
          <w:tcPr>
            <w:tcW w:w="924" w:type="dxa"/>
          </w:tcPr>
          <w:p w14:paraId="55A055E9" w14:textId="77777777" w:rsidR="00483822" w:rsidRDefault="00483822" w:rsidP="00050CF0">
            <w:r>
              <w:rPr>
                <w:b/>
                <w:bCs/>
                <w:sz w:val="16"/>
                <w:szCs w:val="16"/>
              </w:rPr>
              <w:t>Instructions</w:t>
            </w:r>
          </w:p>
        </w:tc>
        <w:tc>
          <w:tcPr>
            <w:tcW w:w="810" w:type="dxa"/>
          </w:tcPr>
          <w:p w14:paraId="030C9EBE" w14:textId="77777777" w:rsidR="00483822" w:rsidRDefault="00483822" w:rsidP="00050CF0">
            <w:r>
              <w:rPr>
                <w:b/>
                <w:bCs/>
                <w:sz w:val="16"/>
                <w:szCs w:val="16"/>
              </w:rPr>
              <w:t>Special provisions</w:t>
            </w:r>
          </w:p>
        </w:tc>
      </w:tr>
      <w:tr w:rsidR="00483822" w14:paraId="18BDBF82" w14:textId="77777777" w:rsidTr="00050CF0">
        <w:tc>
          <w:tcPr>
            <w:tcW w:w="800" w:type="dxa"/>
          </w:tcPr>
          <w:p w14:paraId="2FB1CD14" w14:textId="77777777" w:rsidR="00483822" w:rsidRPr="00957F7F" w:rsidRDefault="00483822" w:rsidP="00050CF0">
            <w:pPr>
              <w:jc w:val="center"/>
              <w:rPr>
                <w:b/>
                <w:u w:val="single"/>
              </w:rPr>
            </w:pPr>
            <w:r w:rsidRPr="00957F7F">
              <w:rPr>
                <w:b/>
                <w:u w:val="single"/>
              </w:rPr>
              <w:t>35XX</w:t>
            </w:r>
          </w:p>
        </w:tc>
        <w:tc>
          <w:tcPr>
            <w:tcW w:w="955" w:type="dxa"/>
          </w:tcPr>
          <w:p w14:paraId="53153BC6" w14:textId="77777777" w:rsidR="00483822" w:rsidRPr="00111333" w:rsidRDefault="00483822" w:rsidP="00050CF0">
            <w:pPr>
              <w:rPr>
                <w:rFonts w:eastAsiaTheme="minorEastAsia"/>
                <w:b/>
                <w:u w:val="single"/>
                <w:lang w:eastAsia="zh-CN"/>
              </w:rPr>
            </w:pPr>
            <w:r w:rsidRPr="00111333">
              <w:rPr>
                <w:rFonts w:eastAsiaTheme="minorEastAsia"/>
                <w:b/>
                <w:u w:val="single"/>
              </w:rPr>
              <w:t>GALLIUM CONTAINED IN MANUFACTURED ARTICLES</w:t>
            </w:r>
            <w:r w:rsidRPr="00111333">
              <w:rPr>
                <w:rFonts w:eastAsiaTheme="minorEastAsia"/>
                <w:b/>
                <w:u w:val="single"/>
                <w:lang w:eastAsia="zh-CN"/>
              </w:rPr>
              <w:t xml:space="preserve"> </w:t>
            </w:r>
          </w:p>
        </w:tc>
        <w:tc>
          <w:tcPr>
            <w:tcW w:w="861" w:type="dxa"/>
          </w:tcPr>
          <w:p w14:paraId="70A30E04" w14:textId="77777777" w:rsidR="00483822" w:rsidRPr="00957F7F" w:rsidRDefault="00483822" w:rsidP="00050CF0">
            <w:pPr>
              <w:jc w:val="center"/>
              <w:rPr>
                <w:b/>
                <w:u w:val="single"/>
              </w:rPr>
            </w:pPr>
            <w:r w:rsidRPr="00957F7F">
              <w:rPr>
                <w:b/>
                <w:u w:val="single"/>
              </w:rPr>
              <w:t>8</w:t>
            </w:r>
          </w:p>
        </w:tc>
        <w:tc>
          <w:tcPr>
            <w:tcW w:w="911" w:type="dxa"/>
          </w:tcPr>
          <w:p w14:paraId="3A5DAFA8" w14:textId="77777777" w:rsidR="00483822" w:rsidRPr="00957F7F" w:rsidRDefault="00483822" w:rsidP="00050CF0">
            <w:pPr>
              <w:jc w:val="center"/>
              <w:rPr>
                <w:b/>
                <w:u w:val="single"/>
              </w:rPr>
            </w:pPr>
          </w:p>
        </w:tc>
        <w:tc>
          <w:tcPr>
            <w:tcW w:w="863" w:type="dxa"/>
          </w:tcPr>
          <w:p w14:paraId="372891C7" w14:textId="77777777" w:rsidR="00483822" w:rsidRPr="00957F7F" w:rsidRDefault="00483822" w:rsidP="00050CF0">
            <w:pPr>
              <w:jc w:val="center"/>
              <w:rPr>
                <w:b/>
                <w:u w:val="single"/>
              </w:rPr>
            </w:pPr>
          </w:p>
        </w:tc>
        <w:tc>
          <w:tcPr>
            <w:tcW w:w="902" w:type="dxa"/>
          </w:tcPr>
          <w:p w14:paraId="2A6D5FA7" w14:textId="77777777" w:rsidR="00483822" w:rsidRPr="00957F7F" w:rsidRDefault="00483822" w:rsidP="00050CF0">
            <w:pPr>
              <w:jc w:val="center"/>
              <w:rPr>
                <w:b/>
                <w:u w:val="single"/>
              </w:rPr>
            </w:pPr>
            <w:r w:rsidRPr="00957F7F">
              <w:rPr>
                <w:b/>
                <w:u w:val="single"/>
              </w:rPr>
              <w:t>366</w:t>
            </w:r>
          </w:p>
        </w:tc>
        <w:tc>
          <w:tcPr>
            <w:tcW w:w="448" w:type="dxa"/>
          </w:tcPr>
          <w:p w14:paraId="40FB53C6" w14:textId="77777777" w:rsidR="00483822" w:rsidRPr="00957F7F" w:rsidRDefault="00483822" w:rsidP="00050CF0">
            <w:pPr>
              <w:jc w:val="center"/>
              <w:rPr>
                <w:b/>
                <w:u w:val="single"/>
              </w:rPr>
            </w:pPr>
            <w:r w:rsidRPr="00957F7F">
              <w:rPr>
                <w:b/>
                <w:u w:val="single"/>
              </w:rPr>
              <w:t>5kg</w:t>
            </w:r>
          </w:p>
        </w:tc>
        <w:tc>
          <w:tcPr>
            <w:tcW w:w="448" w:type="dxa"/>
          </w:tcPr>
          <w:p w14:paraId="04C99F10" w14:textId="77777777" w:rsidR="00483822" w:rsidRPr="00957F7F" w:rsidRDefault="00483822" w:rsidP="00050CF0">
            <w:pPr>
              <w:jc w:val="center"/>
              <w:rPr>
                <w:b/>
                <w:u w:val="single"/>
              </w:rPr>
            </w:pPr>
            <w:r w:rsidRPr="00957F7F">
              <w:rPr>
                <w:b/>
                <w:u w:val="single"/>
              </w:rPr>
              <w:t>E0</w:t>
            </w:r>
          </w:p>
        </w:tc>
        <w:tc>
          <w:tcPr>
            <w:tcW w:w="735" w:type="dxa"/>
          </w:tcPr>
          <w:p w14:paraId="45E7CAE8" w14:textId="77777777" w:rsidR="00483822" w:rsidRPr="00957F7F" w:rsidRDefault="00483822" w:rsidP="00050CF0">
            <w:pPr>
              <w:jc w:val="center"/>
              <w:rPr>
                <w:b/>
                <w:u w:val="single"/>
              </w:rPr>
            </w:pPr>
            <w:r w:rsidRPr="00957F7F">
              <w:rPr>
                <w:b/>
                <w:u w:val="single"/>
              </w:rPr>
              <w:t>P003</w:t>
            </w:r>
          </w:p>
        </w:tc>
        <w:tc>
          <w:tcPr>
            <w:tcW w:w="735" w:type="dxa"/>
            <w:gridSpan w:val="2"/>
          </w:tcPr>
          <w:p w14:paraId="685FF28E" w14:textId="77777777" w:rsidR="00483822" w:rsidRPr="00940418" w:rsidRDefault="00483822" w:rsidP="00050CF0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957F7F">
              <w:rPr>
                <w:b/>
                <w:color w:val="000000" w:themeColor="text1"/>
                <w:u w:val="single"/>
              </w:rPr>
              <w:t>PP90</w:t>
            </w:r>
          </w:p>
        </w:tc>
        <w:tc>
          <w:tcPr>
            <w:tcW w:w="924" w:type="dxa"/>
          </w:tcPr>
          <w:p w14:paraId="43E92E57" w14:textId="77777777" w:rsidR="00483822" w:rsidRDefault="00483822" w:rsidP="00050CF0">
            <w:pPr>
              <w:jc w:val="center"/>
            </w:pPr>
          </w:p>
        </w:tc>
        <w:tc>
          <w:tcPr>
            <w:tcW w:w="810" w:type="dxa"/>
          </w:tcPr>
          <w:p w14:paraId="63A3AA00" w14:textId="77777777" w:rsidR="00483822" w:rsidRDefault="00483822" w:rsidP="00050CF0">
            <w:pPr>
              <w:jc w:val="center"/>
            </w:pPr>
          </w:p>
        </w:tc>
      </w:tr>
    </w:tbl>
    <w:p w14:paraId="74C5A2CD" w14:textId="415F1C10" w:rsidR="003E0C5A" w:rsidRDefault="003E0C5A" w:rsidP="003E0C5A">
      <w:pPr>
        <w:pStyle w:val="SingleTxtG"/>
        <w:spacing w:before="240"/>
        <w:rPr>
          <w:lang w:val="en-US"/>
        </w:rPr>
      </w:pPr>
      <w:r>
        <w:rPr>
          <w:lang w:val="en-US"/>
        </w:rPr>
        <w:tab/>
        <w:t>8.</w:t>
      </w:r>
      <w:r>
        <w:rPr>
          <w:lang w:val="en-US"/>
        </w:rPr>
        <w:tab/>
      </w:r>
      <w:r w:rsidR="00235B12">
        <w:rPr>
          <w:lang w:val="en-US"/>
        </w:rPr>
        <w:t>In 4.1.4.1 a</w:t>
      </w:r>
      <w:r w:rsidR="00DC3085">
        <w:rPr>
          <w:lang w:val="en-US"/>
        </w:rPr>
        <w:t xml:space="preserve">mend </w:t>
      </w:r>
      <w:r>
        <w:rPr>
          <w:rFonts w:hint="eastAsia"/>
          <w:lang w:val="en-US"/>
        </w:rPr>
        <w:t>in</w:t>
      </w:r>
      <w:r>
        <w:rPr>
          <w:lang w:val="en-US"/>
        </w:rPr>
        <w:t xml:space="preserve"> packing instruction P003,</w:t>
      </w:r>
      <w:r w:rsidRPr="004534D2">
        <w:rPr>
          <w:lang w:val="en-US"/>
        </w:rPr>
        <w:t xml:space="preserve"> special packaging provision PP90 </w:t>
      </w:r>
      <w:r w:rsidR="00F70772">
        <w:rPr>
          <w:lang w:val="en-US"/>
        </w:rPr>
        <w:t xml:space="preserve">to read </w:t>
      </w:r>
      <w:r w:rsidRPr="004534D2">
        <w:rPr>
          <w:lang w:val="en-US"/>
        </w:rPr>
        <w:t>as follows</w:t>
      </w:r>
      <w:r w:rsidR="000F3D9E">
        <w:rPr>
          <w:lang w:val="en-US"/>
        </w:rPr>
        <w:t>:</w:t>
      </w:r>
    </w:p>
    <w:p w14:paraId="72562C11" w14:textId="4DE3EB9C" w:rsidR="00DD5C4E" w:rsidRDefault="00235B12" w:rsidP="006175A5">
      <w:pPr>
        <w:pStyle w:val="SingleTxtG"/>
        <w:spacing w:before="240"/>
        <w:ind w:left="1701"/>
        <w:rPr>
          <w:lang w:val="en-US"/>
        </w:rPr>
      </w:pPr>
      <w:r w:rsidRPr="00235B12">
        <w:rPr>
          <w:rFonts w:asciiTheme="majorBidi" w:hAnsiTheme="majorBidi" w:cstheme="majorBidi"/>
        </w:rPr>
        <w:t>"</w:t>
      </w:r>
      <w:r w:rsidR="00DD5C4E" w:rsidRPr="003612BA">
        <w:rPr>
          <w:rFonts w:asciiTheme="majorBidi" w:hAnsiTheme="majorBidi" w:cstheme="majorBidi"/>
          <w:b/>
          <w:bCs/>
        </w:rPr>
        <w:t>PP</w:t>
      </w:r>
      <w:r w:rsidR="003612BA" w:rsidRPr="003612BA">
        <w:rPr>
          <w:rFonts w:asciiTheme="majorBidi" w:hAnsiTheme="majorBidi" w:cstheme="majorBidi"/>
          <w:b/>
          <w:bCs/>
        </w:rPr>
        <w:t>90</w:t>
      </w:r>
      <w:r w:rsidR="003612BA">
        <w:rPr>
          <w:rFonts w:asciiTheme="majorBidi" w:hAnsiTheme="majorBidi" w:cstheme="majorBidi"/>
        </w:rPr>
        <w:tab/>
      </w:r>
      <w:r w:rsidR="00DD5C4E" w:rsidRPr="00AC5366">
        <w:rPr>
          <w:rFonts w:asciiTheme="majorBidi" w:hAnsiTheme="majorBidi" w:cstheme="majorBidi"/>
        </w:rPr>
        <w:t xml:space="preserve">For UN 3506 </w:t>
      </w:r>
      <w:r w:rsidR="00DD5C4E" w:rsidRPr="00AC5366">
        <w:rPr>
          <w:rFonts w:asciiTheme="majorBidi" w:hAnsiTheme="majorBidi" w:cstheme="majorBidi"/>
          <w:b/>
          <w:u w:val="single"/>
        </w:rPr>
        <w:t>and UN</w:t>
      </w:r>
      <w:r w:rsidR="00DD5C4E">
        <w:rPr>
          <w:rFonts w:asciiTheme="majorBidi" w:hAnsiTheme="majorBidi" w:cstheme="majorBidi"/>
          <w:b/>
          <w:u w:val="single"/>
        </w:rPr>
        <w:t xml:space="preserve"> </w:t>
      </w:r>
      <w:r w:rsidR="00DD5C4E" w:rsidRPr="00AC5366">
        <w:rPr>
          <w:rFonts w:asciiTheme="majorBidi" w:hAnsiTheme="majorBidi" w:cstheme="majorBidi"/>
          <w:b/>
          <w:u w:val="single"/>
        </w:rPr>
        <w:t>35XX</w:t>
      </w:r>
      <w:r w:rsidR="00DD5C4E" w:rsidRPr="00AC5366">
        <w:rPr>
          <w:rFonts w:asciiTheme="majorBidi" w:hAnsiTheme="majorBidi" w:cstheme="majorBidi"/>
        </w:rPr>
        <w:t xml:space="preserve">, sealed inner liners or bags of strong leak-proof and puncture resistant material impervious to mercury </w:t>
      </w:r>
      <w:r w:rsidR="00DD5C4E" w:rsidRPr="00AC5366">
        <w:rPr>
          <w:rFonts w:asciiTheme="majorBidi" w:hAnsiTheme="majorBidi" w:cstheme="majorBidi"/>
          <w:b/>
          <w:u w:val="single"/>
        </w:rPr>
        <w:t>or gallium</w:t>
      </w:r>
      <w:r w:rsidR="00DD5C4E" w:rsidRPr="00AC5366">
        <w:rPr>
          <w:rFonts w:asciiTheme="majorBidi" w:hAnsiTheme="majorBidi" w:cstheme="majorBidi"/>
        </w:rPr>
        <w:t xml:space="preserve"> which will prevent escape of the substance from the package irrespective of the position or the orientation of the package shall be used. For air transport additional requirements may apply.</w:t>
      </w:r>
      <w:r>
        <w:rPr>
          <w:rFonts w:asciiTheme="majorBidi" w:hAnsiTheme="majorBidi" w:cstheme="majorBidi"/>
        </w:rPr>
        <w:t>"</w:t>
      </w:r>
    </w:p>
    <w:p w14:paraId="77362E2D" w14:textId="1FF8FDCC" w:rsidR="00884533" w:rsidRDefault="00884533" w:rsidP="00884533">
      <w:pPr>
        <w:pStyle w:val="SingleTxtG"/>
        <w:spacing w:before="240"/>
      </w:pPr>
      <w:r>
        <w:tab/>
        <w:t>9.</w:t>
      </w:r>
      <w:r>
        <w:tab/>
      </w:r>
      <w:r w:rsidR="00383C2A">
        <w:t xml:space="preserve">In Chapter 3.3 </w:t>
      </w:r>
      <w:r>
        <w:rPr>
          <w:lang w:val="en-US"/>
        </w:rPr>
        <w:t>amend</w:t>
      </w:r>
      <w:r w:rsidR="00383C2A">
        <w:rPr>
          <w:lang w:val="en-US"/>
        </w:rPr>
        <w:t xml:space="preserve"> special provision </w:t>
      </w:r>
      <w:r>
        <w:t xml:space="preserve">366 </w:t>
      </w:r>
      <w:r w:rsidR="003F6DF8">
        <w:t xml:space="preserve">to read </w:t>
      </w:r>
      <w:r w:rsidR="00383C2A">
        <w:t>as follows</w:t>
      </w:r>
      <w:r w:rsidRPr="004534D2">
        <w:rPr>
          <w:lang w:val="en-US"/>
        </w:rPr>
        <w:t>:</w:t>
      </w:r>
    </w:p>
    <w:p w14:paraId="4952EA5E" w14:textId="306D6909" w:rsidR="00884533" w:rsidRDefault="003F6DF8" w:rsidP="006175A5">
      <w:pPr>
        <w:pStyle w:val="SingleTxtG"/>
        <w:spacing w:before="240"/>
        <w:ind w:left="1701"/>
      </w:pPr>
      <w:r w:rsidRPr="003F6DF8">
        <w:rPr>
          <w:bCs/>
        </w:rPr>
        <w:t>"</w:t>
      </w:r>
      <w:r w:rsidR="00884533" w:rsidRPr="00221482">
        <w:rPr>
          <w:b/>
        </w:rPr>
        <w:t>366</w:t>
      </w:r>
      <w:r>
        <w:tab/>
      </w:r>
      <w:r w:rsidR="00884533" w:rsidRPr="00AC242F">
        <w:t>For land and sea transport, manufactured instruments and articles containing not more</w:t>
      </w:r>
      <w:r w:rsidR="00884533">
        <w:t xml:space="preserve"> </w:t>
      </w:r>
      <w:r w:rsidR="00884533" w:rsidRPr="00AC242F">
        <w:t>than 1 kg of mercury</w:t>
      </w:r>
      <w:r w:rsidR="00884533" w:rsidRPr="00AC242F">
        <w:rPr>
          <w:b/>
          <w:u w:val="single"/>
        </w:rPr>
        <w:t xml:space="preserve"> or gallium</w:t>
      </w:r>
      <w:r w:rsidR="00884533">
        <w:t xml:space="preserve"> </w:t>
      </w:r>
      <w:r w:rsidR="00884533" w:rsidRPr="00AC242F">
        <w:t>are not subject to these Regulations. For air transport, articles</w:t>
      </w:r>
      <w:r w:rsidR="00884533">
        <w:t xml:space="preserve"> </w:t>
      </w:r>
      <w:r w:rsidR="00884533" w:rsidRPr="00AC242F">
        <w:t xml:space="preserve">containing not more than 15 g of mercury </w:t>
      </w:r>
      <w:r w:rsidR="00884533" w:rsidRPr="00AC242F">
        <w:rPr>
          <w:b/>
          <w:u w:val="single"/>
        </w:rPr>
        <w:t>or gallium</w:t>
      </w:r>
      <w:r w:rsidR="00884533">
        <w:rPr>
          <w:b/>
          <w:u w:val="single"/>
        </w:rPr>
        <w:t xml:space="preserve"> </w:t>
      </w:r>
      <w:r w:rsidR="00884533" w:rsidRPr="00AC242F">
        <w:t>are not subject to these Regulations.</w:t>
      </w:r>
      <w:r>
        <w:t>"</w:t>
      </w:r>
    </w:p>
    <w:p w14:paraId="53F4F5B3" w14:textId="01C7DEE0" w:rsidR="00884533" w:rsidRPr="004534D2" w:rsidRDefault="00884533" w:rsidP="00884533">
      <w:pPr>
        <w:pStyle w:val="SingleTxtG"/>
        <w:rPr>
          <w:lang w:val="en-US"/>
        </w:rPr>
      </w:pPr>
      <w:r>
        <w:rPr>
          <w:lang w:val="en-US"/>
        </w:rPr>
        <w:t>10.</w:t>
      </w:r>
      <w:r>
        <w:rPr>
          <w:lang w:val="en-US"/>
        </w:rPr>
        <w:tab/>
      </w:r>
      <w:r w:rsidR="0091340C">
        <w:rPr>
          <w:lang w:val="en-US"/>
        </w:rPr>
        <w:t>And a</w:t>
      </w:r>
      <w:r w:rsidR="000D1DD9">
        <w:rPr>
          <w:lang w:val="en-US"/>
        </w:rPr>
        <w:t xml:space="preserve">mend special provision </w:t>
      </w:r>
      <w:r w:rsidR="000D1DD9">
        <w:t>365 to read as follows</w:t>
      </w:r>
      <w:r w:rsidR="000D1DD9">
        <w:rPr>
          <w:lang w:val="en-US"/>
        </w:rPr>
        <w:t>:</w:t>
      </w:r>
    </w:p>
    <w:p w14:paraId="6D155B25" w14:textId="19F7F4A9" w:rsidR="00884533" w:rsidRDefault="009901C6" w:rsidP="006175A5">
      <w:pPr>
        <w:pStyle w:val="SingleTxtG"/>
        <w:spacing w:before="240"/>
        <w:ind w:left="1701"/>
      </w:pPr>
      <w:r w:rsidRPr="009901C6">
        <w:rPr>
          <w:bCs/>
        </w:rPr>
        <w:t>"</w:t>
      </w:r>
      <w:r w:rsidR="00884533" w:rsidRPr="00646D20">
        <w:rPr>
          <w:b/>
        </w:rPr>
        <w:t>365</w:t>
      </w:r>
      <w:r>
        <w:rPr>
          <w:b/>
        </w:rPr>
        <w:tab/>
      </w:r>
      <w:r w:rsidR="00884533" w:rsidRPr="0032319A">
        <w:t>For manufactured instruments and articles containing mercury</w:t>
      </w:r>
      <w:r w:rsidR="00884533">
        <w:t xml:space="preserve"> </w:t>
      </w:r>
      <w:r w:rsidR="00884533" w:rsidRPr="0032319A">
        <w:rPr>
          <w:b/>
          <w:u w:val="single"/>
        </w:rPr>
        <w:t>or gallium</w:t>
      </w:r>
      <w:r w:rsidR="00884533" w:rsidRPr="0032319A">
        <w:t>, see UN 3506</w:t>
      </w:r>
      <w:r w:rsidR="00884533">
        <w:t xml:space="preserve"> </w:t>
      </w:r>
      <w:r w:rsidR="00884533">
        <w:rPr>
          <w:b/>
          <w:u w:val="single"/>
        </w:rPr>
        <w:t>or UN</w:t>
      </w:r>
      <w:r w:rsidR="006C393E">
        <w:rPr>
          <w:b/>
          <w:u w:val="single"/>
        </w:rPr>
        <w:t xml:space="preserve"> </w:t>
      </w:r>
      <w:r w:rsidR="00884533">
        <w:rPr>
          <w:b/>
          <w:u w:val="single"/>
        </w:rPr>
        <w:t>35XX</w:t>
      </w:r>
      <w:r w:rsidR="00884533" w:rsidRPr="0032319A">
        <w:t>.</w:t>
      </w:r>
      <w:r w:rsidR="006C393E">
        <w:t>"</w:t>
      </w:r>
    </w:p>
    <w:p w14:paraId="331A3AAF" w14:textId="74CD8D2E" w:rsidR="00B54BCC" w:rsidRPr="004534D2" w:rsidRDefault="00B54BCC" w:rsidP="00B54BCC">
      <w:pPr>
        <w:pStyle w:val="SingleTxtG"/>
        <w:rPr>
          <w:lang w:val="en-US"/>
        </w:rPr>
      </w:pPr>
      <w:r>
        <w:rPr>
          <w:lang w:val="en-US"/>
        </w:rPr>
        <w:t>11.</w:t>
      </w:r>
      <w:r>
        <w:rPr>
          <w:lang w:val="en-US"/>
        </w:rPr>
        <w:tab/>
        <w:t>In addition</w:t>
      </w:r>
      <w:r w:rsidRPr="004534D2">
        <w:rPr>
          <w:lang w:val="en-US"/>
        </w:rPr>
        <w:t xml:space="preserve">, </w:t>
      </w:r>
      <w:r w:rsidR="006B11B7">
        <w:rPr>
          <w:lang w:val="en-US"/>
        </w:rPr>
        <w:t xml:space="preserve">amend in 3.2.2 the </w:t>
      </w:r>
      <w:r w:rsidR="00D41097">
        <w:rPr>
          <w:lang w:val="en-US"/>
        </w:rPr>
        <w:t xml:space="preserve">existing </w:t>
      </w:r>
      <w:r w:rsidR="006B11B7">
        <w:rPr>
          <w:lang w:val="en-US"/>
        </w:rPr>
        <w:t xml:space="preserve">entry UN </w:t>
      </w:r>
      <w:r w:rsidR="003C0CFE">
        <w:rPr>
          <w:lang w:val="en-US"/>
        </w:rPr>
        <w:t xml:space="preserve">No. 2803 GALLIUM to </w:t>
      </w:r>
      <w:r w:rsidRPr="004534D2">
        <w:rPr>
          <w:lang w:val="en-US"/>
        </w:rPr>
        <w:t>appl</w:t>
      </w:r>
      <w:r w:rsidR="003C0CFE">
        <w:rPr>
          <w:lang w:val="en-US"/>
        </w:rPr>
        <w:t xml:space="preserve">y </w:t>
      </w:r>
      <w:r w:rsidR="00BE1AAA">
        <w:rPr>
          <w:lang w:val="en-US"/>
        </w:rPr>
        <w:t>special provision 365</w:t>
      </w:r>
      <w:r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"/>
        <w:gridCol w:w="955"/>
        <w:gridCol w:w="861"/>
        <w:gridCol w:w="911"/>
        <w:gridCol w:w="863"/>
        <w:gridCol w:w="902"/>
        <w:gridCol w:w="448"/>
        <w:gridCol w:w="448"/>
        <w:gridCol w:w="735"/>
        <w:gridCol w:w="22"/>
        <w:gridCol w:w="713"/>
        <w:gridCol w:w="924"/>
        <w:gridCol w:w="810"/>
      </w:tblGrid>
      <w:tr w:rsidR="00F8636C" w14:paraId="3FF79BD5" w14:textId="77777777" w:rsidTr="00050CF0">
        <w:tc>
          <w:tcPr>
            <w:tcW w:w="800" w:type="dxa"/>
            <w:vMerge w:val="restart"/>
          </w:tcPr>
          <w:p w14:paraId="36E6E40D" w14:textId="77777777" w:rsidR="00F8636C" w:rsidRPr="00D769EB" w:rsidRDefault="00F8636C" w:rsidP="00050CF0">
            <w:pPr>
              <w:rPr>
                <w:rFonts w:asciiTheme="majorBidi" w:hAnsiTheme="majorBidi" w:cstheme="majorBidi"/>
              </w:rPr>
            </w:pPr>
            <w:r w:rsidRPr="00D769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UN No.</w:t>
            </w:r>
          </w:p>
        </w:tc>
        <w:tc>
          <w:tcPr>
            <w:tcW w:w="955" w:type="dxa"/>
            <w:vMerge w:val="restart"/>
          </w:tcPr>
          <w:p w14:paraId="52C790E7" w14:textId="77777777" w:rsidR="00F8636C" w:rsidRPr="00D769EB" w:rsidRDefault="00F8636C" w:rsidP="00050CF0">
            <w:pPr>
              <w:rPr>
                <w:rFonts w:asciiTheme="majorBidi" w:hAnsiTheme="majorBidi" w:cstheme="majorBidi"/>
              </w:rPr>
            </w:pPr>
            <w:r w:rsidRPr="00D769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Name and description</w:t>
            </w:r>
          </w:p>
        </w:tc>
        <w:tc>
          <w:tcPr>
            <w:tcW w:w="861" w:type="dxa"/>
            <w:vMerge w:val="restart"/>
          </w:tcPr>
          <w:p w14:paraId="4D0EC103" w14:textId="77777777" w:rsidR="00F8636C" w:rsidRPr="00D769EB" w:rsidRDefault="00F8636C" w:rsidP="00050CF0">
            <w:pPr>
              <w:rPr>
                <w:rFonts w:asciiTheme="majorBidi" w:hAnsiTheme="majorBidi" w:cstheme="majorBidi"/>
              </w:rPr>
            </w:pPr>
            <w:r w:rsidRPr="00D769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Class or division</w:t>
            </w:r>
          </w:p>
        </w:tc>
        <w:tc>
          <w:tcPr>
            <w:tcW w:w="911" w:type="dxa"/>
            <w:vMerge w:val="restart"/>
          </w:tcPr>
          <w:p w14:paraId="4A0F7ACA" w14:textId="77777777" w:rsidR="00F8636C" w:rsidRPr="00D769EB" w:rsidRDefault="00F8636C" w:rsidP="00050CF0">
            <w:pPr>
              <w:rPr>
                <w:rFonts w:asciiTheme="majorBidi" w:hAnsiTheme="majorBidi" w:cstheme="majorBidi"/>
              </w:rPr>
            </w:pPr>
            <w:r w:rsidRPr="00D769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Subsidiary hazard</w:t>
            </w:r>
          </w:p>
        </w:tc>
        <w:tc>
          <w:tcPr>
            <w:tcW w:w="863" w:type="dxa"/>
            <w:vMerge w:val="restart"/>
          </w:tcPr>
          <w:p w14:paraId="4EE66409" w14:textId="77777777" w:rsidR="00F8636C" w:rsidRPr="00D769EB" w:rsidRDefault="00F8636C" w:rsidP="00050CF0">
            <w:pPr>
              <w:rPr>
                <w:rFonts w:asciiTheme="majorBidi" w:hAnsiTheme="majorBidi" w:cstheme="majorBidi"/>
              </w:rPr>
            </w:pPr>
            <w:r w:rsidRPr="00D769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UN packing group</w:t>
            </w:r>
          </w:p>
        </w:tc>
        <w:tc>
          <w:tcPr>
            <w:tcW w:w="902" w:type="dxa"/>
            <w:vMerge w:val="restart"/>
          </w:tcPr>
          <w:p w14:paraId="77988023" w14:textId="77777777" w:rsidR="00F8636C" w:rsidRPr="00D769EB" w:rsidRDefault="00F8636C" w:rsidP="00050CF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769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Special </w:t>
            </w:r>
          </w:p>
          <w:p w14:paraId="3078BADF" w14:textId="77777777" w:rsidR="00F8636C" w:rsidRPr="00D769EB" w:rsidRDefault="00F8636C" w:rsidP="00050CF0">
            <w:pPr>
              <w:rPr>
                <w:rFonts w:asciiTheme="majorBidi" w:hAnsiTheme="majorBidi" w:cstheme="majorBidi"/>
                <w:b/>
                <w:u w:val="single"/>
              </w:rPr>
            </w:pPr>
            <w:r w:rsidRPr="00D769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Provisions</w:t>
            </w:r>
          </w:p>
        </w:tc>
        <w:tc>
          <w:tcPr>
            <w:tcW w:w="896" w:type="dxa"/>
            <w:gridSpan w:val="2"/>
            <w:vMerge w:val="restart"/>
          </w:tcPr>
          <w:p w14:paraId="22A5D61B" w14:textId="77777777" w:rsidR="00F8636C" w:rsidRPr="00D769EB" w:rsidRDefault="00F8636C" w:rsidP="00050CF0">
            <w:pPr>
              <w:rPr>
                <w:rFonts w:asciiTheme="majorBidi" w:hAnsiTheme="majorBidi" w:cstheme="majorBidi"/>
              </w:rPr>
            </w:pPr>
            <w:r w:rsidRPr="00D769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Limited and excepted quantities</w:t>
            </w:r>
          </w:p>
        </w:tc>
        <w:tc>
          <w:tcPr>
            <w:tcW w:w="1470" w:type="dxa"/>
            <w:gridSpan w:val="3"/>
          </w:tcPr>
          <w:p w14:paraId="4F137C29" w14:textId="77777777" w:rsidR="00F8636C" w:rsidRPr="00D769EB" w:rsidRDefault="00F8636C" w:rsidP="00050CF0">
            <w:pPr>
              <w:rPr>
                <w:rFonts w:asciiTheme="majorBidi" w:hAnsiTheme="majorBidi" w:cstheme="majorBidi"/>
              </w:rPr>
            </w:pPr>
            <w:proofErr w:type="spellStart"/>
            <w:r w:rsidRPr="00D769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Packagings</w:t>
            </w:r>
            <w:proofErr w:type="spellEnd"/>
            <w:r w:rsidRPr="00D769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and IBCs</w:t>
            </w:r>
          </w:p>
        </w:tc>
        <w:tc>
          <w:tcPr>
            <w:tcW w:w="1734" w:type="dxa"/>
            <w:gridSpan w:val="2"/>
          </w:tcPr>
          <w:p w14:paraId="398F0D22" w14:textId="77777777" w:rsidR="00F8636C" w:rsidRPr="00D769EB" w:rsidRDefault="00F8636C" w:rsidP="00050CF0">
            <w:pPr>
              <w:rPr>
                <w:rFonts w:asciiTheme="majorBidi" w:hAnsiTheme="majorBidi" w:cstheme="majorBidi"/>
              </w:rPr>
            </w:pPr>
            <w:r w:rsidRPr="00D769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Portable tanks and bulk containers</w:t>
            </w:r>
          </w:p>
        </w:tc>
      </w:tr>
      <w:tr w:rsidR="00F8636C" w14:paraId="7783D88B" w14:textId="77777777" w:rsidTr="00050CF0">
        <w:tc>
          <w:tcPr>
            <w:tcW w:w="800" w:type="dxa"/>
            <w:vMerge/>
          </w:tcPr>
          <w:p w14:paraId="192202FD" w14:textId="77777777" w:rsidR="00F8636C" w:rsidRPr="00D769EB" w:rsidRDefault="00F8636C" w:rsidP="00050C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55" w:type="dxa"/>
            <w:vMerge/>
          </w:tcPr>
          <w:p w14:paraId="48D957C3" w14:textId="77777777" w:rsidR="00F8636C" w:rsidRPr="00D769EB" w:rsidRDefault="00F8636C" w:rsidP="00050C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61" w:type="dxa"/>
            <w:vMerge/>
          </w:tcPr>
          <w:p w14:paraId="5508A1FD" w14:textId="77777777" w:rsidR="00F8636C" w:rsidRPr="00D769EB" w:rsidRDefault="00F8636C" w:rsidP="00050C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1" w:type="dxa"/>
            <w:vMerge/>
          </w:tcPr>
          <w:p w14:paraId="473B520F" w14:textId="77777777" w:rsidR="00F8636C" w:rsidRPr="00D769EB" w:rsidRDefault="00F8636C" w:rsidP="00050C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63" w:type="dxa"/>
            <w:vMerge/>
          </w:tcPr>
          <w:p w14:paraId="49C7D98C" w14:textId="77777777" w:rsidR="00F8636C" w:rsidRPr="00D769EB" w:rsidRDefault="00F8636C" w:rsidP="00050C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2" w:type="dxa"/>
            <w:vMerge/>
          </w:tcPr>
          <w:p w14:paraId="12F1B05F" w14:textId="77777777" w:rsidR="00F8636C" w:rsidRPr="00D769EB" w:rsidRDefault="00F8636C" w:rsidP="00050CF0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896" w:type="dxa"/>
            <w:gridSpan w:val="2"/>
            <w:vMerge/>
          </w:tcPr>
          <w:p w14:paraId="5D07DE30" w14:textId="77777777" w:rsidR="00F8636C" w:rsidRPr="00D769EB" w:rsidRDefault="00F8636C" w:rsidP="00050C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57" w:type="dxa"/>
            <w:gridSpan w:val="2"/>
          </w:tcPr>
          <w:p w14:paraId="11E3C1B0" w14:textId="77777777" w:rsidR="00F8636C" w:rsidRPr="00D769EB" w:rsidRDefault="00F8636C" w:rsidP="00050CF0">
            <w:pPr>
              <w:rPr>
                <w:rFonts w:asciiTheme="majorBidi" w:hAnsiTheme="majorBidi" w:cstheme="majorBidi"/>
              </w:rPr>
            </w:pPr>
            <w:r w:rsidRPr="00D769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Packing instruction</w:t>
            </w:r>
          </w:p>
        </w:tc>
        <w:tc>
          <w:tcPr>
            <w:tcW w:w="713" w:type="dxa"/>
          </w:tcPr>
          <w:p w14:paraId="698A4624" w14:textId="77777777" w:rsidR="00F8636C" w:rsidRPr="00D769EB" w:rsidRDefault="00F8636C" w:rsidP="00050CF0">
            <w:pPr>
              <w:rPr>
                <w:rFonts w:asciiTheme="majorBidi" w:hAnsiTheme="majorBidi" w:cstheme="majorBidi"/>
              </w:rPr>
            </w:pPr>
            <w:r w:rsidRPr="00D769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Special packing provisions</w:t>
            </w:r>
          </w:p>
        </w:tc>
        <w:tc>
          <w:tcPr>
            <w:tcW w:w="924" w:type="dxa"/>
          </w:tcPr>
          <w:p w14:paraId="78B1BEAC" w14:textId="77777777" w:rsidR="00F8636C" w:rsidRPr="00D769EB" w:rsidRDefault="00F8636C" w:rsidP="00050CF0">
            <w:pPr>
              <w:rPr>
                <w:rFonts w:asciiTheme="majorBidi" w:hAnsiTheme="majorBidi" w:cstheme="majorBidi"/>
              </w:rPr>
            </w:pPr>
            <w:r w:rsidRPr="00D769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Instructions</w:t>
            </w:r>
          </w:p>
        </w:tc>
        <w:tc>
          <w:tcPr>
            <w:tcW w:w="810" w:type="dxa"/>
          </w:tcPr>
          <w:p w14:paraId="55ECC664" w14:textId="77777777" w:rsidR="00F8636C" w:rsidRPr="00D769EB" w:rsidRDefault="00F8636C" w:rsidP="00050CF0">
            <w:pPr>
              <w:rPr>
                <w:rFonts w:asciiTheme="majorBidi" w:hAnsiTheme="majorBidi" w:cstheme="majorBidi"/>
              </w:rPr>
            </w:pPr>
            <w:r w:rsidRPr="00D769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Special provisions</w:t>
            </w:r>
          </w:p>
        </w:tc>
      </w:tr>
      <w:tr w:rsidR="00F8636C" w14:paraId="1293D906" w14:textId="77777777" w:rsidTr="00050CF0">
        <w:tc>
          <w:tcPr>
            <w:tcW w:w="800" w:type="dxa"/>
          </w:tcPr>
          <w:p w14:paraId="1817541E" w14:textId="77777777" w:rsidR="00F8636C" w:rsidRPr="00D769EB" w:rsidRDefault="00F8636C" w:rsidP="00050CF0">
            <w:pPr>
              <w:jc w:val="center"/>
              <w:rPr>
                <w:rFonts w:asciiTheme="majorBidi" w:hAnsiTheme="majorBidi" w:cstheme="majorBidi"/>
              </w:rPr>
            </w:pPr>
            <w:r w:rsidRPr="00D769EB">
              <w:rPr>
                <w:rFonts w:asciiTheme="majorBidi" w:hAnsiTheme="majorBidi" w:cstheme="majorBidi"/>
              </w:rPr>
              <w:t>2803</w:t>
            </w:r>
          </w:p>
        </w:tc>
        <w:tc>
          <w:tcPr>
            <w:tcW w:w="955" w:type="dxa"/>
          </w:tcPr>
          <w:p w14:paraId="5202D40C" w14:textId="77777777" w:rsidR="00F8636C" w:rsidRPr="00D769EB" w:rsidRDefault="00F8636C" w:rsidP="00050CF0">
            <w:pPr>
              <w:jc w:val="center"/>
              <w:rPr>
                <w:rFonts w:asciiTheme="majorBidi" w:hAnsiTheme="majorBidi" w:cstheme="majorBidi"/>
                <w:lang w:eastAsia="zh-CN"/>
              </w:rPr>
            </w:pPr>
            <w:r w:rsidRPr="00D769EB">
              <w:rPr>
                <w:rFonts w:asciiTheme="majorBidi" w:eastAsiaTheme="minorEastAsia" w:hAnsiTheme="majorBidi" w:cstheme="majorBidi"/>
                <w:lang w:eastAsia="zh-CN"/>
              </w:rPr>
              <w:t>GALLIUM</w:t>
            </w:r>
          </w:p>
        </w:tc>
        <w:tc>
          <w:tcPr>
            <w:tcW w:w="861" w:type="dxa"/>
          </w:tcPr>
          <w:p w14:paraId="518D9F55" w14:textId="77777777" w:rsidR="00F8636C" w:rsidRPr="00D769EB" w:rsidRDefault="00F8636C" w:rsidP="00050CF0">
            <w:pPr>
              <w:jc w:val="center"/>
              <w:rPr>
                <w:rFonts w:asciiTheme="majorBidi" w:hAnsiTheme="majorBidi" w:cstheme="majorBidi"/>
              </w:rPr>
            </w:pPr>
            <w:r w:rsidRPr="00D769EB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911" w:type="dxa"/>
          </w:tcPr>
          <w:p w14:paraId="41266AF4" w14:textId="77777777" w:rsidR="00F8636C" w:rsidRPr="00D769EB" w:rsidRDefault="00F8636C" w:rsidP="00050CF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63" w:type="dxa"/>
          </w:tcPr>
          <w:p w14:paraId="79E1DBC4" w14:textId="61C76333" w:rsidR="00F8636C" w:rsidRPr="00D769EB" w:rsidRDefault="00D769EB" w:rsidP="00050CF0">
            <w:pPr>
              <w:jc w:val="center"/>
              <w:rPr>
                <w:rFonts w:asciiTheme="majorBidi" w:hAnsiTheme="majorBidi" w:cstheme="majorBidi"/>
              </w:rPr>
            </w:pPr>
            <w:r w:rsidRPr="00D769EB">
              <w:rPr>
                <w:rFonts w:asciiTheme="majorBidi" w:eastAsia="仿宋" w:hAnsiTheme="majorBidi" w:cstheme="majorBidi"/>
              </w:rPr>
              <w:t>III</w:t>
            </w:r>
          </w:p>
        </w:tc>
        <w:tc>
          <w:tcPr>
            <w:tcW w:w="902" w:type="dxa"/>
          </w:tcPr>
          <w:p w14:paraId="68B8F931" w14:textId="77777777" w:rsidR="00F8636C" w:rsidRPr="00D769EB" w:rsidRDefault="00F8636C" w:rsidP="00050CF0">
            <w:pPr>
              <w:jc w:val="center"/>
              <w:rPr>
                <w:rFonts w:asciiTheme="majorBidi" w:hAnsiTheme="majorBidi" w:cstheme="majorBidi"/>
                <w:b/>
                <w:u w:val="single"/>
              </w:rPr>
            </w:pPr>
            <w:r w:rsidRPr="00D769EB">
              <w:rPr>
                <w:rFonts w:asciiTheme="majorBidi" w:hAnsiTheme="majorBidi" w:cstheme="majorBidi"/>
                <w:b/>
                <w:u w:val="single"/>
              </w:rPr>
              <w:t>365</w:t>
            </w:r>
          </w:p>
        </w:tc>
        <w:tc>
          <w:tcPr>
            <w:tcW w:w="448" w:type="dxa"/>
          </w:tcPr>
          <w:p w14:paraId="1B3CCAE8" w14:textId="77777777" w:rsidR="00F8636C" w:rsidRPr="00D769EB" w:rsidRDefault="00F8636C" w:rsidP="00050CF0">
            <w:pPr>
              <w:jc w:val="center"/>
              <w:rPr>
                <w:rFonts w:asciiTheme="majorBidi" w:hAnsiTheme="majorBidi" w:cstheme="majorBidi"/>
              </w:rPr>
            </w:pPr>
            <w:r w:rsidRPr="00D769EB">
              <w:rPr>
                <w:rFonts w:asciiTheme="majorBidi" w:hAnsiTheme="majorBidi" w:cstheme="majorBidi"/>
              </w:rPr>
              <w:t>5kg</w:t>
            </w:r>
          </w:p>
        </w:tc>
        <w:tc>
          <w:tcPr>
            <w:tcW w:w="448" w:type="dxa"/>
          </w:tcPr>
          <w:p w14:paraId="0640F4A9" w14:textId="77777777" w:rsidR="00F8636C" w:rsidRPr="00D769EB" w:rsidRDefault="00F8636C" w:rsidP="00050CF0">
            <w:pPr>
              <w:jc w:val="center"/>
              <w:rPr>
                <w:rFonts w:asciiTheme="majorBidi" w:hAnsiTheme="majorBidi" w:cstheme="majorBidi"/>
              </w:rPr>
            </w:pPr>
            <w:r w:rsidRPr="00D769EB">
              <w:rPr>
                <w:rFonts w:asciiTheme="majorBidi" w:hAnsiTheme="majorBidi" w:cstheme="majorBidi"/>
              </w:rPr>
              <w:t>E0</w:t>
            </w:r>
          </w:p>
        </w:tc>
        <w:tc>
          <w:tcPr>
            <w:tcW w:w="735" w:type="dxa"/>
          </w:tcPr>
          <w:p w14:paraId="04F6AAB9" w14:textId="77777777" w:rsidR="00F8636C" w:rsidRPr="00D769EB" w:rsidRDefault="00F8636C" w:rsidP="00050CF0">
            <w:pPr>
              <w:jc w:val="center"/>
              <w:rPr>
                <w:rFonts w:asciiTheme="majorBidi" w:hAnsiTheme="majorBidi" w:cstheme="majorBidi"/>
              </w:rPr>
            </w:pPr>
            <w:r w:rsidRPr="00D769EB">
              <w:rPr>
                <w:rFonts w:asciiTheme="majorBidi" w:hAnsiTheme="majorBidi" w:cstheme="majorBidi"/>
              </w:rPr>
              <w:t>P800</w:t>
            </w:r>
          </w:p>
        </w:tc>
        <w:tc>
          <w:tcPr>
            <w:tcW w:w="735" w:type="dxa"/>
            <w:gridSpan w:val="2"/>
          </w:tcPr>
          <w:p w14:paraId="06003EF2" w14:textId="77777777" w:rsidR="00F8636C" w:rsidRPr="00D769EB" w:rsidRDefault="00F8636C" w:rsidP="00050CF0">
            <w:pPr>
              <w:jc w:val="center"/>
              <w:rPr>
                <w:rFonts w:asciiTheme="majorBidi" w:hAnsiTheme="majorBidi" w:cstheme="majorBidi"/>
              </w:rPr>
            </w:pPr>
            <w:r w:rsidRPr="00D769EB">
              <w:rPr>
                <w:rFonts w:asciiTheme="majorBidi" w:hAnsiTheme="majorBidi" w:cstheme="majorBidi"/>
              </w:rPr>
              <w:t>PP41</w:t>
            </w:r>
          </w:p>
        </w:tc>
        <w:tc>
          <w:tcPr>
            <w:tcW w:w="924" w:type="dxa"/>
          </w:tcPr>
          <w:p w14:paraId="527B852E" w14:textId="77777777" w:rsidR="00F8636C" w:rsidRPr="00D769EB" w:rsidRDefault="00F8636C" w:rsidP="00050CF0">
            <w:pPr>
              <w:jc w:val="center"/>
              <w:rPr>
                <w:rFonts w:asciiTheme="majorBidi" w:hAnsiTheme="majorBidi" w:cstheme="majorBidi"/>
              </w:rPr>
            </w:pPr>
            <w:r w:rsidRPr="00D769EB">
              <w:rPr>
                <w:rFonts w:asciiTheme="majorBidi" w:eastAsiaTheme="minorEastAsia" w:hAnsiTheme="majorBidi" w:cstheme="majorBidi"/>
              </w:rPr>
              <w:t>T1</w:t>
            </w:r>
          </w:p>
        </w:tc>
        <w:tc>
          <w:tcPr>
            <w:tcW w:w="810" w:type="dxa"/>
          </w:tcPr>
          <w:p w14:paraId="67B1298C" w14:textId="77777777" w:rsidR="00F8636C" w:rsidRPr="00D769EB" w:rsidRDefault="00F8636C" w:rsidP="00050CF0">
            <w:pPr>
              <w:jc w:val="center"/>
              <w:rPr>
                <w:rFonts w:asciiTheme="majorBidi" w:hAnsiTheme="majorBidi" w:cstheme="majorBidi"/>
              </w:rPr>
            </w:pPr>
            <w:r w:rsidRPr="00D769EB">
              <w:rPr>
                <w:rFonts w:asciiTheme="majorBidi" w:hAnsiTheme="majorBidi" w:cstheme="majorBidi"/>
              </w:rPr>
              <w:t>TP33</w:t>
            </w:r>
          </w:p>
        </w:tc>
      </w:tr>
    </w:tbl>
    <w:p w14:paraId="67567D45" w14:textId="77777777" w:rsidR="00884533" w:rsidRDefault="00884533" w:rsidP="00884533">
      <w:pPr>
        <w:ind w:left="1134" w:right="1134"/>
      </w:pPr>
    </w:p>
    <w:p w14:paraId="0DD10E94" w14:textId="160769BD" w:rsidR="00A370CC" w:rsidRDefault="00A370CC" w:rsidP="00DF5B3D">
      <w:pPr>
        <w:pStyle w:val="H1G"/>
        <w:spacing w:before="240"/>
        <w:rPr>
          <w:lang w:val="en-US"/>
        </w:rPr>
      </w:pPr>
      <w:r>
        <w:lastRenderedPageBreak/>
        <w:tab/>
      </w:r>
      <w:r>
        <w:tab/>
      </w:r>
      <w:r>
        <w:rPr>
          <w:rFonts w:hint="eastAsia"/>
        </w:rPr>
        <w:t>O</w:t>
      </w:r>
      <w:r>
        <w:t>ption 2</w:t>
      </w:r>
    </w:p>
    <w:p w14:paraId="2828E9B8" w14:textId="13538ADE" w:rsidR="00A370CC" w:rsidRDefault="00A370CC" w:rsidP="00A370CC">
      <w:pPr>
        <w:pStyle w:val="SingleTxtG"/>
        <w:rPr>
          <w:lang w:val="en-US"/>
        </w:rPr>
      </w:pPr>
      <w:r>
        <w:rPr>
          <w:lang w:val="en-US"/>
        </w:rPr>
        <w:t>1</w:t>
      </w:r>
      <w:r w:rsidR="00D41097">
        <w:rPr>
          <w:lang w:val="en-US"/>
        </w:rPr>
        <w:t>2</w:t>
      </w:r>
      <w:r>
        <w:rPr>
          <w:lang w:val="en-US"/>
        </w:rPr>
        <w:t>.</w:t>
      </w:r>
      <w:r>
        <w:rPr>
          <w:lang w:val="en-US"/>
        </w:rPr>
        <w:tab/>
      </w:r>
      <w:r w:rsidR="00F4252A">
        <w:rPr>
          <w:lang w:val="en-US"/>
        </w:rPr>
        <w:t xml:space="preserve">It is </w:t>
      </w:r>
      <w:r w:rsidRPr="004534D2">
        <w:rPr>
          <w:lang w:val="en-US"/>
        </w:rPr>
        <w:t>propose</w:t>
      </w:r>
      <w:r w:rsidR="00F4252A">
        <w:rPr>
          <w:lang w:val="en-US"/>
        </w:rPr>
        <w:t>d</w:t>
      </w:r>
      <w:r w:rsidRPr="004534D2">
        <w:rPr>
          <w:lang w:val="en-US"/>
        </w:rPr>
        <w:t xml:space="preserve"> to </w:t>
      </w:r>
      <w:r>
        <w:rPr>
          <w:lang w:val="en-US"/>
        </w:rPr>
        <w:t>introduce</w:t>
      </w:r>
      <w:r w:rsidRPr="004534D2">
        <w:rPr>
          <w:lang w:val="en-US"/>
        </w:rPr>
        <w:t xml:space="preserve"> </w:t>
      </w:r>
      <w:r w:rsidR="00F4252A" w:rsidRPr="004534D2">
        <w:rPr>
          <w:lang w:val="en-US"/>
        </w:rPr>
        <w:t xml:space="preserve">in Chapter 3.2 Dangerous Goods List </w:t>
      </w:r>
      <w:r w:rsidRPr="004534D2">
        <w:rPr>
          <w:lang w:val="en-US"/>
        </w:rPr>
        <w:t>a new</w:t>
      </w:r>
      <w:r>
        <w:rPr>
          <w:lang w:val="en-US"/>
        </w:rPr>
        <w:t xml:space="preserve"> special provision 3YY to the current entry of UN</w:t>
      </w:r>
      <w:r w:rsidR="00F4252A">
        <w:rPr>
          <w:lang w:val="en-US"/>
        </w:rPr>
        <w:t xml:space="preserve"> </w:t>
      </w:r>
      <w:r w:rsidR="00D41097">
        <w:rPr>
          <w:lang w:val="en-US"/>
        </w:rPr>
        <w:t xml:space="preserve">No. </w:t>
      </w:r>
      <w:r>
        <w:rPr>
          <w:lang w:val="en-US"/>
        </w:rPr>
        <w:t>2803</w:t>
      </w:r>
      <w:r w:rsidR="003643ED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"/>
        <w:gridCol w:w="955"/>
        <w:gridCol w:w="861"/>
        <w:gridCol w:w="911"/>
        <w:gridCol w:w="863"/>
        <w:gridCol w:w="902"/>
        <w:gridCol w:w="448"/>
        <w:gridCol w:w="448"/>
        <w:gridCol w:w="735"/>
        <w:gridCol w:w="22"/>
        <w:gridCol w:w="713"/>
        <w:gridCol w:w="924"/>
        <w:gridCol w:w="810"/>
      </w:tblGrid>
      <w:tr w:rsidR="00F4788A" w14:paraId="1341B240" w14:textId="77777777" w:rsidTr="00050CF0">
        <w:tc>
          <w:tcPr>
            <w:tcW w:w="800" w:type="dxa"/>
            <w:vMerge w:val="restart"/>
          </w:tcPr>
          <w:p w14:paraId="4BE6EC9F" w14:textId="77777777" w:rsidR="00F4788A" w:rsidRPr="00D41097" w:rsidRDefault="00F4788A" w:rsidP="00050CF0">
            <w:pPr>
              <w:rPr>
                <w:rFonts w:asciiTheme="majorBidi" w:hAnsiTheme="majorBidi" w:cstheme="majorBidi"/>
              </w:rPr>
            </w:pPr>
            <w:r w:rsidRPr="00D4109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UN No.</w:t>
            </w:r>
          </w:p>
        </w:tc>
        <w:tc>
          <w:tcPr>
            <w:tcW w:w="955" w:type="dxa"/>
            <w:vMerge w:val="restart"/>
          </w:tcPr>
          <w:p w14:paraId="751075BC" w14:textId="77777777" w:rsidR="00F4788A" w:rsidRPr="00D41097" w:rsidRDefault="00F4788A" w:rsidP="00050CF0">
            <w:pPr>
              <w:rPr>
                <w:rFonts w:asciiTheme="majorBidi" w:hAnsiTheme="majorBidi" w:cstheme="majorBidi"/>
              </w:rPr>
            </w:pPr>
            <w:r w:rsidRPr="00D4109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Name and description</w:t>
            </w:r>
          </w:p>
        </w:tc>
        <w:tc>
          <w:tcPr>
            <w:tcW w:w="861" w:type="dxa"/>
            <w:vMerge w:val="restart"/>
          </w:tcPr>
          <w:p w14:paraId="1381B5AB" w14:textId="77777777" w:rsidR="00F4788A" w:rsidRPr="00D41097" w:rsidRDefault="00F4788A" w:rsidP="00050CF0">
            <w:pPr>
              <w:rPr>
                <w:rFonts w:asciiTheme="majorBidi" w:hAnsiTheme="majorBidi" w:cstheme="majorBidi"/>
              </w:rPr>
            </w:pPr>
            <w:r w:rsidRPr="00D4109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Class or division</w:t>
            </w:r>
          </w:p>
        </w:tc>
        <w:tc>
          <w:tcPr>
            <w:tcW w:w="911" w:type="dxa"/>
            <w:vMerge w:val="restart"/>
          </w:tcPr>
          <w:p w14:paraId="72232B13" w14:textId="77777777" w:rsidR="00F4788A" w:rsidRPr="00D41097" w:rsidRDefault="00F4788A" w:rsidP="00050CF0">
            <w:pPr>
              <w:rPr>
                <w:rFonts w:asciiTheme="majorBidi" w:hAnsiTheme="majorBidi" w:cstheme="majorBidi"/>
              </w:rPr>
            </w:pPr>
            <w:r w:rsidRPr="00D4109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Subsidiary hazard</w:t>
            </w:r>
          </w:p>
        </w:tc>
        <w:tc>
          <w:tcPr>
            <w:tcW w:w="863" w:type="dxa"/>
            <w:vMerge w:val="restart"/>
          </w:tcPr>
          <w:p w14:paraId="4A385C75" w14:textId="77777777" w:rsidR="00F4788A" w:rsidRPr="00D41097" w:rsidRDefault="00F4788A" w:rsidP="00050CF0">
            <w:pPr>
              <w:rPr>
                <w:rFonts w:asciiTheme="majorBidi" w:hAnsiTheme="majorBidi" w:cstheme="majorBidi"/>
              </w:rPr>
            </w:pPr>
            <w:r w:rsidRPr="00D4109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UN packing group</w:t>
            </w:r>
          </w:p>
        </w:tc>
        <w:tc>
          <w:tcPr>
            <w:tcW w:w="902" w:type="dxa"/>
            <w:vMerge w:val="restart"/>
          </w:tcPr>
          <w:p w14:paraId="6F3FC559" w14:textId="77777777" w:rsidR="00F4788A" w:rsidRPr="00D41097" w:rsidRDefault="00F4788A" w:rsidP="00050CF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4109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Special </w:t>
            </w:r>
          </w:p>
          <w:p w14:paraId="7C82E728" w14:textId="77777777" w:rsidR="00F4788A" w:rsidRPr="00D41097" w:rsidRDefault="00F4788A" w:rsidP="00050CF0">
            <w:pPr>
              <w:rPr>
                <w:rFonts w:asciiTheme="majorBidi" w:hAnsiTheme="majorBidi" w:cstheme="majorBidi"/>
                <w:b/>
                <w:u w:val="single"/>
              </w:rPr>
            </w:pPr>
            <w:r w:rsidRPr="00D4109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Provisions</w:t>
            </w:r>
          </w:p>
        </w:tc>
        <w:tc>
          <w:tcPr>
            <w:tcW w:w="896" w:type="dxa"/>
            <w:gridSpan w:val="2"/>
            <w:vMerge w:val="restart"/>
          </w:tcPr>
          <w:p w14:paraId="44EAE53D" w14:textId="77777777" w:rsidR="00F4788A" w:rsidRPr="00D41097" w:rsidRDefault="00F4788A" w:rsidP="00050CF0">
            <w:pPr>
              <w:rPr>
                <w:rFonts w:asciiTheme="majorBidi" w:hAnsiTheme="majorBidi" w:cstheme="majorBidi"/>
              </w:rPr>
            </w:pPr>
            <w:r w:rsidRPr="00D4109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Limited and excepted quantities</w:t>
            </w:r>
          </w:p>
        </w:tc>
        <w:tc>
          <w:tcPr>
            <w:tcW w:w="1470" w:type="dxa"/>
            <w:gridSpan w:val="3"/>
          </w:tcPr>
          <w:p w14:paraId="02692ACF" w14:textId="77777777" w:rsidR="00F4788A" w:rsidRPr="00D41097" w:rsidRDefault="00F4788A" w:rsidP="00050CF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D4109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Packagings</w:t>
            </w:r>
            <w:proofErr w:type="spellEnd"/>
            <w:r w:rsidRPr="00D4109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  <w:p w14:paraId="179BEBEB" w14:textId="77777777" w:rsidR="00F4788A" w:rsidRPr="00D41097" w:rsidRDefault="00F4788A" w:rsidP="00050CF0">
            <w:pPr>
              <w:rPr>
                <w:rFonts w:asciiTheme="majorBidi" w:hAnsiTheme="majorBidi" w:cstheme="majorBidi"/>
              </w:rPr>
            </w:pPr>
            <w:r w:rsidRPr="00D4109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and IBCs</w:t>
            </w:r>
          </w:p>
        </w:tc>
        <w:tc>
          <w:tcPr>
            <w:tcW w:w="1734" w:type="dxa"/>
            <w:gridSpan w:val="2"/>
          </w:tcPr>
          <w:p w14:paraId="53B64A00" w14:textId="77777777" w:rsidR="00F4788A" w:rsidRPr="00D41097" w:rsidRDefault="00F4788A" w:rsidP="00050CF0">
            <w:pPr>
              <w:rPr>
                <w:rFonts w:asciiTheme="majorBidi" w:hAnsiTheme="majorBidi" w:cstheme="majorBidi"/>
              </w:rPr>
            </w:pPr>
            <w:r w:rsidRPr="00D4109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Portable tanks and bulk containers</w:t>
            </w:r>
          </w:p>
        </w:tc>
      </w:tr>
      <w:tr w:rsidR="00F4788A" w14:paraId="368E85F2" w14:textId="77777777" w:rsidTr="00050CF0">
        <w:tc>
          <w:tcPr>
            <w:tcW w:w="800" w:type="dxa"/>
            <w:vMerge/>
          </w:tcPr>
          <w:p w14:paraId="5A600954" w14:textId="77777777" w:rsidR="00F4788A" w:rsidRPr="00D41097" w:rsidRDefault="00F4788A" w:rsidP="00050C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55" w:type="dxa"/>
            <w:vMerge/>
          </w:tcPr>
          <w:p w14:paraId="3152D1AE" w14:textId="77777777" w:rsidR="00F4788A" w:rsidRPr="00D41097" w:rsidRDefault="00F4788A" w:rsidP="00050C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61" w:type="dxa"/>
            <w:vMerge/>
          </w:tcPr>
          <w:p w14:paraId="5142C4D8" w14:textId="77777777" w:rsidR="00F4788A" w:rsidRPr="00D41097" w:rsidRDefault="00F4788A" w:rsidP="00050C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1" w:type="dxa"/>
            <w:vMerge/>
          </w:tcPr>
          <w:p w14:paraId="09867AFF" w14:textId="77777777" w:rsidR="00F4788A" w:rsidRPr="00D41097" w:rsidRDefault="00F4788A" w:rsidP="00050C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63" w:type="dxa"/>
            <w:vMerge/>
          </w:tcPr>
          <w:p w14:paraId="07294B07" w14:textId="77777777" w:rsidR="00F4788A" w:rsidRPr="00D41097" w:rsidRDefault="00F4788A" w:rsidP="00050C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2" w:type="dxa"/>
            <w:vMerge/>
          </w:tcPr>
          <w:p w14:paraId="562FFC78" w14:textId="77777777" w:rsidR="00F4788A" w:rsidRPr="00D41097" w:rsidRDefault="00F4788A" w:rsidP="00050CF0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896" w:type="dxa"/>
            <w:gridSpan w:val="2"/>
            <w:vMerge/>
          </w:tcPr>
          <w:p w14:paraId="09F578E4" w14:textId="77777777" w:rsidR="00F4788A" w:rsidRPr="00D41097" w:rsidRDefault="00F4788A" w:rsidP="00050C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57" w:type="dxa"/>
            <w:gridSpan w:val="2"/>
          </w:tcPr>
          <w:p w14:paraId="292B6885" w14:textId="77777777" w:rsidR="00F4788A" w:rsidRPr="00D41097" w:rsidRDefault="00F4788A" w:rsidP="00050CF0">
            <w:pPr>
              <w:rPr>
                <w:rFonts w:asciiTheme="majorBidi" w:hAnsiTheme="majorBidi" w:cstheme="majorBidi"/>
              </w:rPr>
            </w:pPr>
            <w:r w:rsidRPr="00D4109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Packing instruction</w:t>
            </w:r>
          </w:p>
        </w:tc>
        <w:tc>
          <w:tcPr>
            <w:tcW w:w="713" w:type="dxa"/>
          </w:tcPr>
          <w:p w14:paraId="015577CF" w14:textId="77777777" w:rsidR="00F4788A" w:rsidRPr="00D41097" w:rsidRDefault="00F4788A" w:rsidP="00050CF0">
            <w:pPr>
              <w:rPr>
                <w:rFonts w:asciiTheme="majorBidi" w:hAnsiTheme="majorBidi" w:cstheme="majorBidi"/>
              </w:rPr>
            </w:pPr>
            <w:r w:rsidRPr="00D4109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Special packing provisions</w:t>
            </w:r>
          </w:p>
        </w:tc>
        <w:tc>
          <w:tcPr>
            <w:tcW w:w="924" w:type="dxa"/>
          </w:tcPr>
          <w:p w14:paraId="46E1EA3C" w14:textId="77777777" w:rsidR="00F4788A" w:rsidRPr="00D41097" w:rsidRDefault="00F4788A" w:rsidP="00050CF0">
            <w:pPr>
              <w:rPr>
                <w:rFonts w:asciiTheme="majorBidi" w:hAnsiTheme="majorBidi" w:cstheme="majorBidi"/>
              </w:rPr>
            </w:pPr>
            <w:r w:rsidRPr="00D4109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Instructions</w:t>
            </w:r>
          </w:p>
        </w:tc>
        <w:tc>
          <w:tcPr>
            <w:tcW w:w="810" w:type="dxa"/>
          </w:tcPr>
          <w:p w14:paraId="63E3D5D0" w14:textId="77777777" w:rsidR="00F4788A" w:rsidRPr="00D41097" w:rsidRDefault="00F4788A" w:rsidP="00050CF0">
            <w:pPr>
              <w:rPr>
                <w:rFonts w:asciiTheme="majorBidi" w:hAnsiTheme="majorBidi" w:cstheme="majorBidi"/>
              </w:rPr>
            </w:pPr>
            <w:r w:rsidRPr="00D4109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Special provisions</w:t>
            </w:r>
          </w:p>
        </w:tc>
      </w:tr>
      <w:tr w:rsidR="00F4788A" w14:paraId="2F91A3A7" w14:textId="77777777" w:rsidTr="00050CF0">
        <w:tc>
          <w:tcPr>
            <w:tcW w:w="800" w:type="dxa"/>
          </w:tcPr>
          <w:p w14:paraId="14B578A6" w14:textId="77777777" w:rsidR="00F4788A" w:rsidRPr="00D41097" w:rsidRDefault="00F4788A" w:rsidP="00050CF0">
            <w:pPr>
              <w:jc w:val="center"/>
              <w:rPr>
                <w:rFonts w:asciiTheme="majorBidi" w:hAnsiTheme="majorBidi" w:cstheme="majorBidi"/>
              </w:rPr>
            </w:pPr>
            <w:r w:rsidRPr="00D41097">
              <w:rPr>
                <w:rFonts w:asciiTheme="majorBidi" w:hAnsiTheme="majorBidi" w:cstheme="majorBidi"/>
              </w:rPr>
              <w:t>2803</w:t>
            </w:r>
          </w:p>
        </w:tc>
        <w:tc>
          <w:tcPr>
            <w:tcW w:w="955" w:type="dxa"/>
          </w:tcPr>
          <w:p w14:paraId="10E222B8" w14:textId="40802ED7" w:rsidR="00F4788A" w:rsidRPr="00D41097" w:rsidRDefault="00F4788A" w:rsidP="00050CF0">
            <w:pPr>
              <w:jc w:val="center"/>
              <w:rPr>
                <w:rFonts w:asciiTheme="majorBidi" w:eastAsiaTheme="minorEastAsia" w:hAnsiTheme="majorBidi" w:cstheme="majorBidi"/>
                <w:lang w:eastAsia="zh-CN"/>
              </w:rPr>
            </w:pPr>
            <w:r w:rsidRPr="00D41097">
              <w:rPr>
                <w:rFonts w:asciiTheme="majorBidi" w:eastAsiaTheme="minorEastAsia" w:hAnsiTheme="majorBidi" w:cstheme="majorBidi"/>
                <w:lang w:eastAsia="zh-CN"/>
              </w:rPr>
              <w:t>GAL</w:t>
            </w:r>
            <w:r w:rsidR="00D41097" w:rsidRPr="00D41097">
              <w:rPr>
                <w:rFonts w:asciiTheme="majorBidi" w:eastAsiaTheme="minorEastAsia" w:hAnsiTheme="majorBidi" w:cstheme="majorBidi"/>
                <w:lang w:eastAsia="zh-CN"/>
              </w:rPr>
              <w:t>L</w:t>
            </w:r>
            <w:r w:rsidRPr="00D41097">
              <w:rPr>
                <w:rFonts w:asciiTheme="majorBidi" w:eastAsiaTheme="minorEastAsia" w:hAnsiTheme="majorBidi" w:cstheme="majorBidi"/>
                <w:lang w:eastAsia="zh-CN"/>
              </w:rPr>
              <w:t>IUM</w:t>
            </w:r>
          </w:p>
        </w:tc>
        <w:tc>
          <w:tcPr>
            <w:tcW w:w="861" w:type="dxa"/>
          </w:tcPr>
          <w:p w14:paraId="4E5A98FA" w14:textId="77777777" w:rsidR="00F4788A" w:rsidRPr="00D41097" w:rsidRDefault="00F4788A" w:rsidP="00050CF0">
            <w:pPr>
              <w:jc w:val="center"/>
              <w:rPr>
                <w:rFonts w:asciiTheme="majorBidi" w:hAnsiTheme="majorBidi" w:cstheme="majorBidi"/>
              </w:rPr>
            </w:pPr>
            <w:r w:rsidRPr="00D41097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911" w:type="dxa"/>
          </w:tcPr>
          <w:p w14:paraId="04AB8824" w14:textId="77777777" w:rsidR="00F4788A" w:rsidRPr="00D41097" w:rsidRDefault="00F4788A" w:rsidP="00050CF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63" w:type="dxa"/>
          </w:tcPr>
          <w:p w14:paraId="43926DF9" w14:textId="34888449" w:rsidR="00F4788A" w:rsidRPr="00D41097" w:rsidRDefault="00D41097" w:rsidP="00050CF0">
            <w:pPr>
              <w:jc w:val="center"/>
              <w:rPr>
                <w:rFonts w:asciiTheme="majorBidi" w:hAnsiTheme="majorBidi" w:cstheme="majorBidi"/>
              </w:rPr>
            </w:pPr>
            <w:r w:rsidRPr="00D41097">
              <w:rPr>
                <w:rFonts w:asciiTheme="majorBidi" w:eastAsia="仿宋" w:hAnsiTheme="majorBidi" w:cstheme="majorBidi"/>
              </w:rPr>
              <w:t>III</w:t>
            </w:r>
          </w:p>
        </w:tc>
        <w:tc>
          <w:tcPr>
            <w:tcW w:w="902" w:type="dxa"/>
          </w:tcPr>
          <w:p w14:paraId="6391B954" w14:textId="77777777" w:rsidR="00F4788A" w:rsidRPr="00D41097" w:rsidRDefault="00F4788A" w:rsidP="00050CF0">
            <w:pPr>
              <w:jc w:val="center"/>
              <w:rPr>
                <w:rFonts w:asciiTheme="majorBidi" w:hAnsiTheme="majorBidi" w:cstheme="majorBidi"/>
                <w:b/>
                <w:u w:val="single"/>
              </w:rPr>
            </w:pPr>
            <w:r w:rsidRPr="00D41097">
              <w:rPr>
                <w:rFonts w:asciiTheme="majorBidi" w:hAnsiTheme="majorBidi" w:cstheme="majorBidi"/>
                <w:b/>
                <w:u w:val="single"/>
              </w:rPr>
              <w:t>3YY</w:t>
            </w:r>
          </w:p>
        </w:tc>
        <w:tc>
          <w:tcPr>
            <w:tcW w:w="448" w:type="dxa"/>
          </w:tcPr>
          <w:p w14:paraId="687FBD7B" w14:textId="77777777" w:rsidR="00F4788A" w:rsidRPr="00D41097" w:rsidRDefault="00F4788A" w:rsidP="00050CF0">
            <w:pPr>
              <w:jc w:val="center"/>
              <w:rPr>
                <w:rFonts w:asciiTheme="majorBidi" w:hAnsiTheme="majorBidi" w:cstheme="majorBidi"/>
              </w:rPr>
            </w:pPr>
            <w:r w:rsidRPr="00D41097">
              <w:rPr>
                <w:rFonts w:asciiTheme="majorBidi" w:hAnsiTheme="majorBidi" w:cstheme="majorBidi"/>
              </w:rPr>
              <w:t>5kg</w:t>
            </w:r>
          </w:p>
        </w:tc>
        <w:tc>
          <w:tcPr>
            <w:tcW w:w="448" w:type="dxa"/>
          </w:tcPr>
          <w:p w14:paraId="0794FC17" w14:textId="77777777" w:rsidR="00F4788A" w:rsidRPr="00D41097" w:rsidRDefault="00F4788A" w:rsidP="00050CF0">
            <w:pPr>
              <w:jc w:val="center"/>
              <w:rPr>
                <w:rFonts w:asciiTheme="majorBidi" w:hAnsiTheme="majorBidi" w:cstheme="majorBidi"/>
              </w:rPr>
            </w:pPr>
            <w:r w:rsidRPr="00D41097">
              <w:rPr>
                <w:rFonts w:asciiTheme="majorBidi" w:hAnsiTheme="majorBidi" w:cstheme="majorBidi"/>
              </w:rPr>
              <w:t>E0</w:t>
            </w:r>
          </w:p>
        </w:tc>
        <w:tc>
          <w:tcPr>
            <w:tcW w:w="735" w:type="dxa"/>
          </w:tcPr>
          <w:p w14:paraId="7997C11D" w14:textId="77777777" w:rsidR="00F4788A" w:rsidRPr="00D41097" w:rsidRDefault="00F4788A" w:rsidP="00050CF0">
            <w:pPr>
              <w:jc w:val="center"/>
              <w:rPr>
                <w:rFonts w:asciiTheme="majorBidi" w:hAnsiTheme="majorBidi" w:cstheme="majorBidi"/>
              </w:rPr>
            </w:pPr>
            <w:r w:rsidRPr="00D41097">
              <w:rPr>
                <w:rFonts w:asciiTheme="majorBidi" w:hAnsiTheme="majorBidi" w:cstheme="majorBidi"/>
              </w:rPr>
              <w:t>P800</w:t>
            </w:r>
          </w:p>
        </w:tc>
        <w:tc>
          <w:tcPr>
            <w:tcW w:w="735" w:type="dxa"/>
            <w:gridSpan w:val="2"/>
          </w:tcPr>
          <w:p w14:paraId="4DD86FAB" w14:textId="77777777" w:rsidR="00F4788A" w:rsidRPr="00D41097" w:rsidRDefault="00F4788A" w:rsidP="00050CF0">
            <w:pPr>
              <w:jc w:val="center"/>
              <w:rPr>
                <w:rFonts w:asciiTheme="majorBidi" w:hAnsiTheme="majorBidi" w:cstheme="majorBidi"/>
              </w:rPr>
            </w:pPr>
            <w:r w:rsidRPr="00D41097">
              <w:rPr>
                <w:rFonts w:asciiTheme="majorBidi" w:hAnsiTheme="majorBidi" w:cstheme="majorBidi"/>
              </w:rPr>
              <w:t>PP41</w:t>
            </w:r>
          </w:p>
        </w:tc>
        <w:tc>
          <w:tcPr>
            <w:tcW w:w="924" w:type="dxa"/>
          </w:tcPr>
          <w:p w14:paraId="0340CFF6" w14:textId="77777777" w:rsidR="00F4788A" w:rsidRPr="00D41097" w:rsidRDefault="00F4788A" w:rsidP="00050CF0">
            <w:pPr>
              <w:jc w:val="center"/>
              <w:rPr>
                <w:rFonts w:asciiTheme="majorBidi" w:hAnsiTheme="majorBidi" w:cstheme="majorBidi"/>
              </w:rPr>
            </w:pPr>
            <w:r w:rsidRPr="00D41097">
              <w:rPr>
                <w:rFonts w:asciiTheme="majorBidi" w:eastAsiaTheme="minorEastAsia" w:hAnsiTheme="majorBidi" w:cstheme="majorBidi"/>
              </w:rPr>
              <w:t>T1</w:t>
            </w:r>
          </w:p>
        </w:tc>
        <w:tc>
          <w:tcPr>
            <w:tcW w:w="810" w:type="dxa"/>
          </w:tcPr>
          <w:p w14:paraId="6876C5DD" w14:textId="77777777" w:rsidR="00F4788A" w:rsidRPr="00D41097" w:rsidRDefault="00F4788A" w:rsidP="00050CF0">
            <w:pPr>
              <w:jc w:val="center"/>
              <w:rPr>
                <w:rFonts w:asciiTheme="majorBidi" w:hAnsiTheme="majorBidi" w:cstheme="majorBidi"/>
              </w:rPr>
            </w:pPr>
            <w:r w:rsidRPr="00D41097">
              <w:rPr>
                <w:rFonts w:asciiTheme="majorBidi" w:hAnsiTheme="majorBidi" w:cstheme="majorBidi"/>
              </w:rPr>
              <w:t>TP33</w:t>
            </w:r>
          </w:p>
        </w:tc>
      </w:tr>
    </w:tbl>
    <w:p w14:paraId="64FAD062" w14:textId="06B890C4" w:rsidR="006C2913" w:rsidRPr="002B5E90" w:rsidRDefault="006C2913" w:rsidP="006C2913">
      <w:pPr>
        <w:pStyle w:val="SingleTxtG"/>
        <w:spacing w:before="240"/>
        <w:rPr>
          <w:lang w:val="en-US"/>
        </w:rPr>
      </w:pPr>
      <w:r>
        <w:rPr>
          <w:lang w:val="en-US"/>
        </w:rPr>
        <w:tab/>
        <w:t>1</w:t>
      </w:r>
      <w:r w:rsidR="00D41097">
        <w:rPr>
          <w:lang w:val="en-US"/>
        </w:rPr>
        <w:t>3</w:t>
      </w:r>
      <w:r>
        <w:rPr>
          <w:lang w:val="en-US"/>
        </w:rPr>
        <w:t>.</w:t>
      </w:r>
      <w:r>
        <w:rPr>
          <w:lang w:val="en-US"/>
        </w:rPr>
        <w:tab/>
      </w:r>
      <w:r w:rsidR="006B51E3">
        <w:rPr>
          <w:lang w:val="en-US"/>
        </w:rPr>
        <w:t>In Chapter 3.3</w:t>
      </w:r>
      <w:r w:rsidR="00696505">
        <w:rPr>
          <w:lang w:val="en-US"/>
        </w:rPr>
        <w:t xml:space="preserve"> add a</w:t>
      </w:r>
      <w:r>
        <w:rPr>
          <w:lang w:val="en-US"/>
        </w:rPr>
        <w:t xml:space="preserve"> new special provision 3YY </w:t>
      </w:r>
      <w:r w:rsidR="00696505">
        <w:rPr>
          <w:lang w:val="en-US"/>
        </w:rPr>
        <w:t>to read as follows</w:t>
      </w:r>
      <w:r w:rsidR="00734F37">
        <w:rPr>
          <w:lang w:val="en-US"/>
        </w:rPr>
        <w:t>:</w:t>
      </w:r>
    </w:p>
    <w:p w14:paraId="6AAC1A3B" w14:textId="71965E1B" w:rsidR="00F77719" w:rsidRDefault="00734F37" w:rsidP="006175A5">
      <w:pPr>
        <w:pStyle w:val="SingleTxtG"/>
        <w:spacing w:before="240"/>
        <w:ind w:left="1701"/>
        <w:rPr>
          <w:bCs/>
        </w:rPr>
      </w:pPr>
      <w:r w:rsidRPr="00734F37">
        <w:rPr>
          <w:bCs/>
        </w:rPr>
        <w:t>"</w:t>
      </w:r>
      <w:r w:rsidR="00F77719" w:rsidRPr="000B692E">
        <w:rPr>
          <w:rFonts w:hint="eastAsia"/>
          <w:b/>
          <w:u w:val="single"/>
        </w:rPr>
        <w:t>3</w:t>
      </w:r>
      <w:r w:rsidR="00F77719">
        <w:rPr>
          <w:b/>
          <w:u w:val="single"/>
        </w:rPr>
        <w:t>YY</w:t>
      </w:r>
      <w:r>
        <w:rPr>
          <w:b/>
          <w:u w:val="single"/>
        </w:rPr>
        <w:tab/>
      </w:r>
      <w:proofErr w:type="gramStart"/>
      <w:r w:rsidR="00F77719">
        <w:rPr>
          <w:b/>
          <w:u w:val="single"/>
        </w:rPr>
        <w:t>For</w:t>
      </w:r>
      <w:proofErr w:type="gramEnd"/>
      <w:r w:rsidR="00F77719" w:rsidRPr="00227CEA">
        <w:rPr>
          <w:b/>
          <w:u w:val="single"/>
        </w:rPr>
        <w:t xml:space="preserve"> land and sea transport</w:t>
      </w:r>
      <w:r w:rsidR="00F77719">
        <w:rPr>
          <w:b/>
          <w:u w:val="single"/>
        </w:rPr>
        <w:t>, m</w:t>
      </w:r>
      <w:r w:rsidR="00F77719" w:rsidRPr="00227CEA">
        <w:rPr>
          <w:b/>
          <w:u w:val="single"/>
        </w:rPr>
        <w:t>anufactured instruments a</w:t>
      </w:r>
      <w:r w:rsidR="00F77719">
        <w:rPr>
          <w:b/>
          <w:u w:val="single"/>
        </w:rPr>
        <w:t xml:space="preserve">nd articles containing not more </w:t>
      </w:r>
      <w:r w:rsidR="00F77719" w:rsidRPr="00227CEA">
        <w:rPr>
          <w:b/>
          <w:u w:val="single"/>
        </w:rPr>
        <w:t xml:space="preserve">than 1 kg of </w:t>
      </w:r>
      <w:r w:rsidR="00F77719">
        <w:rPr>
          <w:rFonts w:hint="eastAsia"/>
          <w:b/>
          <w:u w:val="single"/>
        </w:rPr>
        <w:t>gallium</w:t>
      </w:r>
      <w:r w:rsidR="00F77719" w:rsidRPr="00227CEA">
        <w:rPr>
          <w:b/>
          <w:u w:val="single"/>
        </w:rPr>
        <w:t xml:space="preserve"> are not subject to these Regulations</w:t>
      </w:r>
      <w:r w:rsidR="00F77719">
        <w:rPr>
          <w:b/>
          <w:u w:val="single"/>
        </w:rPr>
        <w:t xml:space="preserve">. For air transport, articles </w:t>
      </w:r>
      <w:r w:rsidR="00F77719" w:rsidRPr="00227CEA">
        <w:rPr>
          <w:b/>
          <w:u w:val="single"/>
        </w:rPr>
        <w:t xml:space="preserve">containing not more than 15 g of </w:t>
      </w:r>
      <w:r w:rsidR="00F77719">
        <w:rPr>
          <w:rFonts w:hint="eastAsia"/>
          <w:b/>
          <w:u w:val="single"/>
        </w:rPr>
        <w:t>gallium</w:t>
      </w:r>
      <w:r w:rsidR="00F77719" w:rsidRPr="00227CEA">
        <w:rPr>
          <w:b/>
          <w:u w:val="single"/>
        </w:rPr>
        <w:t xml:space="preserve"> are not subject to these Regulations.</w:t>
      </w:r>
      <w:r w:rsidR="00F77719">
        <w:rPr>
          <w:b/>
          <w:u w:val="single"/>
        </w:rPr>
        <w:t xml:space="preserve"> </w:t>
      </w:r>
      <w:r w:rsidR="00F77719" w:rsidRPr="00B74654">
        <w:rPr>
          <w:b/>
          <w:u w:val="single"/>
        </w:rPr>
        <w:t>Manufactured instruments and articles containing</w:t>
      </w:r>
      <w:r w:rsidR="00F77719">
        <w:rPr>
          <w:b/>
          <w:u w:val="single"/>
        </w:rPr>
        <w:t xml:space="preserve"> an e</w:t>
      </w:r>
      <w:r w:rsidR="00F77719" w:rsidRPr="00B74654">
        <w:rPr>
          <w:b/>
          <w:u w:val="single"/>
        </w:rPr>
        <w:t xml:space="preserve">xcessive </w:t>
      </w:r>
      <w:r w:rsidR="00F77719">
        <w:rPr>
          <w:b/>
          <w:u w:val="single"/>
        </w:rPr>
        <w:t xml:space="preserve">amount of </w:t>
      </w:r>
      <w:r w:rsidR="00F77719" w:rsidRPr="00B74654">
        <w:rPr>
          <w:b/>
          <w:u w:val="single"/>
        </w:rPr>
        <w:t>gallium</w:t>
      </w:r>
      <w:r w:rsidR="00F77719">
        <w:rPr>
          <w:b/>
          <w:u w:val="single"/>
        </w:rPr>
        <w:t xml:space="preserve"> shall be transported under the entries </w:t>
      </w:r>
      <w:r w:rsidR="00F77719" w:rsidRPr="000B692E">
        <w:rPr>
          <w:rFonts w:hint="eastAsia"/>
          <w:b/>
          <w:u w:val="single"/>
        </w:rPr>
        <w:t>U</w:t>
      </w:r>
      <w:r w:rsidR="00F77719" w:rsidRPr="000B692E">
        <w:rPr>
          <w:b/>
          <w:u w:val="single"/>
        </w:rPr>
        <w:t>N</w:t>
      </w:r>
      <w:r>
        <w:rPr>
          <w:b/>
          <w:u w:val="single"/>
        </w:rPr>
        <w:t xml:space="preserve"> </w:t>
      </w:r>
      <w:r w:rsidR="00F77719" w:rsidRPr="000B692E">
        <w:rPr>
          <w:b/>
          <w:u w:val="single"/>
        </w:rPr>
        <w:t>3363</w:t>
      </w:r>
      <w:r w:rsidR="00F77719">
        <w:rPr>
          <w:rFonts w:hint="eastAsia"/>
          <w:b/>
          <w:u w:val="single"/>
        </w:rPr>
        <w:t>，</w:t>
      </w:r>
      <w:r w:rsidR="00F77719">
        <w:rPr>
          <w:b/>
          <w:u w:val="single"/>
        </w:rPr>
        <w:t>DANGEROUS GOODS IN</w:t>
      </w:r>
      <w:r w:rsidR="00F77719">
        <w:rPr>
          <w:rFonts w:hint="eastAsia"/>
          <w:b/>
          <w:u w:val="single"/>
        </w:rPr>
        <w:t xml:space="preserve"> </w:t>
      </w:r>
      <w:r w:rsidR="00F77719">
        <w:rPr>
          <w:b/>
          <w:u w:val="single"/>
        </w:rPr>
        <w:t>ARTICLES or DANGEROUS</w:t>
      </w:r>
      <w:r w:rsidR="00F77719">
        <w:rPr>
          <w:rFonts w:hint="eastAsia"/>
          <w:b/>
          <w:u w:val="single"/>
        </w:rPr>
        <w:t xml:space="preserve"> </w:t>
      </w:r>
      <w:r w:rsidR="00F77719">
        <w:rPr>
          <w:b/>
          <w:u w:val="single"/>
        </w:rPr>
        <w:t>GOODS IN MACHINERY or</w:t>
      </w:r>
      <w:r w:rsidR="00F77719">
        <w:rPr>
          <w:rFonts w:hint="eastAsia"/>
          <w:b/>
          <w:u w:val="single"/>
        </w:rPr>
        <w:t xml:space="preserve"> </w:t>
      </w:r>
      <w:r w:rsidR="00F77719">
        <w:rPr>
          <w:b/>
          <w:u w:val="single"/>
        </w:rPr>
        <w:t>DANGEROUS GOODS IN</w:t>
      </w:r>
      <w:r w:rsidR="00F77719">
        <w:rPr>
          <w:rFonts w:hint="eastAsia"/>
          <w:b/>
          <w:u w:val="single"/>
        </w:rPr>
        <w:t xml:space="preserve"> </w:t>
      </w:r>
      <w:r w:rsidR="00F77719" w:rsidRPr="006063A3">
        <w:rPr>
          <w:b/>
          <w:u w:val="single"/>
        </w:rPr>
        <w:t>APPARATUS</w:t>
      </w:r>
      <w:r w:rsidR="00F77719">
        <w:rPr>
          <w:rFonts w:hint="eastAsia"/>
          <w:b/>
          <w:u w:val="single"/>
        </w:rPr>
        <w:t>，</w:t>
      </w:r>
      <w:r w:rsidR="00F77719">
        <w:rPr>
          <w:rFonts w:hint="eastAsia"/>
          <w:b/>
          <w:u w:val="single"/>
        </w:rPr>
        <w:t>o</w:t>
      </w:r>
      <w:r w:rsidR="00F77719">
        <w:rPr>
          <w:b/>
          <w:u w:val="single"/>
        </w:rPr>
        <w:t xml:space="preserve">r </w:t>
      </w:r>
      <w:r w:rsidR="00F77719" w:rsidRPr="000B692E">
        <w:rPr>
          <w:rFonts w:hint="eastAsia"/>
          <w:b/>
          <w:u w:val="single"/>
        </w:rPr>
        <w:t>U</w:t>
      </w:r>
      <w:r w:rsidR="00F77719" w:rsidRPr="000B692E">
        <w:rPr>
          <w:b/>
          <w:u w:val="single"/>
        </w:rPr>
        <w:t>N</w:t>
      </w:r>
      <w:r>
        <w:rPr>
          <w:b/>
          <w:u w:val="single"/>
        </w:rPr>
        <w:t xml:space="preserve"> </w:t>
      </w:r>
      <w:r w:rsidR="00F77719" w:rsidRPr="000B692E">
        <w:rPr>
          <w:b/>
          <w:u w:val="single"/>
        </w:rPr>
        <w:t>3547</w:t>
      </w:r>
      <w:r w:rsidR="00F77719">
        <w:rPr>
          <w:rFonts w:hint="eastAsia"/>
          <w:b/>
          <w:u w:val="single"/>
        </w:rPr>
        <w:t>，</w:t>
      </w:r>
      <w:r w:rsidR="00F77719">
        <w:rPr>
          <w:b/>
          <w:u w:val="single"/>
        </w:rPr>
        <w:t>ARTICLES CONTAINING</w:t>
      </w:r>
      <w:r w:rsidR="00F77719">
        <w:rPr>
          <w:rFonts w:hint="eastAsia"/>
          <w:b/>
          <w:u w:val="single"/>
        </w:rPr>
        <w:t xml:space="preserve"> </w:t>
      </w:r>
      <w:r w:rsidR="00F77719">
        <w:rPr>
          <w:b/>
          <w:u w:val="single"/>
        </w:rPr>
        <w:t>CORROSIVE SUBSTANCE,</w:t>
      </w:r>
      <w:r w:rsidR="00F77719">
        <w:rPr>
          <w:rFonts w:hint="eastAsia"/>
          <w:b/>
          <w:u w:val="single"/>
        </w:rPr>
        <w:t xml:space="preserve"> </w:t>
      </w:r>
      <w:r w:rsidR="00F77719" w:rsidRPr="006063A3">
        <w:rPr>
          <w:b/>
          <w:u w:val="single"/>
        </w:rPr>
        <w:t>N.O.S.</w:t>
      </w:r>
      <w:r w:rsidR="00F77719">
        <w:rPr>
          <w:rFonts w:hint="eastAsia"/>
          <w:b/>
          <w:u w:val="single"/>
        </w:rPr>
        <w:t>，</w:t>
      </w:r>
      <w:r w:rsidR="00F77719">
        <w:rPr>
          <w:rFonts w:hint="eastAsia"/>
          <w:b/>
          <w:u w:val="single"/>
        </w:rPr>
        <w:t>a</w:t>
      </w:r>
      <w:r w:rsidR="00F77719">
        <w:rPr>
          <w:b/>
          <w:u w:val="single"/>
        </w:rPr>
        <w:t>s appropriate</w:t>
      </w:r>
      <w:r w:rsidR="00F77719" w:rsidRPr="00734F37">
        <w:rPr>
          <w:bCs/>
        </w:rPr>
        <w:t>.</w:t>
      </w:r>
      <w:r w:rsidRPr="00734F37">
        <w:rPr>
          <w:bCs/>
        </w:rPr>
        <w:t>"</w:t>
      </w:r>
    </w:p>
    <w:p w14:paraId="2C975C51" w14:textId="328031E3" w:rsidR="00956F52" w:rsidRPr="00F77719" w:rsidRDefault="00F77719" w:rsidP="00F7771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56F52" w:rsidRPr="00F77719" w:rsidSect="00993D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AF841" w14:textId="77777777" w:rsidR="00D05934" w:rsidRPr="00C47B2E" w:rsidRDefault="00D05934" w:rsidP="00C47B2E">
      <w:pPr>
        <w:pStyle w:val="Footer"/>
      </w:pPr>
    </w:p>
  </w:endnote>
  <w:endnote w:type="continuationSeparator" w:id="0">
    <w:p w14:paraId="15BE0F4B" w14:textId="77777777" w:rsidR="00D05934" w:rsidRPr="00C47B2E" w:rsidRDefault="00D05934" w:rsidP="00C47B2E">
      <w:pPr>
        <w:pStyle w:val="Footer"/>
      </w:pPr>
    </w:p>
  </w:endnote>
  <w:endnote w:type="continuationNotice" w:id="1">
    <w:p w14:paraId="184B3967" w14:textId="77777777" w:rsidR="00D05934" w:rsidRPr="00C47B2E" w:rsidRDefault="00D05934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79F5F" w14:textId="4A49B613" w:rsidR="00D94B05" w:rsidRPr="00993D78" w:rsidRDefault="00993D78" w:rsidP="00993D78">
    <w:pPr>
      <w:pStyle w:val="Footer"/>
      <w:tabs>
        <w:tab w:val="right" w:pos="9598"/>
        <w:tab w:val="right" w:pos="9638"/>
      </w:tabs>
      <w:rPr>
        <w:sz w:val="18"/>
      </w:rPr>
    </w:pPr>
    <w:r w:rsidRPr="00993D78">
      <w:rPr>
        <w:b/>
        <w:sz w:val="18"/>
      </w:rPr>
      <w:fldChar w:fldCharType="begin"/>
    </w:r>
    <w:r w:rsidRPr="00993D78">
      <w:rPr>
        <w:b/>
        <w:sz w:val="18"/>
      </w:rPr>
      <w:instrText xml:space="preserve"> PAGE  \* MERGEFORMAT </w:instrText>
    </w:r>
    <w:r w:rsidRPr="00993D78">
      <w:rPr>
        <w:b/>
        <w:sz w:val="18"/>
      </w:rPr>
      <w:fldChar w:fldCharType="separate"/>
    </w:r>
    <w:r w:rsidRPr="00993D78">
      <w:rPr>
        <w:b/>
        <w:noProof/>
        <w:sz w:val="18"/>
      </w:rPr>
      <w:t>2</w:t>
    </w:r>
    <w:r w:rsidRPr="00993D7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3DCE6" w14:textId="2FB86F2F" w:rsidR="00D94B05" w:rsidRPr="00993D78" w:rsidRDefault="00993D78" w:rsidP="00993D78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993D78">
      <w:rPr>
        <w:sz w:val="18"/>
      </w:rPr>
      <w:fldChar w:fldCharType="begin"/>
    </w:r>
    <w:r w:rsidRPr="00993D78">
      <w:rPr>
        <w:sz w:val="18"/>
      </w:rPr>
      <w:instrText xml:space="preserve"> PAGE  \* MERGEFORMAT </w:instrText>
    </w:r>
    <w:r w:rsidRPr="00993D78">
      <w:rPr>
        <w:sz w:val="18"/>
      </w:rPr>
      <w:fldChar w:fldCharType="separate"/>
    </w:r>
    <w:r w:rsidRPr="00993D78">
      <w:rPr>
        <w:noProof/>
        <w:sz w:val="18"/>
      </w:rPr>
      <w:t>3</w:t>
    </w:r>
    <w:r w:rsidRPr="00993D78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2747F" w14:textId="77777777" w:rsidR="00D94B05" w:rsidRPr="00993D78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5DC1E9C2" wp14:editId="73318DF1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42034" w14:textId="77777777" w:rsidR="00D05934" w:rsidRPr="00C47B2E" w:rsidRDefault="00D05934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3B558DE2" w14:textId="77777777" w:rsidR="00D05934" w:rsidRPr="00C47B2E" w:rsidRDefault="00D05934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59EEDDDF" w14:textId="77777777" w:rsidR="00D05934" w:rsidRPr="00C47B2E" w:rsidRDefault="00D05934" w:rsidP="00C47B2E">
      <w:pPr>
        <w:pStyle w:val="Footer"/>
      </w:pPr>
    </w:p>
  </w:footnote>
  <w:footnote w:id="2">
    <w:p w14:paraId="5E6F490A" w14:textId="5BD39C23" w:rsidR="00286DA7" w:rsidRPr="00286DA7" w:rsidRDefault="00286DA7" w:rsidP="00286DA7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C4AF8" w14:textId="09D54944" w:rsidR="00993D78" w:rsidRPr="005A4652" w:rsidRDefault="005A4652">
    <w:pPr>
      <w:pStyle w:val="Header"/>
      <w:rPr>
        <w:lang w:val="fr-CH"/>
      </w:rPr>
    </w:pPr>
    <w:r>
      <w:rPr>
        <w:lang w:val="fr-CH"/>
      </w:rPr>
      <w:t>ST/SG/AC.10/C.3/2021/53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19B5" w14:textId="0AABAFA2" w:rsidR="00D94B05" w:rsidRPr="005A4652" w:rsidRDefault="005A4652" w:rsidP="00993D78">
    <w:pPr>
      <w:pStyle w:val="Header"/>
      <w:jc w:val="right"/>
      <w:rPr>
        <w:lang w:val="fr-CH"/>
      </w:rPr>
    </w:pPr>
    <w:r>
      <w:rPr>
        <w:lang w:val="fr-CH"/>
      </w:rPr>
      <w:t>ST/SG/AC.10/C.3/2021/53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8E3EC" w14:textId="77777777" w:rsidR="005A4652" w:rsidRDefault="005A4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A1A2E"/>
    <w:multiLevelType w:val="hybridMultilevel"/>
    <w:tmpl w:val="9B22E924"/>
    <w:lvl w:ilvl="0" w:tplc="6B76EF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"/>
  </w:num>
  <w:num w:numId="11">
    <w:abstractNumId w:val="9"/>
  </w:num>
  <w:num w:numId="12">
    <w:abstractNumId w:val="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78"/>
    <w:rsid w:val="00033C71"/>
    <w:rsid w:val="00034DBE"/>
    <w:rsid w:val="00046E92"/>
    <w:rsid w:val="00063C90"/>
    <w:rsid w:val="00097683"/>
    <w:rsid w:val="000D1DD9"/>
    <w:rsid w:val="000F3D9E"/>
    <w:rsid w:val="00101B98"/>
    <w:rsid w:val="001514D1"/>
    <w:rsid w:val="0016501E"/>
    <w:rsid w:val="001C3869"/>
    <w:rsid w:val="001D3FED"/>
    <w:rsid w:val="00235B12"/>
    <w:rsid w:val="00236F84"/>
    <w:rsid w:val="00247E2C"/>
    <w:rsid w:val="00260A6E"/>
    <w:rsid w:val="00286DA7"/>
    <w:rsid w:val="00287D3B"/>
    <w:rsid w:val="002921BB"/>
    <w:rsid w:val="002A32CB"/>
    <w:rsid w:val="002D5B2C"/>
    <w:rsid w:val="002D6C53"/>
    <w:rsid w:val="002F5595"/>
    <w:rsid w:val="00334F6A"/>
    <w:rsid w:val="00342AC8"/>
    <w:rsid w:val="00343302"/>
    <w:rsid w:val="003612BA"/>
    <w:rsid w:val="003643ED"/>
    <w:rsid w:val="00383C2A"/>
    <w:rsid w:val="003979DE"/>
    <w:rsid w:val="003B4550"/>
    <w:rsid w:val="003C0CFE"/>
    <w:rsid w:val="003D2A18"/>
    <w:rsid w:val="003E0C5A"/>
    <w:rsid w:val="003F6DF8"/>
    <w:rsid w:val="00413386"/>
    <w:rsid w:val="00461253"/>
    <w:rsid w:val="00483822"/>
    <w:rsid w:val="004858F5"/>
    <w:rsid w:val="004A2814"/>
    <w:rsid w:val="004B721F"/>
    <w:rsid w:val="004C0622"/>
    <w:rsid w:val="005042C2"/>
    <w:rsid w:val="00581220"/>
    <w:rsid w:val="0059758F"/>
    <w:rsid w:val="005A4652"/>
    <w:rsid w:val="005E029D"/>
    <w:rsid w:val="005E716E"/>
    <w:rsid w:val="006175A5"/>
    <w:rsid w:val="006476E1"/>
    <w:rsid w:val="006604DF"/>
    <w:rsid w:val="00671529"/>
    <w:rsid w:val="00696505"/>
    <w:rsid w:val="006B11B7"/>
    <w:rsid w:val="006B51E3"/>
    <w:rsid w:val="006C2913"/>
    <w:rsid w:val="006C393E"/>
    <w:rsid w:val="0070489D"/>
    <w:rsid w:val="007110E1"/>
    <w:rsid w:val="007268F9"/>
    <w:rsid w:val="00734F37"/>
    <w:rsid w:val="007464AB"/>
    <w:rsid w:val="00750282"/>
    <w:rsid w:val="00764440"/>
    <w:rsid w:val="0077101B"/>
    <w:rsid w:val="00774E29"/>
    <w:rsid w:val="007C52B0"/>
    <w:rsid w:val="007C6033"/>
    <w:rsid w:val="007E4493"/>
    <w:rsid w:val="008147C8"/>
    <w:rsid w:val="0081753A"/>
    <w:rsid w:val="00857D23"/>
    <w:rsid w:val="00861A87"/>
    <w:rsid w:val="00884533"/>
    <w:rsid w:val="0091340C"/>
    <w:rsid w:val="0092596D"/>
    <w:rsid w:val="00937E22"/>
    <w:rsid w:val="009411B4"/>
    <w:rsid w:val="00942CBA"/>
    <w:rsid w:val="00946F1D"/>
    <w:rsid w:val="009515F5"/>
    <w:rsid w:val="00956588"/>
    <w:rsid w:val="00956F52"/>
    <w:rsid w:val="009901C6"/>
    <w:rsid w:val="00993D78"/>
    <w:rsid w:val="009943D5"/>
    <w:rsid w:val="009B6202"/>
    <w:rsid w:val="009D0139"/>
    <w:rsid w:val="009D4D68"/>
    <w:rsid w:val="009D717D"/>
    <w:rsid w:val="009F5CDC"/>
    <w:rsid w:val="009F73FD"/>
    <w:rsid w:val="00A072D7"/>
    <w:rsid w:val="00A370CC"/>
    <w:rsid w:val="00A525F8"/>
    <w:rsid w:val="00A775CF"/>
    <w:rsid w:val="00AC5366"/>
    <w:rsid w:val="00AD1A9C"/>
    <w:rsid w:val="00AF5DE1"/>
    <w:rsid w:val="00B06045"/>
    <w:rsid w:val="00B206DD"/>
    <w:rsid w:val="00B51B2F"/>
    <w:rsid w:val="00B52EF4"/>
    <w:rsid w:val="00B54BCC"/>
    <w:rsid w:val="00B77560"/>
    <w:rsid w:val="00B777AD"/>
    <w:rsid w:val="00BE1AAA"/>
    <w:rsid w:val="00BF1DC4"/>
    <w:rsid w:val="00C03015"/>
    <w:rsid w:val="00C0358D"/>
    <w:rsid w:val="00C32C5D"/>
    <w:rsid w:val="00C35A27"/>
    <w:rsid w:val="00C4136E"/>
    <w:rsid w:val="00C44EAD"/>
    <w:rsid w:val="00C47B2E"/>
    <w:rsid w:val="00C9141D"/>
    <w:rsid w:val="00C925A9"/>
    <w:rsid w:val="00D03CE2"/>
    <w:rsid w:val="00D05934"/>
    <w:rsid w:val="00D37BDC"/>
    <w:rsid w:val="00D41097"/>
    <w:rsid w:val="00D63CD2"/>
    <w:rsid w:val="00D6783C"/>
    <w:rsid w:val="00D769EB"/>
    <w:rsid w:val="00D87DC2"/>
    <w:rsid w:val="00D94B05"/>
    <w:rsid w:val="00DA2976"/>
    <w:rsid w:val="00DC3085"/>
    <w:rsid w:val="00DC58C2"/>
    <w:rsid w:val="00DD1A4E"/>
    <w:rsid w:val="00DD5C4E"/>
    <w:rsid w:val="00DF5B3D"/>
    <w:rsid w:val="00E02C2B"/>
    <w:rsid w:val="00E1281A"/>
    <w:rsid w:val="00E21C27"/>
    <w:rsid w:val="00E26BCF"/>
    <w:rsid w:val="00E427CF"/>
    <w:rsid w:val="00E52109"/>
    <w:rsid w:val="00E75317"/>
    <w:rsid w:val="00EA4FF7"/>
    <w:rsid w:val="00EC0CE6"/>
    <w:rsid w:val="00EC7C1D"/>
    <w:rsid w:val="00ED6C48"/>
    <w:rsid w:val="00EE3045"/>
    <w:rsid w:val="00F4252A"/>
    <w:rsid w:val="00F4788A"/>
    <w:rsid w:val="00F5559B"/>
    <w:rsid w:val="00F65F5D"/>
    <w:rsid w:val="00F670A3"/>
    <w:rsid w:val="00F70772"/>
    <w:rsid w:val="00F77719"/>
    <w:rsid w:val="00F77C2C"/>
    <w:rsid w:val="00F8636C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16D577"/>
  <w15:docId w15:val="{A8126B55-4719-40C3-99BD-D6D625B8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uiPriority w:val="39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rsid w:val="009D4D68"/>
    <w:rPr>
      <w:b/>
      <w:sz w:val="28"/>
    </w:rPr>
  </w:style>
  <w:style w:type="character" w:customStyle="1" w:styleId="SingleTxtGChar">
    <w:name w:val="_ Single Txt_G Char"/>
    <w:link w:val="SingleTxtG"/>
    <w:qFormat/>
    <w:locked/>
    <w:rsid w:val="009D4D68"/>
  </w:style>
  <w:style w:type="paragraph" w:styleId="ListParagraph">
    <w:name w:val="List Paragraph"/>
    <w:basedOn w:val="Normal"/>
    <w:uiPriority w:val="34"/>
    <w:rsid w:val="00861A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715E1A-CBC8-4765-A3FA-11FD9F251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298FA-E1BE-4BEC-A798-E9EA3F018B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2C6FCC-75D2-419C-93C7-A3082C86C3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75</TotalTime>
  <Pages>3</Pages>
  <Words>927</Words>
  <Characters>5113</Characters>
  <Application>Microsoft Office Word</Application>
  <DocSecurity>0</DocSecurity>
  <Lines>225</Lines>
  <Paragraphs>108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ST/SG/AC.10/C.3/2021/</dc:title>
  <dc:subject/>
  <dc:creator>Laurence BERTHET</dc:creator>
  <cp:lastModifiedBy>Laurence Berthet</cp:lastModifiedBy>
  <cp:revision>84</cp:revision>
  <dcterms:created xsi:type="dcterms:W3CDTF">2021-09-06T12:46:00Z</dcterms:created>
  <dcterms:modified xsi:type="dcterms:W3CDTF">2021-09-18T17:11:00Z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