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1B59CB" w14:paraId="3EC4C094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9E3FECD" w14:textId="77777777" w:rsidR="002D5AAC" w:rsidRPr="008C1A9B" w:rsidRDefault="002D5AAC" w:rsidP="001B59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AB2BC4A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25EE371B" w14:textId="77777777" w:rsidR="001B59CB" w:rsidRPr="001B59CB" w:rsidRDefault="001B59CB" w:rsidP="001B59CB">
            <w:pPr>
              <w:jc w:val="right"/>
              <w:rPr>
                <w:lang w:val="en-US"/>
              </w:rPr>
            </w:pPr>
            <w:r w:rsidRPr="001B59CB">
              <w:rPr>
                <w:sz w:val="40"/>
                <w:lang w:val="en-US"/>
              </w:rPr>
              <w:t>E</w:t>
            </w:r>
            <w:r w:rsidRPr="001B59CB">
              <w:rPr>
                <w:lang w:val="en-US"/>
              </w:rPr>
              <w:t>/ECE/324/Rev.1/Add.40/Rev.2/Amend.8</w:t>
            </w:r>
            <w:r w:rsidRPr="001B59CB">
              <w:rPr>
                <w:rFonts w:cs="Times New Roman"/>
                <w:lang w:val="en-US"/>
              </w:rPr>
              <w:t>−</w:t>
            </w:r>
            <w:r w:rsidRPr="001B59CB">
              <w:rPr>
                <w:sz w:val="40"/>
                <w:lang w:val="en-US"/>
              </w:rPr>
              <w:t>E</w:t>
            </w:r>
            <w:r w:rsidRPr="001B59CB">
              <w:rPr>
                <w:lang w:val="en-US"/>
              </w:rPr>
              <w:t>/ECE/TRANS/505/Rev.1/Add.40/Rev.2/Amend.8</w:t>
            </w:r>
          </w:p>
        </w:tc>
      </w:tr>
      <w:tr w:rsidR="002D5AAC" w:rsidRPr="009D084C" w14:paraId="2C3A79AD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D1CC955" w14:textId="77777777" w:rsidR="002D5AAC" w:rsidRPr="001B59CB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74647401" w14:textId="77777777" w:rsidR="002D5AAC" w:rsidRPr="001B59CB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4CC3380F" w14:textId="77777777" w:rsidR="001B59CB" w:rsidRDefault="001B59CB" w:rsidP="001B59CB">
            <w:pPr>
              <w:spacing w:before="120" w:line="240" w:lineRule="exact"/>
              <w:rPr>
                <w:szCs w:val="20"/>
                <w:lang w:val="en-US"/>
              </w:rPr>
            </w:pPr>
          </w:p>
          <w:p w14:paraId="784A6E4A" w14:textId="77777777" w:rsidR="001B59CB" w:rsidRDefault="001B59CB" w:rsidP="001B59CB">
            <w:pPr>
              <w:spacing w:before="120" w:line="240" w:lineRule="exact"/>
              <w:rPr>
                <w:szCs w:val="20"/>
                <w:lang w:val="en-US"/>
              </w:rPr>
            </w:pPr>
          </w:p>
          <w:p w14:paraId="5A75FABA" w14:textId="77777777" w:rsidR="001B59CB" w:rsidRDefault="001B59CB" w:rsidP="001B59CB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 February 2021</w:t>
            </w:r>
          </w:p>
          <w:p w14:paraId="7B20967F" w14:textId="77777777" w:rsidR="001B59CB" w:rsidRPr="009D084C" w:rsidRDefault="001B59CB" w:rsidP="001B59CB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14:paraId="5A5ABF48" w14:textId="77777777" w:rsidR="001B59CB" w:rsidRPr="003C62C7" w:rsidRDefault="001B59CB" w:rsidP="00E16289">
      <w:pPr>
        <w:pStyle w:val="HChG"/>
      </w:pPr>
      <w:r w:rsidRPr="006F0732">
        <w:tab/>
      </w:r>
      <w:r w:rsidRPr="006F0732">
        <w:tab/>
      </w:r>
      <w:r w:rsidRPr="003C62C7">
        <w:t>Соглашение</w:t>
      </w:r>
      <w:bookmarkStart w:id="0" w:name="_Toc340666199"/>
      <w:bookmarkStart w:id="1" w:name="_Toc340745062"/>
      <w:bookmarkEnd w:id="0"/>
      <w:bookmarkEnd w:id="1"/>
    </w:p>
    <w:p w14:paraId="66691A66" w14:textId="77777777" w:rsidR="001B59CB" w:rsidRDefault="001B59CB" w:rsidP="001B59CB">
      <w:pPr>
        <w:pStyle w:val="H1GR"/>
        <w:spacing w:before="240" w:after="120"/>
        <w:rPr>
          <w:b w:val="0"/>
          <w:szCs w:val="24"/>
        </w:rPr>
      </w:pPr>
      <w:r w:rsidRPr="003C62C7">
        <w:rPr>
          <w:szCs w:val="24"/>
        </w:rPr>
        <w:tab/>
      </w:r>
      <w:r w:rsidRPr="003C62C7">
        <w:rPr>
          <w:szCs w:val="24"/>
        </w:rPr>
        <w:tab/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E16289">
        <w:rPr>
          <w:b w:val="0"/>
          <w:sz w:val="20"/>
        </w:rPr>
        <w:footnoteReference w:customMarkFollows="1" w:id="1"/>
        <w:t>*</w:t>
      </w:r>
    </w:p>
    <w:p w14:paraId="6926B4D0" w14:textId="77777777" w:rsidR="001B59CB" w:rsidRPr="00300628" w:rsidRDefault="001B59CB" w:rsidP="001B59CB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Pr="00B634BC">
        <w:t>(Пересмотр 3, включающий поправки, вступившие в силу 14 сентября 2017 года</w:t>
      </w:r>
      <w:r w:rsidRPr="00B634BC">
        <w:rPr>
          <w:b/>
        </w:rPr>
        <w:t>)</w:t>
      </w:r>
    </w:p>
    <w:p w14:paraId="0CF36FC6" w14:textId="77777777" w:rsidR="001B59CB" w:rsidRPr="00300628" w:rsidRDefault="001B59CB" w:rsidP="001B59CB">
      <w:pPr>
        <w:pStyle w:val="H1G"/>
        <w:spacing w:before="120"/>
        <w:ind w:left="0" w:right="0" w:firstLine="0"/>
        <w:jc w:val="center"/>
      </w:pPr>
      <w:r w:rsidRPr="00300628">
        <w:t>_________</w:t>
      </w:r>
    </w:p>
    <w:p w14:paraId="7213BB18" w14:textId="77777777" w:rsidR="001B59CB" w:rsidRPr="00FF6645" w:rsidRDefault="001B59CB" w:rsidP="001B59CB">
      <w:pPr>
        <w:pStyle w:val="H1G"/>
        <w:spacing w:before="240" w:after="120"/>
      </w:pPr>
      <w:r w:rsidRPr="00300628">
        <w:tab/>
      </w:r>
      <w:r w:rsidRPr="00300628">
        <w:tab/>
      </w:r>
      <w:r>
        <w:t>Добавление</w:t>
      </w:r>
      <w:r w:rsidRPr="00FF6645">
        <w:t xml:space="preserve"> </w:t>
      </w:r>
      <w:r w:rsidRPr="00300628">
        <w:t>40</w:t>
      </w:r>
      <w:r w:rsidRPr="00FF6645">
        <w:t xml:space="preserve"> </w:t>
      </w:r>
      <w:r w:rsidR="00CF3AE9" w:rsidRPr="00CF3AE9">
        <w:t>—</w:t>
      </w:r>
      <w:r w:rsidRPr="00FF6645">
        <w:t xml:space="preserve"> </w:t>
      </w:r>
      <w:r>
        <w:t xml:space="preserve">Правила № </w:t>
      </w:r>
      <w:r w:rsidRPr="00300628">
        <w:t>41</w:t>
      </w:r>
      <w:r>
        <w:t xml:space="preserve"> ООН</w:t>
      </w:r>
    </w:p>
    <w:p w14:paraId="79FD8273" w14:textId="77777777" w:rsidR="001B59CB" w:rsidRPr="00300628" w:rsidRDefault="001B59CB" w:rsidP="001B59CB">
      <w:pPr>
        <w:pStyle w:val="H1G"/>
        <w:spacing w:before="240"/>
      </w:pPr>
      <w:r w:rsidRPr="00FF6645">
        <w:tab/>
      </w:r>
      <w:r w:rsidRPr="00FF6645">
        <w:tab/>
      </w:r>
      <w:r>
        <w:t>Пересмотр</w:t>
      </w:r>
      <w:r w:rsidRPr="00300628">
        <w:t xml:space="preserve"> 2</w:t>
      </w:r>
      <w:r w:rsidR="00CF3AE9" w:rsidRPr="00CF3AE9">
        <w:t xml:space="preserve"> —</w:t>
      </w:r>
      <w:r w:rsidRPr="00FF6645">
        <w:t xml:space="preserve"> </w:t>
      </w:r>
      <w:r>
        <w:t>Поправка</w:t>
      </w:r>
      <w:r w:rsidRPr="00FF6645">
        <w:t xml:space="preserve"> </w:t>
      </w:r>
      <w:r w:rsidRPr="00300628">
        <w:t>8</w:t>
      </w:r>
    </w:p>
    <w:p w14:paraId="0D826400" w14:textId="77777777" w:rsidR="001B59CB" w:rsidRPr="00B634BC" w:rsidRDefault="001B59CB" w:rsidP="001B59CB">
      <w:pPr>
        <w:pStyle w:val="SingleTxtG"/>
        <w:spacing w:after="360"/>
        <w:rPr>
          <w:spacing w:val="-2"/>
        </w:rPr>
      </w:pPr>
      <w:r>
        <w:rPr>
          <w:spacing w:val="-2"/>
        </w:rPr>
        <w:t>Дополнение 8 к поправкам</w:t>
      </w:r>
      <w:r w:rsidRPr="00FF6645">
        <w:rPr>
          <w:spacing w:val="-2"/>
        </w:rPr>
        <w:t xml:space="preserve"> </w:t>
      </w:r>
      <w:r>
        <w:rPr>
          <w:spacing w:val="-2"/>
        </w:rPr>
        <w:t>серии</w:t>
      </w:r>
      <w:r w:rsidRPr="00FF6645">
        <w:rPr>
          <w:spacing w:val="-2"/>
        </w:rPr>
        <w:t xml:space="preserve"> 0</w:t>
      </w:r>
      <w:r>
        <w:rPr>
          <w:spacing w:val="-2"/>
        </w:rPr>
        <w:t>4</w:t>
      </w:r>
      <w:r w:rsidRPr="00FF6645">
        <w:rPr>
          <w:spacing w:val="-2"/>
        </w:rPr>
        <w:t xml:space="preserve"> </w:t>
      </w:r>
      <w:r w:rsidR="00CF3AE9" w:rsidRPr="00CF3AE9">
        <w:rPr>
          <w:spacing w:val="-2"/>
        </w:rPr>
        <w:t>—</w:t>
      </w:r>
      <w:r w:rsidRPr="00FF6645">
        <w:rPr>
          <w:spacing w:val="-2"/>
        </w:rPr>
        <w:t xml:space="preserve"> </w:t>
      </w:r>
      <w:r>
        <w:rPr>
          <w:spacing w:val="-2"/>
        </w:rPr>
        <w:t>Дата вступления в силу</w:t>
      </w:r>
      <w:r w:rsidRPr="00B634BC">
        <w:rPr>
          <w:spacing w:val="-2"/>
        </w:rPr>
        <w:t xml:space="preserve">: </w:t>
      </w:r>
      <w:r w:rsidRPr="00B634BC">
        <w:t xml:space="preserve">3 </w:t>
      </w:r>
      <w:r>
        <w:t>января</w:t>
      </w:r>
      <w:r w:rsidRPr="00B634BC">
        <w:t xml:space="preserve"> 2021</w:t>
      </w:r>
      <w:r>
        <w:t xml:space="preserve"> года</w:t>
      </w:r>
    </w:p>
    <w:p w14:paraId="5E430EF8" w14:textId="77777777" w:rsidR="001B59CB" w:rsidRPr="001B59CB" w:rsidRDefault="001B59CB" w:rsidP="001B59CB">
      <w:pPr>
        <w:pStyle w:val="H1G"/>
      </w:pPr>
      <w:r w:rsidRPr="001B59CB">
        <w:tab/>
      </w:r>
      <w:r w:rsidRPr="001B59CB">
        <w:tab/>
      </w:r>
      <w:r w:rsidRPr="001B59CB">
        <w:t>Единообразные предписания, касающиеся официального утверждения мотоциклов в отношении шума</w:t>
      </w:r>
    </w:p>
    <w:p w14:paraId="4DA2180F" w14:textId="77777777" w:rsidR="001B59CB" w:rsidRPr="006E6D77" w:rsidRDefault="001B59CB" w:rsidP="001B59CB">
      <w:pPr>
        <w:pStyle w:val="SingleTxtG"/>
        <w:spacing w:after="40"/>
        <w:rPr>
          <w:lang w:eastAsia="en-GB"/>
        </w:rPr>
      </w:pPr>
      <w:r w:rsidRPr="008E0953">
        <w:t>Настоящий документ опубликован исключительно в информационных целях. Аутентичным и юридически обязательным текстом является документ</w:t>
      </w:r>
      <w:r w:rsidRPr="006E6D77">
        <w:rPr>
          <w:spacing w:val="-4"/>
          <w:lang w:eastAsia="en-GB"/>
        </w:rPr>
        <w:t>:</w:t>
      </w:r>
      <w:r w:rsidRPr="006E6D77">
        <w:rPr>
          <w:lang w:eastAsia="en-GB"/>
        </w:rPr>
        <w:t xml:space="preserve"> </w:t>
      </w:r>
      <w:r w:rsidRPr="006F0732">
        <w:rPr>
          <w:spacing w:val="-6"/>
          <w:lang w:eastAsia="en-GB"/>
        </w:rPr>
        <w:t>ECE</w:t>
      </w:r>
      <w:r w:rsidRPr="006E6D77">
        <w:rPr>
          <w:spacing w:val="-6"/>
          <w:lang w:eastAsia="en-GB"/>
        </w:rPr>
        <w:t>/</w:t>
      </w:r>
      <w:r w:rsidRPr="006F0732">
        <w:rPr>
          <w:spacing w:val="-6"/>
          <w:lang w:eastAsia="en-GB"/>
        </w:rPr>
        <w:t>TRANS</w:t>
      </w:r>
      <w:r w:rsidRPr="006E6D77">
        <w:rPr>
          <w:spacing w:val="-6"/>
          <w:lang w:eastAsia="en-GB"/>
        </w:rPr>
        <w:t>/</w:t>
      </w:r>
      <w:r w:rsidRPr="006F0732">
        <w:rPr>
          <w:spacing w:val="-6"/>
          <w:lang w:eastAsia="en-GB"/>
        </w:rPr>
        <w:t>WP</w:t>
      </w:r>
      <w:r w:rsidRPr="006E6D77">
        <w:rPr>
          <w:spacing w:val="-6"/>
          <w:lang w:eastAsia="en-GB"/>
        </w:rPr>
        <w:t>.29/2020/70.</w:t>
      </w:r>
    </w:p>
    <w:p w14:paraId="5E81DABA" w14:textId="77777777" w:rsidR="001B59CB" w:rsidRPr="006F0732" w:rsidRDefault="001B59CB" w:rsidP="001B59CB">
      <w:pPr>
        <w:suppressAutoHyphens w:val="0"/>
        <w:spacing w:line="240" w:lineRule="auto"/>
        <w:jc w:val="center"/>
        <w:rPr>
          <w:b/>
          <w:sz w:val="24"/>
        </w:rPr>
      </w:pPr>
      <w:r w:rsidRPr="006F0732">
        <w:rPr>
          <w:b/>
          <w:noProof/>
          <w:sz w:val="24"/>
          <w:lang w:val="en-US"/>
        </w:rPr>
        <w:drawing>
          <wp:anchor distT="0" distB="137160" distL="114300" distR="114300" simplePos="0" relativeHeight="251659264" behindDoc="0" locked="0" layoutInCell="1" allowOverlap="1" wp14:anchorId="6DE63A12" wp14:editId="344EA832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732">
        <w:rPr>
          <w:b/>
          <w:sz w:val="24"/>
        </w:rPr>
        <w:t>_________</w:t>
      </w:r>
    </w:p>
    <w:p w14:paraId="36B10543" w14:textId="77777777" w:rsidR="001B59CB" w:rsidRPr="008A55B1" w:rsidRDefault="001B59CB" w:rsidP="00E16289">
      <w:pPr>
        <w:spacing w:after="120"/>
        <w:ind w:left="1134" w:right="1134"/>
        <w:jc w:val="center"/>
        <w:rPr>
          <w:b/>
          <w:sz w:val="24"/>
        </w:rPr>
      </w:pPr>
      <w:r>
        <w:rPr>
          <w:b/>
          <w:sz w:val="24"/>
        </w:rPr>
        <w:t>ОРГАНИЗАЦИЯ ОБЪЕДИНЕННЫХ НАЦИЙ</w:t>
      </w:r>
      <w:r w:rsidRPr="008A55B1">
        <w:rPr>
          <w:b/>
          <w:sz w:val="24"/>
        </w:rPr>
        <w:br w:type="page"/>
      </w:r>
    </w:p>
    <w:p w14:paraId="4023A033" w14:textId="77777777" w:rsidR="001B59CB" w:rsidRPr="008A55B1" w:rsidRDefault="001B59CB" w:rsidP="001B59CB">
      <w:pPr>
        <w:pStyle w:val="SingleTxtG"/>
        <w:rPr>
          <w:color w:val="000000"/>
        </w:rPr>
      </w:pPr>
      <w:r w:rsidRPr="008A55B1">
        <w:rPr>
          <w:i/>
          <w:iCs/>
        </w:rPr>
        <w:lastRenderedPageBreak/>
        <w:t>Пункт 2</w:t>
      </w:r>
      <w:r w:rsidRPr="008A55B1">
        <w:t xml:space="preserve"> изменить следующим образом</w:t>
      </w:r>
      <w:r w:rsidRPr="008A55B1">
        <w:rPr>
          <w:color w:val="000000"/>
        </w:rPr>
        <w:t>:</w:t>
      </w:r>
    </w:p>
    <w:p w14:paraId="31C59B98" w14:textId="77777777" w:rsidR="001B59CB" w:rsidRPr="008A55B1" w:rsidRDefault="001B59CB" w:rsidP="001B59CB">
      <w:pPr>
        <w:pStyle w:val="HChG"/>
      </w:pPr>
      <w:r w:rsidRPr="008A55B1">
        <w:tab/>
      </w:r>
      <w:r w:rsidRPr="008A55B1">
        <w:tab/>
      </w:r>
      <w:bookmarkStart w:id="2" w:name="_GoBack"/>
      <w:r w:rsidRPr="000C40B4">
        <w:rPr>
          <w:b w:val="0"/>
        </w:rPr>
        <w:t>«</w:t>
      </w:r>
      <w:bookmarkEnd w:id="2"/>
      <w:r w:rsidRPr="008A55B1">
        <w:t>2.</w:t>
      </w:r>
      <w:r w:rsidRPr="008A55B1">
        <w:tab/>
      </w:r>
      <w:r w:rsidRPr="008A55B1">
        <w:tab/>
        <w:t>…</w:t>
      </w:r>
    </w:p>
    <w:p w14:paraId="04EEF29C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>2.1</w:t>
      </w:r>
      <w:r w:rsidRPr="008A55B1">
        <w:tab/>
      </w:r>
      <w:r w:rsidR="00E16289" w:rsidRPr="00E16289">
        <w:t>“</w:t>
      </w:r>
      <w:r w:rsidRPr="008A55B1">
        <w:rPr>
          <w:i/>
          <w:iCs/>
        </w:rPr>
        <w:t>Официальное утверждение мотоцикла</w:t>
      </w:r>
      <w:r w:rsidR="00E16289" w:rsidRPr="00E16289">
        <w:t>”</w:t>
      </w:r>
      <w:r w:rsidRPr="008A55B1">
        <w:t xml:space="preserve"> означает официальное утверждение типа мотоцикла в связи с производимым им шумом; </w:t>
      </w:r>
    </w:p>
    <w:p w14:paraId="5DDDFCB9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>2.2</w:t>
      </w:r>
      <w:r w:rsidRPr="008A55B1">
        <w:tab/>
      </w:r>
      <w:r w:rsidR="00E16289" w:rsidRPr="00E16289">
        <w:t>“</w:t>
      </w:r>
      <w:r w:rsidRPr="008A55B1">
        <w:rPr>
          <w:i/>
          <w:iCs/>
        </w:rPr>
        <w:t>Тип мотоцикла в связи с уровнем производимого им звука</w:t>
      </w:r>
      <w:r w:rsidR="00E16289" w:rsidRPr="00E16289">
        <w:t>”</w:t>
      </w:r>
      <w:r w:rsidRPr="008A55B1">
        <w:t xml:space="preserve"> означает мотоциклы, не имеющие существенных различий в отношении следующего: </w:t>
      </w:r>
    </w:p>
    <w:p w14:paraId="28352BEF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2.2.1 </w:t>
      </w:r>
      <w:r w:rsidRPr="008A55B1">
        <w:tab/>
        <w:t xml:space="preserve">типа двигателя (двухтактный или четырехтактный, поршневой двигатель или роторный двигатель, число и рабочий объем цилиндров </w:t>
      </w:r>
      <w:r w:rsidRPr="008A55B1">
        <w:rPr>
          <w:bCs/>
        </w:rPr>
        <w:t>или роторов</w:t>
      </w:r>
      <w:r w:rsidRPr="008A55B1">
        <w:t>, число и тип карбюраторов или систем впрыска, расположение клапанов, номинальная полезная максимальная мощность и соответствующая частота вращения двигателя). В случае роторно-поршневых двигателей рабочий объем должен в два раза превышать объем камеры;</w:t>
      </w:r>
    </w:p>
    <w:p w14:paraId="1AE34ACA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8A55B1">
        <w:rPr>
          <w:color w:val="000000"/>
        </w:rPr>
        <w:t xml:space="preserve">2.2.2 </w:t>
      </w:r>
      <w:r w:rsidRPr="008A55B1">
        <w:rPr>
          <w:color w:val="000000"/>
        </w:rPr>
        <w:tab/>
      </w:r>
      <w:r w:rsidRPr="008A55B1">
        <w:t xml:space="preserve">системы трансмиссии, в частности количества передач и передаточных чисел, </w:t>
      </w:r>
      <w:r w:rsidRPr="008A55B1">
        <w:rPr>
          <w:bCs/>
        </w:rPr>
        <w:t>а также общего передаточного числа с учетом окружности задних колес;</w:t>
      </w:r>
    </w:p>
    <w:p w14:paraId="1CB8EE7E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2.2.3 </w:t>
      </w:r>
      <w:r w:rsidRPr="008A55B1">
        <w:tab/>
      </w:r>
      <w:r w:rsidRPr="008A55B1">
        <w:rPr>
          <w:bCs/>
        </w:rPr>
        <w:t>конфигурации и расположения систем выпуска или глушителя.</w:t>
      </w:r>
    </w:p>
    <w:p w14:paraId="7DA219B5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2.3 </w:t>
      </w:r>
      <w:r w:rsidRPr="008A55B1">
        <w:tab/>
      </w:r>
      <w:r w:rsidR="00E16289" w:rsidRPr="00E16289">
        <w:t>“</w:t>
      </w:r>
      <w:r w:rsidRPr="008A55B1">
        <w:rPr>
          <w:i/>
          <w:iCs/>
        </w:rPr>
        <w:t>Система выпуска или глушителя</w:t>
      </w:r>
      <w:r w:rsidR="00E16289" w:rsidRPr="00E16289">
        <w:t>”</w:t>
      </w:r>
      <w:r w:rsidRPr="008A55B1">
        <w:t xml:space="preserve"> означает полный комплект элементов, необходимых для снижения шума, производимого двигателем мотоцикла и его выхлопными газами. </w:t>
      </w:r>
    </w:p>
    <w:p w14:paraId="4EC12EF6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2.3.1 </w:t>
      </w:r>
      <w:r w:rsidRPr="008A55B1">
        <w:tab/>
      </w:r>
      <w:r w:rsidR="00E16289" w:rsidRPr="00E16289">
        <w:t>“</w:t>
      </w:r>
      <w:r w:rsidRPr="008A55B1">
        <w:rPr>
          <w:i/>
          <w:iCs/>
        </w:rPr>
        <w:t>Оригинальная система выпуска или глушителя</w:t>
      </w:r>
      <w:r w:rsidR="00E16289" w:rsidRPr="00E16289">
        <w:t>”</w:t>
      </w:r>
      <w:r w:rsidRPr="008A55B1">
        <w:t xml:space="preserve"> означает систему такого типа, которой транспортное средство было оснащено в момент официального утверждения или распространения официального утверждения. Она может также быть сменной частью, произведенной изготовителем транспортного средства.</w:t>
      </w:r>
    </w:p>
    <w:p w14:paraId="64337718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rPr>
          <w:color w:val="000000"/>
        </w:rPr>
        <w:t xml:space="preserve">2.3.2 </w:t>
      </w:r>
      <w:r w:rsidRPr="008A55B1">
        <w:rPr>
          <w:color w:val="000000"/>
        </w:rPr>
        <w:tab/>
      </w:r>
      <w:r w:rsidR="00E16289" w:rsidRPr="00E16289">
        <w:t>“</w:t>
      </w:r>
      <w:r w:rsidRPr="008A55B1">
        <w:rPr>
          <w:i/>
          <w:iCs/>
        </w:rPr>
        <w:t xml:space="preserve">Неоригинальная </w:t>
      </w:r>
      <w:r w:rsidRPr="008A55B1">
        <w:rPr>
          <w:bCs/>
          <w:i/>
          <w:iCs/>
        </w:rPr>
        <w:t xml:space="preserve">сменная </w:t>
      </w:r>
      <w:r w:rsidRPr="008A55B1">
        <w:rPr>
          <w:i/>
          <w:iCs/>
        </w:rPr>
        <w:t>система выпуска или глушителя (</w:t>
      </w:r>
      <w:r w:rsidRPr="008A55B1">
        <w:rPr>
          <w:bCs/>
          <w:i/>
          <w:iCs/>
        </w:rPr>
        <w:t>НОССВГ</w:t>
      </w:r>
      <w:r w:rsidRPr="008A55B1">
        <w:rPr>
          <w:i/>
          <w:iCs/>
        </w:rPr>
        <w:t>)</w:t>
      </w:r>
      <w:r w:rsidR="00E16289" w:rsidRPr="00E16289">
        <w:t>”</w:t>
      </w:r>
      <w:r w:rsidRPr="008A55B1">
        <w:t xml:space="preserve"> означает систему, которая отличается от системы того типа, которой транспортное средство было оснащено в момент официального утверждения или распространения официального утверждения.</w:t>
      </w:r>
    </w:p>
    <w:p w14:paraId="256CCADB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2.4 </w:t>
      </w:r>
      <w:r w:rsidRPr="008A55B1">
        <w:tab/>
      </w:r>
      <w:r w:rsidR="00E16289" w:rsidRPr="00E16289">
        <w:t>“</w:t>
      </w:r>
      <w:r w:rsidRPr="008A55B1">
        <w:rPr>
          <w:i/>
          <w:iCs/>
        </w:rPr>
        <w:t xml:space="preserve">Системы выпуска или глушителей различных </w:t>
      </w:r>
      <w:r w:rsidRPr="008A55B1">
        <w:rPr>
          <w:bCs/>
          <w:i/>
          <w:iCs/>
        </w:rPr>
        <w:t>конфигураций</w:t>
      </w:r>
      <w:r w:rsidR="00E16289" w:rsidRPr="00E16289">
        <w:t xml:space="preserve">” </w:t>
      </w:r>
      <w:r w:rsidRPr="008A55B1">
        <w:t>означают системы, имеющие одно или более из следующих существенных различий:</w:t>
      </w:r>
    </w:p>
    <w:p w14:paraId="59AF060E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2.4.1 </w:t>
      </w:r>
      <w:r w:rsidRPr="008A55B1">
        <w:tab/>
        <w:t>системы, элементы которых имеют различные фабричные или торговые знаки;</w:t>
      </w:r>
    </w:p>
    <w:p w14:paraId="2A882067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2.4.2 </w:t>
      </w:r>
      <w:r w:rsidRPr="008A55B1">
        <w:tab/>
        <w:t>системы, в которых характеристики материалов, из которых изготовлен какой-либо элемент системы, являются разными или элементы которых имеют разную форму либо размер;</w:t>
      </w:r>
    </w:p>
    <w:p w14:paraId="434FD6AD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2.4.3 </w:t>
      </w:r>
      <w:r w:rsidRPr="008A55B1">
        <w:tab/>
        <w:t>системы, в которых принципы работы хотя бы одного элемента различаются;</w:t>
      </w:r>
    </w:p>
    <w:p w14:paraId="68EB7AB8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 xml:space="preserve">2.4.4 </w:t>
      </w:r>
      <w:r w:rsidRPr="008A55B1">
        <w:tab/>
        <w:t>системы, элементы которых комбинируются по-разному;</w:t>
      </w:r>
    </w:p>
    <w:p w14:paraId="2CCFD6D0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color w:val="000000"/>
        </w:rPr>
      </w:pPr>
      <w:r w:rsidRPr="008A55B1">
        <w:rPr>
          <w:color w:val="000000"/>
        </w:rPr>
        <w:t>2.5</w:t>
      </w:r>
      <w:r w:rsidRPr="008A55B1">
        <w:rPr>
          <w:color w:val="000000"/>
        </w:rPr>
        <w:tab/>
        <w:t>…».</w:t>
      </w:r>
    </w:p>
    <w:p w14:paraId="3C70A79B" w14:textId="77777777" w:rsidR="001B59CB" w:rsidRPr="008A55B1" w:rsidRDefault="001B59CB" w:rsidP="00E16289">
      <w:pPr>
        <w:pStyle w:val="SingleTxtG"/>
        <w:tabs>
          <w:tab w:val="clear" w:pos="1701"/>
          <w:tab w:val="left" w:pos="1418"/>
        </w:tabs>
      </w:pPr>
      <w:r w:rsidRPr="008A55B1">
        <w:rPr>
          <w:i/>
        </w:rPr>
        <w:t>Включить новый пункт 3.3</w:t>
      </w:r>
      <w:r w:rsidRPr="008A55B1">
        <w:t xml:space="preserve"> следующего содержания:</w:t>
      </w:r>
    </w:p>
    <w:p w14:paraId="48DAA812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8A55B1">
        <w:rPr>
          <w:bCs/>
        </w:rPr>
        <w:t>«3.3</w:t>
      </w:r>
      <w:r w:rsidRPr="008A55B1">
        <w:tab/>
      </w:r>
      <w:r w:rsidRPr="008A55B1">
        <w:rPr>
          <w:bCs/>
        </w:rPr>
        <w:t>Соответствующие документы, упомянутые в пункте 3.2 выше, должны быть подготовлены по каждой конфигурации системы выпуска или глушителя, если к типу мотоцикла, подлежащего официальному утверждению, применимы несколько конфигураций».</w:t>
      </w:r>
    </w:p>
    <w:p w14:paraId="076E8E50" w14:textId="77777777" w:rsidR="001B59CB" w:rsidRPr="008A55B1" w:rsidRDefault="001B59CB" w:rsidP="001B59CB">
      <w:pPr>
        <w:pStyle w:val="SingleTxtG"/>
        <w:pageBreakBefore/>
        <w:ind w:left="2268" w:hanging="1134"/>
      </w:pPr>
      <w:r w:rsidRPr="008A55B1">
        <w:rPr>
          <w:i/>
        </w:rPr>
        <w:lastRenderedPageBreak/>
        <w:t>Пункт 3.3 (прежний),</w:t>
      </w:r>
      <w:r w:rsidRPr="008A55B1">
        <w:t xml:space="preserve"> изменить нумерацию на 3.4, а текст следующим образом:</w:t>
      </w:r>
    </w:p>
    <w:p w14:paraId="37564963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>«3.4</w:t>
      </w:r>
      <w:r w:rsidRPr="008A55B1">
        <w:tab/>
        <w:t xml:space="preserve">По просьбе технической службы, уполномоченной проводить испытания на официальное утверждение, </w:t>
      </w:r>
      <w:r w:rsidRPr="008A55B1">
        <w:rPr>
          <w:bCs/>
        </w:rPr>
        <w:t>по согласованию с органами по официальному утверждению типа</w:t>
      </w:r>
      <w:r w:rsidRPr="008A55B1">
        <w:t xml:space="preserve"> изготовитель мотоцикла должен, кроме того, представить образец систем</w:t>
      </w:r>
      <w:r w:rsidRPr="008A55B1">
        <w:rPr>
          <w:bCs/>
        </w:rPr>
        <w:t>(ы)</w:t>
      </w:r>
      <w:r w:rsidRPr="008A55B1">
        <w:t xml:space="preserve"> выпуска или глушителя».</w:t>
      </w:r>
    </w:p>
    <w:p w14:paraId="044A28E5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rPr>
          <w:i/>
        </w:rPr>
        <w:t>Пункт 3.4 (прежний),</w:t>
      </w:r>
      <w:r w:rsidRPr="008A55B1">
        <w:t xml:space="preserve"> изменить нумерацию на 3.5, а текст следующим образом:</w:t>
      </w:r>
    </w:p>
    <w:p w14:paraId="2C0F8912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>«3.5</w:t>
      </w:r>
      <w:r w:rsidRPr="008A55B1">
        <w:tab/>
        <w:t xml:space="preserve">Технической службе, уполномоченной проводить испытание на официальное утверждение, </w:t>
      </w:r>
      <w:r w:rsidRPr="008A55B1">
        <w:rPr>
          <w:bCs/>
        </w:rPr>
        <w:t>по согласованию с органами по официальному утверждению типа</w:t>
      </w:r>
      <w:r w:rsidRPr="008A55B1">
        <w:t xml:space="preserve"> должен</w:t>
      </w:r>
      <w:r w:rsidRPr="008A55B1">
        <w:rPr>
          <w:bCs/>
        </w:rPr>
        <w:t>(ны)</w:t>
      </w:r>
      <w:r w:rsidRPr="008A55B1">
        <w:t xml:space="preserve"> быть представлен</w:t>
      </w:r>
      <w:r w:rsidRPr="008A55B1">
        <w:rPr>
          <w:bCs/>
        </w:rPr>
        <w:t>(ы)</w:t>
      </w:r>
      <w:r w:rsidRPr="008A55B1">
        <w:t xml:space="preserve"> </w:t>
      </w:r>
      <w:r w:rsidRPr="008A55B1">
        <w:rPr>
          <w:bCs/>
        </w:rPr>
        <w:t xml:space="preserve">(все) </w:t>
      </w:r>
      <w:r w:rsidRPr="008A55B1">
        <w:t>мотоцикл</w:t>
      </w:r>
      <w:r w:rsidRPr="008A55B1">
        <w:rPr>
          <w:bCs/>
        </w:rPr>
        <w:t>(ы) того же типа,</w:t>
      </w:r>
      <w:r w:rsidRPr="008A55B1">
        <w:t xml:space="preserve"> подлежащего официальному утверждению,</w:t>
      </w:r>
      <w:r w:rsidRPr="008A55B1">
        <w:rPr>
          <w:bCs/>
        </w:rPr>
        <w:t xml:space="preserve"> со всеми возможными конфигурациями системы выпуска или глушителя»</w:t>
      </w:r>
      <w:r w:rsidRPr="008A55B1">
        <w:t>.</w:t>
      </w:r>
    </w:p>
    <w:p w14:paraId="6B0A5400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rPr>
          <w:i/>
        </w:rPr>
        <w:t>Пункт 3.5 (прежний),</w:t>
      </w:r>
      <w:r w:rsidRPr="008A55B1">
        <w:t xml:space="preserve"> изменить нумерацию на 3.6.</w:t>
      </w:r>
    </w:p>
    <w:p w14:paraId="06456363" w14:textId="77777777" w:rsidR="001B59CB" w:rsidRPr="008A55B1" w:rsidRDefault="001B59CB" w:rsidP="00E16289">
      <w:pPr>
        <w:pStyle w:val="SingleTxtG"/>
        <w:tabs>
          <w:tab w:val="clear" w:pos="1701"/>
          <w:tab w:val="left" w:pos="1418"/>
        </w:tabs>
      </w:pPr>
      <w:r w:rsidRPr="008A55B1">
        <w:rPr>
          <w:i/>
        </w:rPr>
        <w:t>Пункт 5.2</w:t>
      </w:r>
      <w:r w:rsidRPr="008A55B1">
        <w:t>, изменить нумерацию на 5.2.1, а текст следующим образом:</w:t>
      </w:r>
    </w:p>
    <w:p w14:paraId="2F028949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>«5.2.</w:t>
      </w:r>
      <w:r w:rsidRPr="008A55B1">
        <w:rPr>
          <w:bCs/>
        </w:rPr>
        <w:t>1</w:t>
      </w:r>
      <w:r w:rsidRPr="008A55B1">
        <w:t xml:space="preserve"> </w:t>
      </w:r>
      <w:r w:rsidRPr="008A55B1">
        <w:tab/>
        <w:t xml:space="preserve">Каждому официально утвержденному типу присваивают номер официального утверждения, первые две цифры которого указывают на серию поправок, включающую самые последние существенные технические изменения, внесенные в Правила к моменту предоставления официального утверждения. Одна и та же Договаривающаяся сторона не может присвоить этот номер другому типу мотоцикла». </w:t>
      </w:r>
    </w:p>
    <w:p w14:paraId="0F597177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Cs/>
        </w:rPr>
      </w:pPr>
      <w:r w:rsidRPr="008A55B1">
        <w:rPr>
          <w:bCs/>
          <w:i/>
        </w:rPr>
        <w:t>Включить новый пункт 5.2.2</w:t>
      </w:r>
      <w:r w:rsidRPr="008A55B1">
        <w:rPr>
          <w:bCs/>
        </w:rPr>
        <w:t xml:space="preserve"> следующего содержания:</w:t>
      </w:r>
    </w:p>
    <w:p w14:paraId="7562A1B1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8A55B1">
        <w:rPr>
          <w:bCs/>
        </w:rPr>
        <w:t>«5.2.2</w:t>
      </w:r>
      <w:r w:rsidRPr="008A55B1">
        <w:t xml:space="preserve"> </w:t>
      </w:r>
      <w:r w:rsidRPr="008A55B1">
        <w:tab/>
      </w:r>
      <w:r w:rsidRPr="008A55B1">
        <w:rPr>
          <w:bCs/>
        </w:rPr>
        <w:t>Разные конфигурации системы выпуска или глушителя должны быть четко перечислены в рамках одного и того же официального утверждения типа мотоцикла с результатами соответствующих испытаний».</w:t>
      </w:r>
    </w:p>
    <w:p w14:paraId="63E1FDBB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color w:val="0D0D0D"/>
        </w:rPr>
      </w:pPr>
      <w:r w:rsidRPr="008A55B1">
        <w:rPr>
          <w:i/>
        </w:rPr>
        <w:t>Пункт</w:t>
      </w:r>
      <w:r w:rsidRPr="008A55B1">
        <w:rPr>
          <w:i/>
          <w:color w:val="0D0D0D"/>
        </w:rPr>
        <w:t xml:space="preserve"> 5.3</w:t>
      </w:r>
      <w:r w:rsidRPr="008A55B1">
        <w:rPr>
          <w:color w:val="0D0D0D"/>
        </w:rPr>
        <w:t xml:space="preserve"> изменить </w:t>
      </w:r>
      <w:r w:rsidRPr="008A55B1">
        <w:t>следующим образом</w:t>
      </w:r>
      <w:r w:rsidRPr="008A55B1">
        <w:rPr>
          <w:color w:val="0D0D0D"/>
        </w:rPr>
        <w:t xml:space="preserve">: </w:t>
      </w:r>
    </w:p>
    <w:p w14:paraId="6FCFE7A4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rPr>
          <w:color w:val="0D0D0D"/>
        </w:rPr>
        <w:t xml:space="preserve">«5.3 </w:t>
      </w:r>
      <w:r w:rsidRPr="008A55B1">
        <w:rPr>
          <w:color w:val="0D0D0D"/>
        </w:rPr>
        <w:tab/>
      </w:r>
      <w:r w:rsidRPr="008A55B1">
        <w:t xml:space="preserve">Стороны Соглашения, применяющие настоящие Правила, уведомляются об официальном утверждении или об отказе в официальном утверждении типа мотоцикла на основании настоящих Правил посредством карточки, соответствующей образцу, приведенному в приложении 1 к настоящим Правилам, и чертежей глушителя (представляемых предприятием, подавшим заявку на официальное утверждение) максимальным форматом </w:t>
      </w:r>
      <w:r>
        <w:t>A</w:t>
      </w:r>
      <w:r w:rsidRPr="008A55B1">
        <w:t>4 (210 х 297 мм) или форматом, кратным ему и в соответствующем масштабе».</w:t>
      </w:r>
    </w:p>
    <w:p w14:paraId="15F67052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Cs/>
        </w:rPr>
      </w:pPr>
      <w:r w:rsidRPr="008A55B1">
        <w:rPr>
          <w:bCs/>
          <w:i/>
        </w:rPr>
        <w:t>Включить новый пункт 5.4</w:t>
      </w:r>
      <w:r w:rsidRPr="008A55B1">
        <w:rPr>
          <w:bCs/>
        </w:rPr>
        <w:t xml:space="preserve"> следующего содержания:</w:t>
      </w:r>
    </w:p>
    <w:p w14:paraId="2A3FC971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Cs/>
        </w:rPr>
      </w:pPr>
      <w:r w:rsidRPr="008A55B1">
        <w:rPr>
          <w:bCs/>
        </w:rPr>
        <w:t>«5.4</w:t>
      </w:r>
      <w:r w:rsidRPr="008A55B1">
        <w:tab/>
      </w:r>
      <w:r w:rsidRPr="008A55B1">
        <w:rPr>
          <w:bCs/>
        </w:rPr>
        <w:t>Соответствующая информация о различных конфигурациях систем выпуска или глушителя, упомянутая в пункте 5.2.2 выше, указывается в соответствии с приложением 1 к настоящим Правилам».</w:t>
      </w:r>
    </w:p>
    <w:p w14:paraId="6C1FAABF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i/>
        </w:rPr>
      </w:pPr>
      <w:r w:rsidRPr="008A55B1">
        <w:rPr>
          <w:i/>
          <w:iCs/>
        </w:rPr>
        <w:t>Пункты 5.4–5.8</w:t>
      </w:r>
      <w:r w:rsidRPr="008A55B1">
        <w:t xml:space="preserve"> </w:t>
      </w:r>
      <w:r w:rsidRPr="008A55B1">
        <w:rPr>
          <w:i/>
          <w:iCs/>
        </w:rPr>
        <w:t>(прежние)</w:t>
      </w:r>
      <w:r w:rsidRPr="008A55B1">
        <w:t>, изменить нумерацию пунктов на 5.5–5.9 соответственно.</w:t>
      </w:r>
    </w:p>
    <w:p w14:paraId="15E65228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i/>
          <w:color w:val="0D0D0D"/>
        </w:rPr>
      </w:pPr>
      <w:r w:rsidRPr="008A55B1">
        <w:rPr>
          <w:i/>
          <w:color w:val="0D0D0D"/>
        </w:rPr>
        <w:t xml:space="preserve">Приложение 3 </w:t>
      </w:r>
    </w:p>
    <w:p w14:paraId="3FEA8A3E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color w:val="0D0D0D"/>
        </w:rPr>
      </w:pPr>
      <w:r w:rsidRPr="008A55B1">
        <w:rPr>
          <w:i/>
          <w:color w:val="0D0D0D"/>
        </w:rPr>
        <w:t>П</w:t>
      </w:r>
      <w:r w:rsidRPr="008A55B1">
        <w:rPr>
          <w:i/>
          <w:iCs/>
        </w:rPr>
        <w:t>ункт 1.3.2.1</w:t>
      </w:r>
      <w:r w:rsidRPr="008A55B1">
        <w:t xml:space="preserve"> изменить следующим образом:</w:t>
      </w:r>
    </w:p>
    <w:p w14:paraId="23C651D4" w14:textId="77777777" w:rsidR="001B59CB" w:rsidRPr="008A55B1" w:rsidRDefault="001B59CB" w:rsidP="00E16289">
      <w:pPr>
        <w:pStyle w:val="SingleTxtG"/>
        <w:keepNext/>
        <w:tabs>
          <w:tab w:val="clear" w:pos="1701"/>
        </w:tabs>
        <w:ind w:left="2268" w:hanging="1134"/>
      </w:pPr>
      <w:r w:rsidRPr="008A55B1">
        <w:rPr>
          <w:color w:val="0D0D0D"/>
        </w:rPr>
        <w:t>«1.3.2.1</w:t>
      </w:r>
      <w:r w:rsidRPr="008A55B1">
        <w:rPr>
          <w:color w:val="0D0D0D"/>
        </w:rPr>
        <w:tab/>
      </w:r>
      <w:r w:rsidRPr="008A55B1">
        <w:t>Общие условия</w:t>
      </w:r>
    </w:p>
    <w:p w14:paraId="0A3DFBAC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Cs/>
        </w:rPr>
      </w:pPr>
      <w:r w:rsidRPr="008A55B1">
        <w:tab/>
      </w:r>
      <w:r w:rsidRPr="008A55B1">
        <w:rPr>
          <w:bCs/>
        </w:rPr>
        <w:t>В целях соблюдения требований настоящих Правил испытуемое(ые) транспортное(ые) средство(а) должно(ы) быть репрезентативным(и) для транспортных средств, предназначенных для выпуска на рынок, в</w:t>
      </w:r>
      <w:r>
        <w:rPr>
          <w:bCs/>
        </w:rPr>
        <w:t> </w:t>
      </w:r>
      <w:r w:rsidRPr="008A55B1">
        <w:rPr>
          <w:bCs/>
        </w:rPr>
        <w:t>соответствии с типом транспортных средств, подлежащим официальному утверждению, и выбирается(ются) изготовителем по согласованию с органом по официальному утверждению типа.</w:t>
      </w:r>
    </w:p>
    <w:p w14:paraId="06ECBE2B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color w:val="0D0D0D"/>
          <w:lang w:eastAsia="ja-JP"/>
        </w:rPr>
      </w:pPr>
      <w:r w:rsidRPr="008A55B1">
        <w:rPr>
          <w:color w:val="0D0D0D"/>
        </w:rPr>
        <w:tab/>
      </w:r>
      <w:r w:rsidRPr="008A55B1">
        <w:rPr>
          <w:bCs/>
          <w:color w:val="0D0D0D"/>
        </w:rPr>
        <w:t>…».</w:t>
      </w:r>
    </w:p>
    <w:p w14:paraId="43483271" w14:textId="77777777" w:rsidR="001B59CB" w:rsidRPr="008A55B1" w:rsidRDefault="001B59CB" w:rsidP="001B59CB">
      <w:pPr>
        <w:pageBreakBefore/>
        <w:spacing w:after="120"/>
        <w:ind w:left="425" w:firstLine="709"/>
        <w:rPr>
          <w:i/>
          <w:lang w:eastAsia="fr-FR"/>
        </w:rPr>
      </w:pPr>
      <w:r w:rsidRPr="008A55B1">
        <w:rPr>
          <w:i/>
        </w:rPr>
        <w:lastRenderedPageBreak/>
        <w:t xml:space="preserve">Пункт 2.4.1 </w:t>
      </w:r>
      <w:r w:rsidRPr="008A55B1">
        <w:rPr>
          <w:iCs/>
        </w:rPr>
        <w:t>изменить следующим образом:</w:t>
      </w:r>
    </w:p>
    <w:p w14:paraId="43C3E314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>«2.4.1</w:t>
      </w:r>
      <w:r w:rsidRPr="008A55B1">
        <w:tab/>
        <w:t>Расположение микрофона (см. добавление 2)</w:t>
      </w:r>
    </w:p>
    <w:p w14:paraId="4CEB61CA" w14:textId="77777777" w:rsidR="001B59CB" w:rsidRPr="008A55B1" w:rsidRDefault="001B59CB" w:rsidP="001B59CB">
      <w:pPr>
        <w:pStyle w:val="SingleTxtG"/>
        <w:ind w:left="2268"/>
      </w:pPr>
      <w:r w:rsidRPr="008A55B1">
        <w:t>...</w:t>
      </w:r>
    </w:p>
    <w:p w14:paraId="7D134EF5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Cs/>
        </w:rPr>
      </w:pPr>
      <w:bookmarkStart w:id="3" w:name="_Hlk15907250"/>
      <w:r w:rsidRPr="008A55B1">
        <w:tab/>
        <w:t xml:space="preserve">Если транспортное средство имеет не менее двух срезов выпускных труб, расстояние между которыми составляет </w:t>
      </w:r>
      <w:r w:rsidRPr="008A55B1">
        <w:rPr>
          <w:bCs/>
        </w:rPr>
        <w:t>не более</w:t>
      </w:r>
      <w:r w:rsidRPr="008A55B1">
        <w:t xml:space="preserve"> 0,3</w:t>
      </w:r>
      <w:r>
        <w:t> </w:t>
      </w:r>
      <w:r w:rsidRPr="008A55B1">
        <w:t xml:space="preserve">м и которые подсоединены к одному и тому же глушителю, то проводят только одно измерение. Положение микрофона определяется по отношению к тому срезу, который наиболее удален от продольной оси транспортного средства, или если такого среза нет, то по отношению к срезу, который находится выше над поверхностью грунта. </w:t>
      </w:r>
      <w:r w:rsidRPr="008A55B1">
        <w:rPr>
          <w:bCs/>
        </w:rPr>
        <w:t>Измерение на расстоянии 0,3</w:t>
      </w:r>
      <w:r>
        <w:rPr>
          <w:bCs/>
        </w:rPr>
        <w:t> </w:t>
      </w:r>
      <w:r w:rsidRPr="008A55B1">
        <w:rPr>
          <w:bCs/>
        </w:rPr>
        <w:t>м выполняют в одной плоскости, перпендикулярной оси потока газа из выпускной трубы.</w:t>
      </w:r>
    </w:p>
    <w:p w14:paraId="68C8FF44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  <w:rPr>
          <w:bCs/>
        </w:rPr>
      </w:pPr>
      <w:r w:rsidRPr="008A55B1">
        <w:rPr>
          <w:b/>
          <w:bCs/>
        </w:rPr>
        <w:tab/>
      </w:r>
      <w:r w:rsidRPr="008A55B1">
        <w:rPr>
          <w:bCs/>
        </w:rPr>
        <w:t>Если транспортное средство имеет не менее двух срезов выпускных труб, расстояние между которыми составляет не более 0,3</w:t>
      </w:r>
      <w:r>
        <w:rPr>
          <w:bCs/>
        </w:rPr>
        <w:t> </w:t>
      </w:r>
      <w:r w:rsidRPr="008A55B1">
        <w:rPr>
          <w:bCs/>
        </w:rPr>
        <w:t>м и которые подсоединены к отдельным глушителям, то проводят только одно измерение.</w:t>
      </w:r>
      <w:r w:rsidRPr="008A55B1">
        <w:t xml:space="preserve"> </w:t>
      </w:r>
      <w:r w:rsidRPr="008A55B1">
        <w:rPr>
          <w:bCs/>
        </w:rPr>
        <w:t>Положение микрофона определяется по отношению к тому срезу, который наиболее удален от продольной оси транспортного средства, или если такого среза нет, то по отношению к срезу, который находится выше над поверхностью грунта.</w:t>
      </w:r>
    </w:p>
    <w:bookmarkEnd w:id="3"/>
    <w:p w14:paraId="01F5D40F" w14:textId="77777777" w:rsidR="001B59CB" w:rsidRPr="008A55B1" w:rsidRDefault="001B59CB" w:rsidP="00E16289">
      <w:pPr>
        <w:pStyle w:val="SingleTxtG"/>
        <w:tabs>
          <w:tab w:val="clear" w:pos="1701"/>
        </w:tabs>
        <w:ind w:left="2268" w:hanging="1134"/>
      </w:pPr>
      <w:r w:rsidRPr="008A55B1">
        <w:tab/>
        <w:t>В случае транспортных средств, в которых срезы выпускных труб находятся на расстоянии более 0,3</w:t>
      </w:r>
      <w:r>
        <w:t> </w:t>
      </w:r>
      <w:r w:rsidRPr="008A55B1">
        <w:t>м друг от друга, проводится одно измерение по каждому срезу, как если бы он был единственным, причем регистрируют наиболее высокий уровень давления звука. Для целей проверки в дорожных условиях контрольная точка может быть перенесена на внешнюю сторону корпуса».</w:t>
      </w:r>
    </w:p>
    <w:p w14:paraId="4ED4FCB2" w14:textId="77777777" w:rsidR="001B59CB" w:rsidRPr="008A55B1" w:rsidRDefault="001B59CB" w:rsidP="001B59CB">
      <w:pPr>
        <w:pageBreakBefore/>
        <w:spacing w:after="120"/>
        <w:ind w:left="1134"/>
        <w:rPr>
          <w:i/>
        </w:rPr>
      </w:pPr>
      <w:r w:rsidRPr="008A55B1">
        <w:rPr>
          <w:i/>
          <w:iCs/>
        </w:rPr>
        <w:lastRenderedPageBreak/>
        <w:t xml:space="preserve">Добавление 2 </w:t>
      </w:r>
      <w:r w:rsidRPr="008A55B1">
        <w:rPr>
          <w:iCs/>
        </w:rPr>
        <w:t>изменить следующим образом:</w:t>
      </w:r>
    </w:p>
    <w:p w14:paraId="5BEF09D0" w14:textId="77777777" w:rsidR="001B59CB" w:rsidRPr="008A55B1" w:rsidRDefault="001B59CB" w:rsidP="001B59CB">
      <w:pPr>
        <w:pStyle w:val="SingleTxtG"/>
        <w:keepNext/>
        <w:tabs>
          <w:tab w:val="left" w:pos="1134"/>
        </w:tabs>
        <w:jc w:val="left"/>
        <w:rPr>
          <w:bCs/>
        </w:rPr>
      </w:pPr>
      <w:r w:rsidRPr="008A55B1">
        <w:rPr>
          <w:bCs/>
        </w:rPr>
        <w:t>«Расположение микрофонов для проведения испытания на уровень шума, производимого транспортным средством в неподвижном состоянии</w:t>
      </w:r>
    </w:p>
    <w:p w14:paraId="7C585689" w14:textId="77777777" w:rsidR="001B59CB" w:rsidRPr="008A55B1" w:rsidRDefault="001B59CB" w:rsidP="001B59CB">
      <w:pPr>
        <w:rPr>
          <w:sz w:val="16"/>
          <w:szCs w:val="16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7501E" wp14:editId="6FE97373">
                <wp:simplePos x="0" y="0"/>
                <wp:positionH relativeFrom="column">
                  <wp:posOffset>2814681</wp:posOffset>
                </wp:positionH>
                <wp:positionV relativeFrom="paragraph">
                  <wp:posOffset>73110</wp:posOffset>
                </wp:positionV>
                <wp:extent cx="1828772" cy="211541"/>
                <wp:effectExtent l="0" t="0" r="63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772" cy="211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26D3CD3" w14:textId="77777777" w:rsidR="001B59CB" w:rsidRPr="008A55B1" w:rsidRDefault="001B59CB" w:rsidP="001B59CB">
                            <w:pPr>
                              <w:rPr>
                                <w:sz w:val="17"/>
                              </w:rPr>
                            </w:pPr>
                            <w:r w:rsidRPr="008A55B1">
                              <w:rPr>
                                <w:sz w:val="17"/>
                                <w:szCs w:val="16"/>
                              </w:rPr>
                              <w:t>Расстояния в м, если не указано иное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501E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21.65pt;margin-top:5.75pt;width:2in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" stroked="f">
                <v:stroke joinstyle="round"/>
                <v:path arrowok="t"/>
                <v:textbox inset="0,0,0,0">
                  <w:txbxContent>
                    <w:p w14:paraId="626D3CD3" w14:textId="77777777" w:rsidR="001B59CB" w:rsidRPr="008A55B1" w:rsidRDefault="001B59CB" w:rsidP="001B59CB">
                      <w:pPr>
                        <w:rPr>
                          <w:sz w:val="17"/>
                        </w:rPr>
                      </w:pPr>
                      <w:r w:rsidRPr="008A55B1">
                        <w:rPr>
                          <w:sz w:val="17"/>
                          <w:szCs w:val="16"/>
                        </w:rPr>
                        <w:t>Расстояния в м, если не указано иное</w:t>
                      </w:r>
                    </w:p>
                  </w:txbxContent>
                </v:textbox>
              </v:shape>
            </w:pict>
          </mc:Fallback>
        </mc:AlternateContent>
      </w:r>
    </w:p>
    <w:p w14:paraId="63FCCE23" w14:textId="77777777" w:rsidR="001B59CB" w:rsidRDefault="001B59CB" w:rsidP="001B59CB">
      <w:pPr>
        <w:ind w:left="113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EF9D6" wp14:editId="75C378B5">
                <wp:simplePos x="0" y="0"/>
                <wp:positionH relativeFrom="column">
                  <wp:posOffset>1646555</wp:posOffset>
                </wp:positionH>
                <wp:positionV relativeFrom="paragraph">
                  <wp:posOffset>3437890</wp:posOffset>
                </wp:positionV>
                <wp:extent cx="316230" cy="321945"/>
                <wp:effectExtent l="0" t="0" r="26670" b="2095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3219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2ED1F" id="Прямоугольник: скругленные углы 6" o:spid="_x0000_s1026" style="position:absolute;margin-left:129.65pt;margin-top:270.7pt;width:24.9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" filled="f" strokecolor="red" strokeweight="2pt"/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66FA9C28" wp14:editId="374593A8">
            <wp:extent cx="3903345" cy="42513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D0508" w14:textId="77777777" w:rsidR="001B59CB" w:rsidRDefault="001B59CB" w:rsidP="001B59CB">
      <w:pPr>
        <w:rPr>
          <w:b/>
        </w:rPr>
      </w:pPr>
    </w:p>
    <w:p w14:paraId="7B36E875" w14:textId="77777777" w:rsidR="001B59CB" w:rsidRDefault="001B59CB" w:rsidP="001B59CB">
      <w:pPr>
        <w:ind w:left="2124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033E67CE" wp14:editId="0C21002A">
            <wp:extent cx="2040255" cy="10033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0C7B8" w14:textId="77777777" w:rsidR="001B59CB" w:rsidRPr="008A55B1" w:rsidRDefault="001B59CB" w:rsidP="001B59CB">
      <w:pPr>
        <w:keepNext/>
        <w:keepLines/>
        <w:spacing w:after="120"/>
        <w:ind w:left="2268" w:right="1134" w:hanging="1134"/>
        <w:jc w:val="right"/>
        <w:rPr>
          <w:rFonts w:eastAsia="Calibri"/>
        </w:rPr>
      </w:pPr>
      <w:r w:rsidRPr="008A55B1">
        <w:rPr>
          <w:rFonts w:eastAsia="Calibri" w:cs="Arial"/>
        </w:rPr>
        <w:t>».</w:t>
      </w:r>
    </w:p>
    <w:p w14:paraId="5B7A9105" w14:textId="77777777" w:rsidR="001B59CB" w:rsidRPr="008A55B1" w:rsidRDefault="001B59CB" w:rsidP="001B59CB">
      <w:pPr>
        <w:pStyle w:val="SingleTxtG"/>
        <w:jc w:val="left"/>
        <w:rPr>
          <w:rFonts w:eastAsia="MS Mincho"/>
          <w:i/>
          <w:lang w:eastAsia="ja-JP"/>
        </w:rPr>
      </w:pPr>
      <w:r w:rsidRPr="008A55B1">
        <w:rPr>
          <w:i/>
          <w:lang w:eastAsia="ja-JP"/>
        </w:rPr>
        <w:t>Приложение 5</w:t>
      </w:r>
    </w:p>
    <w:p w14:paraId="081A48FB" w14:textId="77777777" w:rsidR="001B59CB" w:rsidRPr="008A55B1" w:rsidRDefault="001B59CB" w:rsidP="001B59CB">
      <w:pPr>
        <w:pStyle w:val="SingleTxtG"/>
        <w:jc w:val="left"/>
        <w:rPr>
          <w:lang w:eastAsia="ja-JP"/>
        </w:rPr>
      </w:pPr>
      <w:r w:rsidRPr="008A55B1">
        <w:rPr>
          <w:i/>
          <w:lang w:eastAsia="ja-JP"/>
        </w:rPr>
        <w:t>Рис. 1, примечание 3</w:t>
      </w:r>
      <w:r w:rsidRPr="008A55B1">
        <w:rPr>
          <w:lang w:eastAsia="ja-JP"/>
        </w:rPr>
        <w:t xml:space="preserve"> изменить следующим образом:</w:t>
      </w:r>
    </w:p>
    <w:p w14:paraId="736E88B1" w14:textId="77777777" w:rsidR="001B59CB" w:rsidRDefault="001B59CB" w:rsidP="001B59CB">
      <w:pPr>
        <w:pStyle w:val="SingleTxtG"/>
      </w:pPr>
      <w:r w:rsidRPr="008A55B1">
        <w:t>«3.</w:t>
      </w:r>
      <w:r w:rsidRPr="008A55B1">
        <w:tab/>
        <w:t xml:space="preserve">Компенсационная емкость </w:t>
      </w:r>
      <w:r w:rsidRPr="00F5104C">
        <w:t>c</w:t>
      </w:r>
      <w:r w:rsidRPr="008A55B1">
        <w:t xml:space="preserve"> максимальным объемом 40 литров, время заполнения которой составляет не менее 1 секунды». </w:t>
      </w:r>
    </w:p>
    <w:p w14:paraId="727EE163" w14:textId="77777777" w:rsidR="00381C24" w:rsidRPr="00BC18B2" w:rsidRDefault="001B59CB" w:rsidP="001B59CB">
      <w:pPr>
        <w:pStyle w:val="SingleTxtG"/>
        <w:spacing w:before="240" w:after="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BC18B2" w:rsidSect="001B59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6308" w14:textId="77777777" w:rsidR="007F0940" w:rsidRPr="00A312BC" w:rsidRDefault="007F0940" w:rsidP="00A312BC"/>
  </w:endnote>
  <w:endnote w:type="continuationSeparator" w:id="0">
    <w:p w14:paraId="2A3D7333" w14:textId="77777777" w:rsidR="007F0940" w:rsidRPr="00A312BC" w:rsidRDefault="007F094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F8C0" w14:textId="77777777" w:rsidR="001B59CB" w:rsidRPr="001B59CB" w:rsidRDefault="001B59CB">
    <w:pPr>
      <w:pStyle w:val="a8"/>
    </w:pPr>
    <w:r w:rsidRPr="001B59CB">
      <w:rPr>
        <w:b/>
        <w:sz w:val="18"/>
      </w:rPr>
      <w:fldChar w:fldCharType="begin"/>
    </w:r>
    <w:r w:rsidRPr="001B59CB">
      <w:rPr>
        <w:b/>
        <w:sz w:val="18"/>
      </w:rPr>
      <w:instrText xml:space="preserve"> PAGE  \* MERGEFORMAT </w:instrText>
    </w:r>
    <w:r w:rsidRPr="001B59CB">
      <w:rPr>
        <w:b/>
        <w:sz w:val="18"/>
      </w:rPr>
      <w:fldChar w:fldCharType="separate"/>
    </w:r>
    <w:r w:rsidRPr="001B59CB">
      <w:rPr>
        <w:b/>
        <w:noProof/>
        <w:sz w:val="18"/>
      </w:rPr>
      <w:t>2</w:t>
    </w:r>
    <w:r w:rsidRPr="001B59CB">
      <w:rPr>
        <w:b/>
        <w:sz w:val="18"/>
      </w:rPr>
      <w:fldChar w:fldCharType="end"/>
    </w:r>
    <w:r>
      <w:rPr>
        <w:b/>
        <w:sz w:val="18"/>
      </w:rPr>
      <w:tab/>
    </w:r>
    <w:r>
      <w:t>GE.21-01311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80BA" w14:textId="77777777" w:rsidR="001B59CB" w:rsidRPr="001B59CB" w:rsidRDefault="001B59CB" w:rsidP="001B59CB">
    <w:pPr>
      <w:pStyle w:val="a8"/>
      <w:tabs>
        <w:tab w:val="clear" w:pos="9639"/>
        <w:tab w:val="right" w:pos="9638"/>
      </w:tabs>
      <w:rPr>
        <w:b/>
        <w:sz w:val="18"/>
      </w:rPr>
    </w:pPr>
    <w:r>
      <w:t>GE.21-01311</w:t>
    </w:r>
    <w:r>
      <w:tab/>
    </w:r>
    <w:r w:rsidRPr="001B59CB">
      <w:rPr>
        <w:b/>
        <w:sz w:val="18"/>
      </w:rPr>
      <w:fldChar w:fldCharType="begin"/>
    </w:r>
    <w:r w:rsidRPr="001B59CB">
      <w:rPr>
        <w:b/>
        <w:sz w:val="18"/>
      </w:rPr>
      <w:instrText xml:space="preserve"> PAGE  \* MERGEFORMAT </w:instrText>
    </w:r>
    <w:r w:rsidRPr="001B59CB">
      <w:rPr>
        <w:b/>
        <w:sz w:val="18"/>
      </w:rPr>
      <w:fldChar w:fldCharType="separate"/>
    </w:r>
    <w:r w:rsidRPr="001B59CB">
      <w:rPr>
        <w:b/>
        <w:noProof/>
        <w:sz w:val="18"/>
      </w:rPr>
      <w:t>3</w:t>
    </w:r>
    <w:r w:rsidRPr="001B59C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AF88" w14:textId="77777777" w:rsidR="00042B72" w:rsidRPr="001B59CB" w:rsidRDefault="001B59CB" w:rsidP="001B59CB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980DEF8" wp14:editId="1FF6B4A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21-01311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2E12FBF" wp14:editId="73F1967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080221  100221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FF2D2" w14:textId="77777777" w:rsidR="007F0940" w:rsidRPr="001075E9" w:rsidRDefault="007F094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26EB227" w14:textId="77777777" w:rsidR="007F0940" w:rsidRDefault="007F094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6272D07" w14:textId="77777777" w:rsidR="001B59CB" w:rsidRPr="006E47FC" w:rsidRDefault="001B59CB" w:rsidP="001B59CB">
      <w:pPr>
        <w:pStyle w:val="ad"/>
      </w:pPr>
      <w:r>
        <w:tab/>
      </w:r>
      <w:r w:rsidRPr="001B59CB">
        <w:rPr>
          <w:sz w:val="20"/>
        </w:rPr>
        <w:t>*</w:t>
      </w:r>
      <w:r w:rsidRPr="006E47FC">
        <w:tab/>
        <w:t>Прежние названия Соглашения:</w:t>
      </w:r>
    </w:p>
    <w:p w14:paraId="77F72381" w14:textId="77777777" w:rsidR="001B59CB" w:rsidRPr="006E47FC" w:rsidRDefault="001B59CB" w:rsidP="001B59CB">
      <w:pPr>
        <w:pStyle w:val="ad"/>
        <w:rPr>
          <w:sz w:val="20"/>
        </w:rPr>
      </w:pPr>
      <w:r w:rsidRPr="006E47FC">
        <w:tab/>
      </w:r>
      <w:r w:rsidRPr="006E47FC"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вариант).</w:t>
      </w:r>
    </w:p>
    <w:p w14:paraId="5F1A1462" w14:textId="77777777" w:rsidR="001B59CB" w:rsidRPr="006E47FC" w:rsidRDefault="001B59CB" w:rsidP="001B59CB">
      <w:pPr>
        <w:pStyle w:val="ad"/>
        <w:rPr>
          <w:sz w:val="12"/>
          <w:szCs w:val="12"/>
        </w:rPr>
      </w:pPr>
      <w:r w:rsidRPr="006E47FC">
        <w:tab/>
      </w:r>
      <w:r w:rsidRPr="006E47FC"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t> </w:t>
      </w:r>
      <w:r w:rsidRPr="006E47FC">
        <w:t>октября 1995 года (</w:t>
      </w:r>
      <w:r w:rsidRPr="006E47FC">
        <w:rPr>
          <w:sz w:val="12"/>
          <w:szCs w:val="12"/>
        </w:rPr>
        <w:t>П</w:t>
      </w:r>
      <w:r w:rsidRPr="006E47FC">
        <w:t>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8086" w14:textId="6F23A897" w:rsidR="001B59CB" w:rsidRPr="001B59CB" w:rsidRDefault="001B59CB">
    <w:pPr>
      <w:pStyle w:val="a5"/>
    </w:pPr>
    <w:fldSimple w:instr=" TITLE  \* MERGEFORMAT ">
      <w:r w:rsidR="000C40B4">
        <w:t>E/ECE/324/Rev.1/Add.40/Rev.2/Amend.8</w:t>
      </w:r>
    </w:fldSimple>
    <w:r>
      <w:br/>
    </w:r>
    <w:fldSimple w:instr=" KEYWORDS  \* MERGEFORMAT ">
      <w:r w:rsidR="000C40B4">
        <w:t>E/ECE/TRANS/505/Rev.1/Add.40/Rev.2/Amend.8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D831" w14:textId="2785606F" w:rsidR="001B59CB" w:rsidRPr="001B59CB" w:rsidRDefault="001B59CB" w:rsidP="001B59CB">
    <w:pPr>
      <w:pStyle w:val="a5"/>
      <w:jc w:val="right"/>
    </w:pPr>
    <w:fldSimple w:instr=" TITLE  \* MERGEFORMAT ">
      <w:r w:rsidR="000C40B4">
        <w:t>E/ECE/324/Rev.1/Add.40/Rev.2/Amend.8</w:t>
      </w:r>
    </w:fldSimple>
    <w:r>
      <w:br/>
    </w:r>
    <w:fldSimple w:instr=" KEYWORDS  \* MERGEFORMAT ">
      <w:r w:rsidR="000C40B4">
        <w:t>E/ECE/TRANS/505/Rev.1/Add.40/Rev.2/Amend.8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CDA0" w14:textId="77777777" w:rsidR="001B59CB" w:rsidRDefault="001B59CB" w:rsidP="001B59C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40"/>
    <w:rsid w:val="00033EE1"/>
    <w:rsid w:val="00042B72"/>
    <w:rsid w:val="000558BD"/>
    <w:rsid w:val="000B57E7"/>
    <w:rsid w:val="000B6373"/>
    <w:rsid w:val="000C40B4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B59CB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09FB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7F0940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3AE9"/>
    <w:rsid w:val="00CF55F6"/>
    <w:rsid w:val="00D33D63"/>
    <w:rsid w:val="00D86A2F"/>
    <w:rsid w:val="00D90028"/>
    <w:rsid w:val="00D90138"/>
    <w:rsid w:val="00DD4D3A"/>
    <w:rsid w:val="00DF71B9"/>
    <w:rsid w:val="00E16204"/>
    <w:rsid w:val="00E16289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115C43"/>
  <w15:docId w15:val="{0273F811-0CB5-430F-AC07-158D0F64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Fußnotentext,_GR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Fußnotentext Знак,_GR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1B59CB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1B59CB"/>
    <w:rPr>
      <w:lang w:val="ru-RU" w:eastAsia="en-US"/>
    </w:rPr>
  </w:style>
  <w:style w:type="character" w:customStyle="1" w:styleId="HChGChar">
    <w:name w:val="_ H _Ch_G Char"/>
    <w:link w:val="HChG"/>
    <w:rsid w:val="001B59CB"/>
    <w:rPr>
      <w:b/>
      <w:sz w:val="28"/>
      <w:lang w:val="ru-RU" w:eastAsia="ru-RU"/>
    </w:rPr>
  </w:style>
  <w:style w:type="paragraph" w:customStyle="1" w:styleId="HChGR">
    <w:name w:val="_ H _Ch_GR"/>
    <w:basedOn w:val="a"/>
    <w:next w:val="a"/>
    <w:link w:val="HChGR0"/>
    <w:qFormat/>
    <w:rsid w:val="001B59CB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1B59CB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HChGR0">
    <w:name w:val="_ H _Ch_GR Знак"/>
    <w:basedOn w:val="a0"/>
    <w:link w:val="HChGR"/>
    <w:rsid w:val="001B59CB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5</Pages>
  <Words>998</Words>
  <Characters>6982</Characters>
  <Application>Microsoft Office Word</Application>
  <DocSecurity>0</DocSecurity>
  <Lines>58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E/ECE/324/Rev.1/Add.40/Rev.2/Amend.8</vt:lpstr>
      <vt:lpstr>A/</vt:lpstr>
      <vt:lpstr>A/</vt:lpstr>
    </vt:vector>
  </TitlesOfParts>
  <Company>DCM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E/ECE/324/Rev.1/Add.40/Rev.2/Amend.8</dc:title>
  <dc:creator>Olga OVTCHINNIKOVA</dc:creator>
  <cp:keywords>E/ECE/TRANS/505/Rev.1/Add.40/Rev.2/Amend.8</cp:keywords>
  <cp:lastModifiedBy>Olga Ovchinnikova</cp:lastModifiedBy>
  <cp:revision>3</cp:revision>
  <cp:lastPrinted>2021-02-10T15:34:00Z</cp:lastPrinted>
  <dcterms:created xsi:type="dcterms:W3CDTF">2021-02-10T15:34:00Z</dcterms:created>
  <dcterms:modified xsi:type="dcterms:W3CDTF">2021-02-10T15:35:00Z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