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10E2" w14:textId="7D7BA024" w:rsidR="00FF0DED" w:rsidRDefault="00FF0DED"/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8936"/>
      </w:tblGrid>
      <w:tr w:rsidR="009A245E" w:rsidRPr="003A78D7" w14:paraId="77F0E528" w14:textId="77777777" w:rsidTr="00E345D1">
        <w:tc>
          <w:tcPr>
            <w:tcW w:w="3680" w:type="dxa"/>
          </w:tcPr>
          <w:p w14:paraId="77883BE6" w14:textId="4F26CB3D" w:rsidR="009A245E" w:rsidRPr="003A78D7" w:rsidRDefault="00E345D1" w:rsidP="0009196B">
            <w:pPr>
              <w:pStyle w:val="Header"/>
              <w:pBdr>
                <w:bottom w:val="none" w:sz="0" w:space="0" w:color="auto"/>
              </w:pBdr>
              <w:rPr>
                <w:b w:val="0"/>
                <w:bCs/>
                <w:sz w:val="20"/>
                <w:szCs w:val="22"/>
              </w:rPr>
            </w:pPr>
            <w:r w:rsidRPr="003A78D7">
              <w:rPr>
                <w:b w:val="0"/>
                <w:bCs/>
                <w:sz w:val="20"/>
                <w:szCs w:val="22"/>
              </w:rPr>
              <w:t>Transmitted by the ADAS TF Co-Chair</w:t>
            </w:r>
          </w:p>
        </w:tc>
        <w:tc>
          <w:tcPr>
            <w:tcW w:w="8936" w:type="dxa"/>
          </w:tcPr>
          <w:p w14:paraId="406EDBBE" w14:textId="685CDC26" w:rsidR="009A245E" w:rsidRPr="003A78D7" w:rsidRDefault="009A245E" w:rsidP="0009196B">
            <w:pPr>
              <w:pStyle w:val="Header"/>
              <w:pBdr>
                <w:bottom w:val="none" w:sz="0" w:space="0" w:color="auto"/>
              </w:pBdr>
              <w:jc w:val="right"/>
              <w:rPr>
                <w:b w:val="0"/>
                <w:bCs/>
                <w:sz w:val="20"/>
                <w:szCs w:val="22"/>
              </w:rPr>
            </w:pPr>
            <w:r w:rsidRPr="003A78D7">
              <w:rPr>
                <w:b w:val="0"/>
                <w:bCs/>
                <w:sz w:val="20"/>
                <w:szCs w:val="22"/>
                <w:u w:val="single"/>
              </w:rPr>
              <w:t xml:space="preserve">Informal document </w:t>
            </w:r>
            <w:r w:rsidRPr="003A78D7">
              <w:rPr>
                <w:sz w:val="20"/>
                <w:szCs w:val="22"/>
              </w:rPr>
              <w:t>GRVA-11-</w:t>
            </w:r>
            <w:r w:rsidR="004752AB">
              <w:rPr>
                <w:sz w:val="20"/>
                <w:szCs w:val="22"/>
              </w:rPr>
              <w:t>28</w:t>
            </w:r>
            <w:r w:rsidRPr="003A78D7">
              <w:rPr>
                <w:b w:val="0"/>
                <w:bCs/>
                <w:sz w:val="20"/>
                <w:szCs w:val="22"/>
              </w:rPr>
              <w:br/>
              <w:t>11</w:t>
            </w:r>
            <w:r w:rsidRPr="003A78D7">
              <w:rPr>
                <w:b w:val="0"/>
                <w:bCs/>
                <w:sz w:val="20"/>
                <w:szCs w:val="22"/>
                <w:vertAlign w:val="superscript"/>
              </w:rPr>
              <w:t>th</w:t>
            </w:r>
            <w:r w:rsidRPr="003A78D7">
              <w:rPr>
                <w:b w:val="0"/>
                <w:bCs/>
                <w:sz w:val="20"/>
                <w:szCs w:val="22"/>
              </w:rPr>
              <w:t xml:space="preserve"> GRVA, 27 Sept. – 1 Oct. 2021</w:t>
            </w:r>
            <w:r w:rsidRPr="003A78D7">
              <w:rPr>
                <w:b w:val="0"/>
                <w:bCs/>
                <w:sz w:val="20"/>
                <w:szCs w:val="22"/>
              </w:rPr>
              <w:br/>
              <w:t>Provisional agenda item 15(a)</w:t>
            </w:r>
          </w:p>
        </w:tc>
      </w:tr>
    </w:tbl>
    <w:p w14:paraId="0ABB8DAD" w14:textId="5815974B" w:rsidR="009A245E" w:rsidRDefault="009A245E"/>
    <w:p w14:paraId="4F59F874" w14:textId="77777777" w:rsidR="00E345D1" w:rsidRDefault="00E345D1"/>
    <w:p w14:paraId="74AAD3D1" w14:textId="32B6D48A" w:rsidR="00E345D1" w:rsidRPr="00E345D1" w:rsidRDefault="00E345D1" w:rsidP="00E345D1">
      <w:pPr>
        <w:pStyle w:val="SingleTxtG"/>
        <w:tabs>
          <w:tab w:val="right" w:pos="284"/>
        </w:tabs>
        <w:jc w:val="center"/>
        <w:rPr>
          <w:rFonts w:eastAsia="Calibri"/>
          <w:b/>
          <w:sz w:val="28"/>
          <w:szCs w:val="28"/>
        </w:rPr>
      </w:pPr>
      <w:r w:rsidRPr="00E345D1">
        <w:rPr>
          <w:rFonts w:eastAsia="Calibri"/>
          <w:b/>
          <w:sz w:val="28"/>
          <w:szCs w:val="28"/>
        </w:rPr>
        <w:t>Proposal for amendments to GRVA-11-09</w:t>
      </w:r>
    </w:p>
    <w:p w14:paraId="2AB24333" w14:textId="3B0E86DC" w:rsidR="00E345D1" w:rsidRDefault="00E345D1" w:rsidP="009A245E">
      <w:pPr>
        <w:suppressAutoHyphens w:val="0"/>
        <w:spacing w:after="160" w:line="259" w:lineRule="auto"/>
        <w:ind w:left="1134"/>
      </w:pPr>
      <w:r>
        <w:t>The proposed amendments are marked in bold for added text or stricken through for deleted text.</w:t>
      </w:r>
    </w:p>
    <w:p w14:paraId="37586F34" w14:textId="77777777" w:rsidR="003A78D7" w:rsidRDefault="003A78D7" w:rsidP="009A245E">
      <w:pPr>
        <w:suppressAutoHyphens w:val="0"/>
        <w:spacing w:after="160" w:line="259" w:lineRule="auto"/>
        <w:ind w:left="1134"/>
      </w:pPr>
    </w:p>
    <w:p w14:paraId="07CBFC4D" w14:textId="331CA581" w:rsidR="00E345D1" w:rsidRPr="003A245C" w:rsidRDefault="003A245C" w:rsidP="003A245C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b/>
          <w:bCs/>
          <w:sz w:val="28"/>
          <w:szCs w:val="28"/>
        </w:rPr>
      </w:pPr>
      <w:r w:rsidRPr="003A245C">
        <w:rPr>
          <w:b/>
          <w:bCs/>
          <w:sz w:val="28"/>
          <w:szCs w:val="28"/>
        </w:rPr>
        <w:t>Proposal</w:t>
      </w:r>
    </w:p>
    <w:p w14:paraId="1763BBDB" w14:textId="4F2AC857" w:rsidR="009A245E" w:rsidRPr="00E345D1" w:rsidRDefault="009A245E" w:rsidP="00E345D1">
      <w:pPr>
        <w:suppressAutoHyphens w:val="0"/>
        <w:spacing w:after="160" w:line="259" w:lineRule="auto"/>
        <w:ind w:left="1134"/>
        <w:rPr>
          <w:rFonts w:eastAsia="Calibri"/>
        </w:rPr>
      </w:pPr>
      <w:r w:rsidRPr="00E345D1">
        <w:rPr>
          <w:i/>
          <w:iCs/>
        </w:rPr>
        <w:t>Table 5</w:t>
      </w:r>
      <w:r w:rsidR="00E345D1" w:rsidRPr="00E345D1">
        <w:rPr>
          <w:i/>
          <w:iCs/>
        </w:rPr>
        <w:t xml:space="preserve"> (</w:t>
      </w:r>
      <w:r w:rsidRPr="00E345D1">
        <w:rPr>
          <w:rFonts w:eastAsia="Calibri"/>
          <w:i/>
          <w:iCs/>
        </w:rPr>
        <w:t>Subjects under consideration by the Working Party on Automated / Autonomous and Connected Vehicles (GRVA)</w:t>
      </w:r>
      <w:r w:rsidR="00E345D1" w:rsidRPr="00E345D1">
        <w:rPr>
          <w:rFonts w:eastAsia="Calibri"/>
          <w:i/>
          <w:iCs/>
        </w:rPr>
        <w:t>),</w:t>
      </w:r>
      <w:r w:rsidR="00E345D1" w:rsidRPr="00E345D1">
        <w:rPr>
          <w:rFonts w:eastAsia="Calibri"/>
        </w:rPr>
        <w:t xml:space="preserve"> amend the row dedicated to ADAS</w:t>
      </w:r>
      <w:r w:rsidR="00E345D1">
        <w:rPr>
          <w:rFonts w:eastAsia="Calibri"/>
        </w:rPr>
        <w:t>:</w:t>
      </w:r>
    </w:p>
    <w:tbl>
      <w:tblPr>
        <w:tblStyle w:val="TableGrid"/>
        <w:tblW w:w="12521" w:type="dxa"/>
        <w:tblInd w:w="1134" w:type="dxa"/>
        <w:tblLook w:val="04A0" w:firstRow="1" w:lastRow="0" w:firstColumn="1" w:lastColumn="0" w:noHBand="0" w:noVBand="1"/>
      </w:tblPr>
      <w:tblGrid>
        <w:gridCol w:w="1695"/>
        <w:gridCol w:w="2762"/>
        <w:gridCol w:w="2986"/>
        <w:gridCol w:w="1252"/>
        <w:gridCol w:w="1166"/>
        <w:gridCol w:w="1260"/>
        <w:gridCol w:w="1400"/>
      </w:tblGrid>
      <w:tr w:rsidR="009A245E" w:rsidRPr="0055622C" w14:paraId="28230A88" w14:textId="77777777" w:rsidTr="0009196B">
        <w:trPr>
          <w:tblHeader/>
        </w:trPr>
        <w:tc>
          <w:tcPr>
            <w:tcW w:w="125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36F83E0" w14:textId="77777777" w:rsidR="009A245E" w:rsidRPr="0055622C" w:rsidRDefault="009A245E" w:rsidP="0009196B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GRVA</w:t>
            </w:r>
          </w:p>
        </w:tc>
      </w:tr>
      <w:tr w:rsidR="009A245E" w:rsidRPr="0055622C" w14:paraId="34543493" w14:textId="77777777" w:rsidTr="0009196B">
        <w:trPr>
          <w:tblHeader/>
        </w:trPr>
        <w:tc>
          <w:tcPr>
            <w:tcW w:w="1695" w:type="dxa"/>
            <w:tcBorders>
              <w:bottom w:val="single" w:sz="12" w:space="0" w:color="auto"/>
            </w:tcBorders>
          </w:tcPr>
          <w:p w14:paraId="6357DB4C" w14:textId="77777777" w:rsidR="009A245E" w:rsidRPr="0055622C" w:rsidRDefault="009A245E" w:rsidP="0009196B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762" w:type="dxa"/>
            <w:tcBorders>
              <w:bottom w:val="single" w:sz="12" w:space="0" w:color="auto"/>
            </w:tcBorders>
          </w:tcPr>
          <w:p w14:paraId="3C84CEEC" w14:textId="77777777" w:rsidR="009A245E" w:rsidRPr="0055622C" w:rsidRDefault="009A245E" w:rsidP="0009196B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2986" w:type="dxa"/>
            <w:tcBorders>
              <w:bottom w:val="single" w:sz="12" w:space="0" w:color="auto"/>
            </w:tcBorders>
          </w:tcPr>
          <w:p w14:paraId="4E03052E" w14:textId="77777777" w:rsidR="009A245E" w:rsidRPr="0055622C" w:rsidRDefault="009A245E" w:rsidP="0009196B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14:paraId="64EAA08F" w14:textId="77777777" w:rsidR="009A245E" w:rsidRPr="0055622C" w:rsidRDefault="009A245E" w:rsidP="0009196B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14:paraId="181E688A" w14:textId="77777777" w:rsidR="009A245E" w:rsidRPr="0055622C" w:rsidRDefault="009A245E" w:rsidP="0009196B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19D40C2" w14:textId="77777777" w:rsidR="009A245E" w:rsidRPr="0055622C" w:rsidRDefault="009A245E" w:rsidP="0009196B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14:paraId="68CA4F61" w14:textId="77777777" w:rsidR="009A245E" w:rsidRPr="0055622C" w:rsidRDefault="009A245E" w:rsidP="0009196B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Comments</w:t>
            </w:r>
          </w:p>
        </w:tc>
      </w:tr>
      <w:tr w:rsidR="009A245E" w:rsidRPr="0055622C" w14:paraId="57D87667" w14:textId="77777777" w:rsidTr="0009196B">
        <w:tc>
          <w:tcPr>
            <w:tcW w:w="1695" w:type="dxa"/>
          </w:tcPr>
          <w:p w14:paraId="10979FF2" w14:textId="44F9F656" w:rsidR="009A245E" w:rsidRPr="0055622C" w:rsidRDefault="00E345D1" w:rsidP="0009196B">
            <w:pPr>
              <w:ind w:left="57"/>
            </w:pPr>
            <w:r>
              <w:t>…</w:t>
            </w:r>
          </w:p>
        </w:tc>
        <w:tc>
          <w:tcPr>
            <w:tcW w:w="2762" w:type="dxa"/>
          </w:tcPr>
          <w:p w14:paraId="23DFB4C6" w14:textId="6BF5C108" w:rsidR="009A245E" w:rsidRPr="0055622C" w:rsidRDefault="009A245E" w:rsidP="0009196B">
            <w:pPr>
              <w:ind w:left="57"/>
            </w:pPr>
          </w:p>
        </w:tc>
        <w:tc>
          <w:tcPr>
            <w:tcW w:w="2986" w:type="dxa"/>
          </w:tcPr>
          <w:p w14:paraId="64CDEFBC" w14:textId="6FECD6B5" w:rsidR="009A245E" w:rsidRPr="0055622C" w:rsidRDefault="009A245E" w:rsidP="0009196B">
            <w:pPr>
              <w:ind w:left="57"/>
              <w:rPr>
                <w:bCs/>
              </w:rPr>
            </w:pPr>
          </w:p>
        </w:tc>
        <w:tc>
          <w:tcPr>
            <w:tcW w:w="1252" w:type="dxa"/>
          </w:tcPr>
          <w:p w14:paraId="4B72FE86" w14:textId="1846D1D7" w:rsidR="009A245E" w:rsidRPr="0055622C" w:rsidRDefault="009A245E" w:rsidP="0009196B">
            <w:pPr>
              <w:ind w:left="57"/>
            </w:pPr>
          </w:p>
        </w:tc>
        <w:tc>
          <w:tcPr>
            <w:tcW w:w="1166" w:type="dxa"/>
          </w:tcPr>
          <w:p w14:paraId="159B44DB" w14:textId="11738876" w:rsidR="009A245E" w:rsidRPr="0055622C" w:rsidRDefault="009A245E" w:rsidP="0009196B">
            <w:pPr>
              <w:ind w:left="57"/>
            </w:pPr>
          </w:p>
        </w:tc>
        <w:tc>
          <w:tcPr>
            <w:tcW w:w="1260" w:type="dxa"/>
          </w:tcPr>
          <w:p w14:paraId="00AD47CD" w14:textId="5D1F3650" w:rsidR="009A245E" w:rsidRPr="0055622C" w:rsidRDefault="009A245E" w:rsidP="0009196B">
            <w:pPr>
              <w:ind w:left="57"/>
            </w:pPr>
          </w:p>
        </w:tc>
        <w:tc>
          <w:tcPr>
            <w:tcW w:w="1400" w:type="dxa"/>
          </w:tcPr>
          <w:p w14:paraId="12A82678" w14:textId="695E2E32" w:rsidR="009A245E" w:rsidRPr="0055622C" w:rsidRDefault="009A245E" w:rsidP="0009196B">
            <w:pPr>
              <w:ind w:left="57"/>
            </w:pPr>
          </w:p>
        </w:tc>
      </w:tr>
      <w:tr w:rsidR="00E345D1" w:rsidRPr="0055622C" w14:paraId="6A4CF3A9" w14:textId="77777777" w:rsidTr="00E345D1">
        <w:tc>
          <w:tcPr>
            <w:tcW w:w="1695" w:type="dxa"/>
            <w:shd w:val="clear" w:color="auto" w:fill="auto"/>
          </w:tcPr>
          <w:p w14:paraId="26432439" w14:textId="725E2E99" w:rsidR="009A245E" w:rsidRPr="0055622C" w:rsidRDefault="009A245E" w:rsidP="0009196B">
            <w:pPr>
              <w:ind w:left="57"/>
            </w:pPr>
            <w:r w:rsidRPr="0055622C">
              <w:t>ADAS</w:t>
            </w:r>
            <w:r w:rsidR="00E345D1">
              <w:t xml:space="preserve"> </w:t>
            </w:r>
            <w:r w:rsidR="00E345D1" w:rsidRPr="00E345D1">
              <w:rPr>
                <w:b/>
                <w:bCs/>
              </w:rPr>
              <w:t>/ DCAS</w:t>
            </w:r>
            <w:r w:rsidR="003A245C">
              <w:rPr>
                <w:b/>
                <w:bCs/>
              </w:rPr>
              <w:t>*</w:t>
            </w:r>
          </w:p>
        </w:tc>
        <w:tc>
          <w:tcPr>
            <w:tcW w:w="2762" w:type="dxa"/>
            <w:shd w:val="clear" w:color="auto" w:fill="auto"/>
          </w:tcPr>
          <w:p w14:paraId="78D175EC" w14:textId="56F0F846" w:rsidR="009A245E" w:rsidRPr="0055622C" w:rsidRDefault="009A245E" w:rsidP="0009196B">
            <w:pPr>
              <w:ind w:left="57"/>
            </w:pPr>
            <w:r w:rsidRPr="0055622C">
              <w:t xml:space="preserve">Amendment to UN Regulation </w:t>
            </w:r>
            <w:r w:rsidRPr="0055622C">
              <w:br/>
              <w:t xml:space="preserve">No. 79 </w:t>
            </w:r>
            <w:r w:rsidRPr="00E345D1">
              <w:rPr>
                <w:strike/>
              </w:rPr>
              <w:t>or</w:t>
            </w:r>
            <w:r w:rsidRPr="0055622C">
              <w:t xml:space="preserve"> </w:t>
            </w:r>
            <w:r w:rsidR="00E345D1" w:rsidRPr="00E345D1">
              <w:rPr>
                <w:b/>
                <w:bCs/>
              </w:rPr>
              <w:t>and</w:t>
            </w:r>
            <w:r w:rsidR="00E345D1">
              <w:t xml:space="preserve"> </w:t>
            </w:r>
            <w:r w:rsidRPr="0055622C">
              <w:t>new UN Regulation</w:t>
            </w:r>
          </w:p>
        </w:tc>
        <w:tc>
          <w:tcPr>
            <w:tcW w:w="2986" w:type="dxa"/>
            <w:shd w:val="clear" w:color="auto" w:fill="auto"/>
          </w:tcPr>
          <w:p w14:paraId="16A5C90F" w14:textId="77777777" w:rsidR="009A245E" w:rsidRPr="0055622C" w:rsidRDefault="009A245E" w:rsidP="0009196B">
            <w:pPr>
              <w:ind w:left="57"/>
              <w:rPr>
                <w:bCs/>
              </w:rPr>
            </w:pPr>
            <w:r w:rsidRPr="0055622C">
              <w:rPr>
                <w:bCs/>
              </w:rPr>
              <w:t>ECE/TRANS/WP.29/GRVA/9, Annex IV</w:t>
            </w:r>
          </w:p>
        </w:tc>
        <w:tc>
          <w:tcPr>
            <w:tcW w:w="1252" w:type="dxa"/>
            <w:shd w:val="clear" w:color="auto" w:fill="auto"/>
          </w:tcPr>
          <w:p w14:paraId="711F14B2" w14:textId="77777777" w:rsidR="009A245E" w:rsidRPr="0055622C" w:rsidRDefault="009A245E" w:rsidP="0009196B">
            <w:pPr>
              <w:ind w:left="57"/>
            </w:pPr>
            <w:r w:rsidRPr="0055622C">
              <w:t>GRVA, Task Force on ADAS</w:t>
            </w:r>
          </w:p>
        </w:tc>
        <w:tc>
          <w:tcPr>
            <w:tcW w:w="1166" w:type="dxa"/>
            <w:shd w:val="clear" w:color="auto" w:fill="auto"/>
          </w:tcPr>
          <w:p w14:paraId="5069DF1C" w14:textId="127BE3BD" w:rsidR="009A245E" w:rsidRPr="0055622C" w:rsidRDefault="009A245E" w:rsidP="0009196B">
            <w:pPr>
              <w:ind w:left="57"/>
            </w:pPr>
            <w:r w:rsidRPr="0055622C">
              <w:t xml:space="preserve">November </w:t>
            </w:r>
            <w:r w:rsidRPr="003A245C">
              <w:rPr>
                <w:strike/>
              </w:rPr>
              <w:t>2021</w:t>
            </w:r>
            <w:r w:rsidR="003A245C">
              <w:t xml:space="preserve"> </w:t>
            </w:r>
            <w:r w:rsidR="003A245C" w:rsidRPr="003A245C">
              <w:rPr>
                <w:b/>
                <w:bCs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14:paraId="08A10520" w14:textId="77777777" w:rsidR="009A245E" w:rsidRPr="0055622C" w:rsidRDefault="009A245E" w:rsidP="0009196B">
            <w:pPr>
              <w:ind w:left="57"/>
            </w:pPr>
            <w:r w:rsidRPr="0055622C">
              <w:t>Russian Federation and European Commission</w:t>
            </w:r>
          </w:p>
        </w:tc>
        <w:tc>
          <w:tcPr>
            <w:tcW w:w="1400" w:type="dxa"/>
            <w:shd w:val="clear" w:color="auto" w:fill="auto"/>
          </w:tcPr>
          <w:p w14:paraId="244E48D6" w14:textId="77777777" w:rsidR="009A245E" w:rsidRPr="0055622C" w:rsidRDefault="009A245E" w:rsidP="0009196B">
            <w:pPr>
              <w:ind w:left="57"/>
            </w:pPr>
            <w:r w:rsidRPr="0055622C">
              <w:t>Ongoing</w:t>
            </w:r>
          </w:p>
        </w:tc>
      </w:tr>
      <w:tr w:rsidR="009A245E" w:rsidRPr="0055622C" w14:paraId="61C619E7" w14:textId="77777777" w:rsidTr="0009196B">
        <w:tc>
          <w:tcPr>
            <w:tcW w:w="1695" w:type="dxa"/>
          </w:tcPr>
          <w:p w14:paraId="252C83E5" w14:textId="27E8A129" w:rsidR="009A245E" w:rsidRPr="0055622C" w:rsidRDefault="00E345D1" w:rsidP="0009196B">
            <w:pPr>
              <w:ind w:left="57"/>
            </w:pPr>
            <w:r>
              <w:t>…</w:t>
            </w:r>
          </w:p>
        </w:tc>
        <w:tc>
          <w:tcPr>
            <w:tcW w:w="2762" w:type="dxa"/>
          </w:tcPr>
          <w:p w14:paraId="37CCB871" w14:textId="61F2443F" w:rsidR="009A245E" w:rsidRPr="0055622C" w:rsidRDefault="009A245E" w:rsidP="0009196B">
            <w:pPr>
              <w:ind w:left="57"/>
            </w:pPr>
          </w:p>
        </w:tc>
        <w:tc>
          <w:tcPr>
            <w:tcW w:w="2986" w:type="dxa"/>
          </w:tcPr>
          <w:p w14:paraId="43CC8F22" w14:textId="413323D4" w:rsidR="009A245E" w:rsidRPr="0055622C" w:rsidRDefault="009A245E" w:rsidP="0009196B">
            <w:pPr>
              <w:ind w:left="57"/>
              <w:rPr>
                <w:bCs/>
              </w:rPr>
            </w:pPr>
          </w:p>
        </w:tc>
        <w:tc>
          <w:tcPr>
            <w:tcW w:w="1252" w:type="dxa"/>
          </w:tcPr>
          <w:p w14:paraId="199BDB27" w14:textId="503CA282" w:rsidR="009A245E" w:rsidRPr="0055622C" w:rsidRDefault="009A245E" w:rsidP="0009196B">
            <w:pPr>
              <w:ind w:left="57"/>
            </w:pPr>
          </w:p>
        </w:tc>
        <w:tc>
          <w:tcPr>
            <w:tcW w:w="1166" w:type="dxa"/>
          </w:tcPr>
          <w:p w14:paraId="0B332BCE" w14:textId="548A1461" w:rsidR="009A245E" w:rsidRPr="0055622C" w:rsidRDefault="009A245E" w:rsidP="0009196B">
            <w:pPr>
              <w:ind w:left="57"/>
            </w:pPr>
          </w:p>
        </w:tc>
        <w:tc>
          <w:tcPr>
            <w:tcW w:w="1260" w:type="dxa"/>
          </w:tcPr>
          <w:p w14:paraId="1AB80264" w14:textId="698954E0" w:rsidR="009A245E" w:rsidRPr="0055622C" w:rsidRDefault="009A245E" w:rsidP="0009196B">
            <w:pPr>
              <w:ind w:left="57"/>
            </w:pPr>
          </w:p>
        </w:tc>
        <w:tc>
          <w:tcPr>
            <w:tcW w:w="1400" w:type="dxa"/>
          </w:tcPr>
          <w:p w14:paraId="20406742" w14:textId="3B5FE963" w:rsidR="009A245E" w:rsidRPr="0055622C" w:rsidRDefault="009A245E" w:rsidP="0009196B">
            <w:pPr>
              <w:ind w:left="57"/>
            </w:pPr>
          </w:p>
        </w:tc>
      </w:tr>
    </w:tbl>
    <w:p w14:paraId="4CB6A002" w14:textId="35DC8F45" w:rsidR="009A245E" w:rsidRDefault="009A245E"/>
    <w:p w14:paraId="69711A16" w14:textId="06A7AFFD" w:rsidR="003A245C" w:rsidRPr="003A245C" w:rsidRDefault="003A245C" w:rsidP="003A245C">
      <w:pPr>
        <w:ind w:left="1134"/>
        <w:rPr>
          <w:i/>
          <w:iCs/>
        </w:rPr>
      </w:pPr>
      <w:r w:rsidRPr="003A245C">
        <w:rPr>
          <w:i/>
          <w:iCs/>
        </w:rPr>
        <w:t>Add a footnote:</w:t>
      </w:r>
    </w:p>
    <w:p w14:paraId="6A173315" w14:textId="170F92FC" w:rsidR="003A245C" w:rsidRDefault="003A245C" w:rsidP="003A245C">
      <w:pPr>
        <w:ind w:left="1134"/>
      </w:pPr>
    </w:p>
    <w:p w14:paraId="4B8685AB" w14:textId="12A652C2" w:rsidR="003A245C" w:rsidRDefault="003A245C" w:rsidP="003A245C">
      <w:pPr>
        <w:ind w:left="1134"/>
        <w:rPr>
          <w:b/>
          <w:bCs/>
        </w:rPr>
      </w:pPr>
      <w:r w:rsidRPr="003A245C">
        <w:rPr>
          <w:b/>
          <w:bCs/>
        </w:rPr>
        <w:t>* DCAS stands for Dynamic Control Assistance Systems, which are the subset of ADAS, subject to the new UN Regulation.</w:t>
      </w:r>
    </w:p>
    <w:p w14:paraId="11C18551" w14:textId="56AEEA17" w:rsidR="003A245C" w:rsidRDefault="003A245C" w:rsidP="003A245C">
      <w:pPr>
        <w:ind w:left="1134"/>
        <w:rPr>
          <w:b/>
          <w:bCs/>
        </w:rPr>
      </w:pPr>
    </w:p>
    <w:p w14:paraId="0F576A25" w14:textId="77777777" w:rsidR="003A78D7" w:rsidRDefault="003A78D7" w:rsidP="003A245C">
      <w:pPr>
        <w:ind w:left="1134"/>
        <w:rPr>
          <w:b/>
          <w:bCs/>
        </w:rPr>
      </w:pPr>
    </w:p>
    <w:p w14:paraId="2B8E8A81" w14:textId="549B899A" w:rsidR="003A245C" w:rsidRPr="003A245C" w:rsidRDefault="003A245C" w:rsidP="003A245C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b/>
          <w:bCs/>
          <w:sz w:val="28"/>
          <w:szCs w:val="28"/>
        </w:rPr>
      </w:pPr>
      <w:r w:rsidRPr="003A245C">
        <w:rPr>
          <w:b/>
          <w:bCs/>
          <w:sz w:val="28"/>
          <w:szCs w:val="28"/>
        </w:rPr>
        <w:t>Justification</w:t>
      </w:r>
    </w:p>
    <w:p w14:paraId="20F1C125" w14:textId="14AEA94A" w:rsidR="003A245C" w:rsidRDefault="008C550B" w:rsidP="003A245C">
      <w:pPr>
        <w:ind w:left="1134"/>
      </w:pPr>
      <w:r>
        <w:tab/>
      </w:r>
      <w:r w:rsidR="003A245C" w:rsidRPr="003A245C">
        <w:t>The TF on ADAS agreed to start developing a new UN Regulation. The use of the term “DCAS” was endorsed at the 7</w:t>
      </w:r>
      <w:r w:rsidR="003A245C" w:rsidRPr="003A245C">
        <w:rPr>
          <w:vertAlign w:val="superscript"/>
        </w:rPr>
        <w:t>th</w:t>
      </w:r>
      <w:r w:rsidR="003A245C" w:rsidRPr="003A245C">
        <w:t xml:space="preserve"> session of the Task Force on ADAS in September 2021.</w:t>
      </w:r>
    </w:p>
    <w:p w14:paraId="13BD627D" w14:textId="43015E51" w:rsidR="003A245C" w:rsidRDefault="008C550B" w:rsidP="003A245C">
      <w:pPr>
        <w:ind w:left="1134"/>
      </w:pPr>
      <w:r>
        <w:tab/>
      </w:r>
      <w:r w:rsidR="003A245C">
        <w:t xml:space="preserve">According to the Terms of Reference of the TF on ADAS </w:t>
      </w:r>
      <w:r w:rsidR="00957516">
        <w:t>adopted by GRVA and reproduced in the report of the 9</w:t>
      </w:r>
      <w:r w:rsidR="00957516" w:rsidRPr="00957516">
        <w:rPr>
          <w:vertAlign w:val="superscript"/>
        </w:rPr>
        <w:t>th</w:t>
      </w:r>
      <w:r w:rsidR="00957516">
        <w:t xml:space="preserve"> GRVA session (</w:t>
      </w:r>
      <w:r w:rsidR="00957516" w:rsidRPr="0055622C">
        <w:rPr>
          <w:bCs/>
        </w:rPr>
        <w:t>ECE/TRANS/WP.29/GRVA/9, Annex IV</w:t>
      </w:r>
      <w:r w:rsidR="00957516">
        <w:rPr>
          <w:bCs/>
        </w:rPr>
        <w:t xml:space="preserve">) the TF on ADAS should </w:t>
      </w:r>
      <w:r w:rsidR="00957516" w:rsidRPr="00651AFC">
        <w:t>finalize the new UN Regulation and</w:t>
      </w:r>
      <w:r w:rsidR="00957516">
        <w:t>/or</w:t>
      </w:r>
      <w:r w:rsidR="00957516" w:rsidRPr="00651AFC">
        <w:t xml:space="preserve"> amendments to UN Regulation No. 79 for review and possible adoption by GRVA at </w:t>
      </w:r>
      <w:r w:rsidR="00957516">
        <w:t>its</w:t>
      </w:r>
      <w:r w:rsidR="00957516" w:rsidRPr="00651AFC">
        <w:t xml:space="preserve"> February 2022 session or at the following session</w:t>
      </w:r>
      <w:r w:rsidR="00957516">
        <w:t xml:space="preserve">. Although, this target now looks challenging, </w:t>
      </w:r>
      <w:r>
        <w:t xml:space="preserve">the proposal is to align the date mentioned in the “Timeline” column of the Table 5 with the Terms of Reference of the TF on ADAS. Assuming the submission of the proposal for a new UN Regulation, if adopted by GRVA, to WP.29, the timeline set for November 2022 looks appropriate for the time being. </w:t>
      </w:r>
    </w:p>
    <w:p w14:paraId="268C1EC5" w14:textId="68854122" w:rsidR="008C550B" w:rsidRDefault="008C550B" w:rsidP="003A245C">
      <w:pPr>
        <w:ind w:left="1134"/>
      </w:pPr>
    </w:p>
    <w:p w14:paraId="07D6C1C5" w14:textId="110895DD" w:rsidR="003A245C" w:rsidRDefault="008C550B" w:rsidP="003A78D7">
      <w:pPr>
        <w:ind w:left="1134"/>
        <w:jc w:val="center"/>
      </w:pPr>
      <w:r>
        <w:t>______________</w:t>
      </w:r>
    </w:p>
    <w:sectPr w:rsidR="003A245C" w:rsidSect="003A78D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188D"/>
    <w:multiLevelType w:val="hybridMultilevel"/>
    <w:tmpl w:val="1316A96C"/>
    <w:lvl w:ilvl="0" w:tplc="0396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08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C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CA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60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4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04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2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254146"/>
    <w:multiLevelType w:val="hybridMultilevel"/>
    <w:tmpl w:val="5770EE3E"/>
    <w:lvl w:ilvl="0" w:tplc="227E929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5E"/>
    <w:rsid w:val="003A245C"/>
    <w:rsid w:val="003A78D7"/>
    <w:rsid w:val="004752AB"/>
    <w:rsid w:val="008C550B"/>
    <w:rsid w:val="00957516"/>
    <w:rsid w:val="009A245E"/>
    <w:rsid w:val="00B56026"/>
    <w:rsid w:val="00E345D1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45EA"/>
  <w15:chartTrackingRefBased/>
  <w15:docId w15:val="{25644ED1-DF46-4DD7-A30F-507C3411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5E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A245E"/>
    <w:pPr>
      <w:spacing w:after="120"/>
      <w:ind w:left="1134" w:right="1134"/>
      <w:jc w:val="both"/>
    </w:pPr>
  </w:style>
  <w:style w:type="character" w:customStyle="1" w:styleId="SingleTxtGChar">
    <w:name w:val="_ Single Txt_G Char"/>
    <w:basedOn w:val="DefaultParagraphFont"/>
    <w:link w:val="SingleTxtG"/>
    <w:qFormat/>
    <w:rsid w:val="009A245E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semiHidden/>
    <w:rsid w:val="009A245E"/>
    <w:rPr>
      <w:sz w:val="16"/>
    </w:rPr>
  </w:style>
  <w:style w:type="paragraph" w:styleId="CommentText">
    <w:name w:val="annotation text"/>
    <w:basedOn w:val="Normal"/>
    <w:link w:val="CommentTextChar"/>
    <w:rsid w:val="009A24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A245E"/>
    <w:rPr>
      <w:rFonts w:ascii="Times New Roman" w:eastAsia="MS Mincho" w:hAnsi="Times New Roman" w:cs="Times New Roman"/>
      <w:sz w:val="20"/>
      <w:szCs w:val="20"/>
      <w:lang w:val="en-US" w:eastAsia="ja-JP"/>
    </w:rPr>
  </w:style>
  <w:style w:type="table" w:styleId="TableGrid">
    <w:name w:val="Table Grid"/>
    <w:basedOn w:val="TableNormal"/>
    <w:rsid w:val="009A245E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qFormat/>
    <w:rsid w:val="009A245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rsid w:val="009A245E"/>
    <w:rPr>
      <w:rFonts w:ascii="Times New Roman" w:eastAsia="MS Mincho" w:hAnsi="Times New Roman" w:cs="Times New Roman"/>
      <w:b/>
      <w:sz w:val="18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A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BF7B-D844-4A68-BB03-37E9D8C83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F6257-D835-4340-A335-AD6BE0A8F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DF555-641C-4374-B1EE-2559BA31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</dc:creator>
  <cp:keywords/>
  <dc:description/>
  <cp:lastModifiedBy>Francois Guichard</cp:lastModifiedBy>
  <cp:revision>4</cp:revision>
  <dcterms:created xsi:type="dcterms:W3CDTF">2021-09-23T13:39:00Z</dcterms:created>
  <dcterms:modified xsi:type="dcterms:W3CDTF">2021-09-27T07:26:00Z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