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5E7A5" w14:textId="0DA7D783" w:rsidR="00FC396D" w:rsidRDefault="00162D2F" w:rsidP="007A342B">
      <w:pPr>
        <w:tabs>
          <w:tab w:val="left" w:pos="7088"/>
        </w:tabs>
        <w:spacing w:after="240" w:line="240" w:lineRule="auto"/>
        <w:ind w:right="-330"/>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 xml:space="preserve">Questions and </w:t>
      </w:r>
      <w:r w:rsidR="00E773F8">
        <w:rPr>
          <w:rFonts w:ascii="Times New Roman" w:eastAsia="MS Mincho" w:hAnsi="Times New Roman" w:cs="Times New Roman"/>
          <w:b/>
          <w:sz w:val="32"/>
          <w:szCs w:val="32"/>
          <w:lang w:eastAsia="en-GB"/>
        </w:rPr>
        <w:t>Answers/</w:t>
      </w:r>
      <w:r>
        <w:rPr>
          <w:rFonts w:ascii="Times New Roman" w:eastAsia="MS Mincho" w:hAnsi="Times New Roman" w:cs="Times New Roman"/>
          <w:b/>
          <w:sz w:val="32"/>
          <w:szCs w:val="32"/>
          <w:lang w:eastAsia="en-GB"/>
        </w:rPr>
        <w:t>Comments in Session A</w:t>
      </w:r>
      <w:r w:rsidR="00E773F8">
        <w:rPr>
          <w:rFonts w:ascii="Times New Roman" w:eastAsia="MS Mincho" w:hAnsi="Times New Roman" w:cs="Times New Roman"/>
          <w:b/>
          <w:sz w:val="32"/>
          <w:szCs w:val="32"/>
          <w:lang w:eastAsia="en-GB"/>
        </w:rPr>
        <w:t xml:space="preserve"> </w:t>
      </w:r>
      <w:r w:rsidR="007A342B">
        <w:rPr>
          <w:rFonts w:ascii="Times New Roman" w:eastAsia="MS Mincho" w:hAnsi="Times New Roman" w:cs="Times New Roman"/>
          <w:b/>
          <w:sz w:val="32"/>
          <w:szCs w:val="32"/>
          <w:lang w:eastAsia="en-GB"/>
        </w:rPr>
        <w:t xml:space="preserve">derived from the </w:t>
      </w:r>
      <w:r w:rsidR="00E773F8" w:rsidRPr="00E773F8">
        <w:rPr>
          <w:rFonts w:ascii="Times New Roman" w:eastAsia="MS Mincho" w:hAnsi="Times New Roman" w:cs="Times New Roman"/>
          <w:b/>
          <w:sz w:val="32"/>
          <w:szCs w:val="32"/>
          <w:lang w:eastAsia="en-GB"/>
        </w:rPr>
        <w:t xml:space="preserve">Workshop on the implementation </w:t>
      </w:r>
      <w:r w:rsidR="00E773F8">
        <w:rPr>
          <w:rFonts w:ascii="Times New Roman" w:eastAsia="MS Mincho" w:hAnsi="Times New Roman" w:cs="Times New Roman"/>
          <w:b/>
          <w:sz w:val="32"/>
          <w:szCs w:val="32"/>
          <w:lang w:eastAsia="en-GB"/>
        </w:rPr>
        <w:t>o</w:t>
      </w:r>
      <w:r w:rsidR="00E773F8" w:rsidRPr="00E773F8">
        <w:rPr>
          <w:rFonts w:ascii="Times New Roman" w:eastAsia="MS Mincho" w:hAnsi="Times New Roman" w:cs="Times New Roman"/>
          <w:b/>
          <w:sz w:val="32"/>
          <w:szCs w:val="32"/>
          <w:lang w:eastAsia="en-GB"/>
        </w:rPr>
        <w:t>f UN Regulation No. 155</w:t>
      </w:r>
      <w:r w:rsidR="007A342B">
        <w:rPr>
          <w:rFonts w:ascii="Times New Roman" w:eastAsia="MS Mincho" w:hAnsi="Times New Roman" w:cs="Times New Roman"/>
          <w:b/>
          <w:sz w:val="32"/>
          <w:szCs w:val="32"/>
          <w:lang w:eastAsia="en-GB"/>
        </w:rPr>
        <w:t xml:space="preserve"> </w:t>
      </w:r>
      <w:r w:rsidR="007A342B">
        <w:rPr>
          <w:rFonts w:ascii="Times New Roman" w:eastAsia="MS Mincho" w:hAnsi="Times New Roman" w:cs="Times New Roman"/>
          <w:b/>
          <w:sz w:val="32"/>
          <w:szCs w:val="32"/>
          <w:lang w:eastAsia="en-GB"/>
        </w:rPr>
        <w:br/>
        <w:t>(8 July 2021)</w:t>
      </w:r>
    </w:p>
    <w:p w14:paraId="4D2B991D" w14:textId="1C9DBE29" w:rsidR="007A342B" w:rsidRPr="006E5896" w:rsidRDefault="007A342B" w:rsidP="006E5896">
      <w:pPr>
        <w:pStyle w:val="Heading1"/>
        <w:spacing w:after="240"/>
        <w:rPr>
          <w:lang w:eastAsia="en-GB"/>
        </w:rPr>
      </w:pPr>
      <w:r>
        <w:rPr>
          <w:lang w:eastAsia="en-GB"/>
        </w:rPr>
        <w:t>I.</w:t>
      </w:r>
      <w:r>
        <w:rPr>
          <w:lang w:eastAsia="en-GB"/>
        </w:rPr>
        <w:tab/>
        <w:t>Context</w:t>
      </w:r>
    </w:p>
    <w:p w14:paraId="05875372" w14:textId="11A1BC02" w:rsidR="00162D2F" w:rsidRDefault="007A342B" w:rsidP="007A342B">
      <w:pPr>
        <w:pStyle w:val="ListParagraph"/>
        <w:ind w:left="709"/>
        <w:jc w:val="both"/>
        <w:rPr>
          <w:rFonts w:ascii="Times New Roman" w:eastAsiaTheme="minorHAnsi" w:hAnsi="Times New Roman" w:cs="Times New Roman"/>
        </w:rPr>
      </w:pPr>
      <w:r>
        <w:rPr>
          <w:rFonts w:ascii="Times New Roman" w:eastAsiaTheme="minorHAnsi" w:hAnsi="Times New Roman" w:cs="Times New Roman"/>
        </w:rPr>
        <w:t>1.</w:t>
      </w:r>
      <w:r>
        <w:rPr>
          <w:rFonts w:ascii="Times New Roman" w:eastAsiaTheme="minorHAnsi" w:hAnsi="Times New Roman" w:cs="Times New Roman"/>
        </w:rPr>
        <w:tab/>
      </w:r>
      <w:r w:rsidR="00162D2F" w:rsidRPr="00162D2F">
        <w:rPr>
          <w:rFonts w:ascii="Times New Roman" w:eastAsiaTheme="minorHAnsi" w:hAnsi="Times New Roman" w:cs="Times New Roman"/>
        </w:rPr>
        <w:t>UN Regulation No. 155</w:t>
      </w:r>
      <w:r w:rsidR="00761039">
        <w:rPr>
          <w:rFonts w:ascii="Times New Roman" w:eastAsiaTheme="minorHAnsi" w:hAnsi="Times New Roman" w:cs="Times New Roman"/>
        </w:rPr>
        <w:t xml:space="preserve"> was established to </w:t>
      </w:r>
      <w:r>
        <w:rPr>
          <w:rFonts w:ascii="Times New Roman" w:eastAsiaTheme="minorHAnsi" w:hAnsi="Times New Roman" w:cs="Times New Roman"/>
        </w:rPr>
        <w:t xml:space="preserve">support </w:t>
      </w:r>
      <w:r w:rsidR="00761039">
        <w:rPr>
          <w:rFonts w:ascii="Times New Roman" w:eastAsiaTheme="minorHAnsi" w:hAnsi="Times New Roman" w:cs="Times New Roman"/>
        </w:rPr>
        <w:t>vehicle cyber security. This regulation</w:t>
      </w:r>
      <w:r w:rsidR="00162D2F" w:rsidRPr="00162D2F">
        <w:rPr>
          <w:rFonts w:ascii="Times New Roman" w:eastAsiaTheme="minorHAnsi" w:hAnsi="Times New Roman" w:cs="Times New Roman"/>
        </w:rPr>
        <w:t xml:space="preserve"> is rather unique in the framework of the 1958 Agreement and also in the field of cyber security. The regulation makes the vehicle manufacturer responsible for ensuring cybersecurity throughout the </w:t>
      </w:r>
      <w:r>
        <w:rPr>
          <w:rFonts w:ascii="Times New Roman" w:eastAsiaTheme="minorHAnsi" w:hAnsi="Times New Roman" w:cs="Times New Roman"/>
        </w:rPr>
        <w:t xml:space="preserve">supply chain and the </w:t>
      </w:r>
      <w:r w:rsidR="00162D2F" w:rsidRPr="00162D2F">
        <w:rPr>
          <w:rFonts w:ascii="Times New Roman" w:eastAsiaTheme="minorHAnsi" w:hAnsi="Times New Roman" w:cs="Times New Roman"/>
        </w:rPr>
        <w:t xml:space="preserve">lifecycle of the vehicle. It </w:t>
      </w:r>
      <w:r>
        <w:rPr>
          <w:rFonts w:ascii="Times New Roman" w:eastAsiaTheme="minorHAnsi" w:hAnsi="Times New Roman" w:cs="Times New Roman"/>
        </w:rPr>
        <w:t>requires</w:t>
      </w:r>
      <w:r w:rsidRPr="00162D2F">
        <w:rPr>
          <w:rFonts w:ascii="Times New Roman" w:eastAsiaTheme="minorHAnsi" w:hAnsi="Times New Roman" w:cs="Times New Roman"/>
        </w:rPr>
        <w:t xml:space="preserve"> addressing</w:t>
      </w:r>
      <w:r w:rsidR="00162D2F" w:rsidRPr="00162D2F">
        <w:rPr>
          <w:rFonts w:ascii="Times New Roman" w:eastAsiaTheme="minorHAnsi" w:hAnsi="Times New Roman" w:cs="Times New Roman"/>
        </w:rPr>
        <w:t xml:space="preserve"> two types of requirements, those related to the cyber security management and those related to the type approval.</w:t>
      </w:r>
    </w:p>
    <w:p w14:paraId="4BB173E5" w14:textId="5147AB65" w:rsidR="007A342B" w:rsidRPr="00162D2F" w:rsidRDefault="007A342B" w:rsidP="006E5896">
      <w:pPr>
        <w:pStyle w:val="Heading1"/>
        <w:spacing w:after="240"/>
        <w:rPr>
          <w:lang w:eastAsia="en-GB"/>
        </w:rPr>
      </w:pPr>
      <w:r>
        <w:rPr>
          <w:lang w:eastAsia="en-GB"/>
        </w:rPr>
        <w:t>II.</w:t>
      </w:r>
      <w:r>
        <w:rPr>
          <w:lang w:eastAsia="en-GB"/>
        </w:rPr>
        <w:tab/>
        <w:t>Specificities</w:t>
      </w:r>
    </w:p>
    <w:p w14:paraId="0E967FBA" w14:textId="5E7A4360" w:rsidR="00162D2F" w:rsidRDefault="007A342B" w:rsidP="007A342B">
      <w:pPr>
        <w:pStyle w:val="ListParagraph"/>
        <w:ind w:left="709"/>
        <w:jc w:val="both"/>
        <w:rPr>
          <w:rFonts w:ascii="Times New Roman" w:eastAsiaTheme="minorHAnsi" w:hAnsi="Times New Roman" w:cs="Times New Roman"/>
        </w:rPr>
      </w:pPr>
      <w:r>
        <w:rPr>
          <w:rFonts w:ascii="Times New Roman" w:eastAsiaTheme="minorHAnsi" w:hAnsi="Times New Roman" w:cs="Times New Roman"/>
        </w:rPr>
        <w:t>2.</w:t>
      </w:r>
      <w:r>
        <w:rPr>
          <w:rFonts w:ascii="Times New Roman" w:eastAsiaTheme="minorHAnsi" w:hAnsi="Times New Roman" w:cs="Times New Roman"/>
        </w:rPr>
        <w:tab/>
      </w:r>
      <w:r w:rsidR="00162D2F" w:rsidRPr="006E5896">
        <w:rPr>
          <w:rFonts w:ascii="Times New Roman" w:eastAsiaTheme="minorHAnsi" w:hAnsi="Times New Roman" w:cs="Times New Roman"/>
        </w:rPr>
        <w:t>The regulation does not provide a high level of details on the way to evidence the compliance with the requirements. The regulator chose to provide guidance in a guidance document instead of inserting them in the regulation. This choice has an importance in the context of the mutual recognition obligation of type approvals according to the provisions of the 1958 Agreement. The regulator therefore inserted in the regulation the obligation for the Approval Authorities to exchange information, via the Database for the Exchange of Type Approval (DETA) on the assessment method used in the context of this regulation.</w:t>
      </w:r>
    </w:p>
    <w:p w14:paraId="1377AA7F" w14:textId="36268917" w:rsidR="007A342B" w:rsidRPr="006E5896" w:rsidRDefault="007A342B" w:rsidP="006E5896">
      <w:pPr>
        <w:pStyle w:val="Heading1"/>
        <w:spacing w:after="240"/>
        <w:rPr>
          <w:lang w:eastAsia="en-GB"/>
        </w:rPr>
      </w:pPr>
      <w:r>
        <w:rPr>
          <w:lang w:eastAsia="en-GB"/>
        </w:rPr>
        <w:t>III.</w:t>
      </w:r>
      <w:r>
        <w:rPr>
          <w:lang w:eastAsia="en-GB"/>
        </w:rPr>
        <w:tab/>
        <w:t xml:space="preserve">Workshop on the implementation of UN Regulation No. 155 </w:t>
      </w:r>
    </w:p>
    <w:p w14:paraId="0F410F74" w14:textId="4A5276D0" w:rsidR="007A342B" w:rsidRPr="006E5896"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3.</w:t>
      </w:r>
      <w:r>
        <w:rPr>
          <w:rFonts w:ascii="Times New Roman" w:eastAsiaTheme="minorHAnsi" w:hAnsi="Times New Roman" w:cs="Times New Roman"/>
        </w:rPr>
        <w:tab/>
        <w:t xml:space="preserve">The Working Party on Automated/Autonomous and Connected Vehicles (GRVA) agreed that a workshop on the implementation of UN Regulation No. 155 is organized in 2021, see ECE/TRANS/WP.29/GRVA/10, para. 43. </w:t>
      </w:r>
    </w:p>
    <w:p w14:paraId="0A2B864E" w14:textId="634259C8" w:rsidR="00162D2F"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4.</w:t>
      </w:r>
      <w:r>
        <w:rPr>
          <w:rFonts w:ascii="Times New Roman" w:eastAsiaTheme="minorHAnsi" w:hAnsi="Times New Roman" w:cs="Times New Roman"/>
        </w:rPr>
        <w:tab/>
      </w:r>
      <w:r w:rsidR="00162D2F" w:rsidRPr="00162D2F">
        <w:rPr>
          <w:rFonts w:ascii="Times New Roman" w:eastAsiaTheme="minorHAnsi" w:hAnsi="Times New Roman" w:cs="Times New Roman"/>
        </w:rPr>
        <w:t xml:space="preserve">The purpose of this workshop </w:t>
      </w:r>
      <w:r>
        <w:rPr>
          <w:rFonts w:ascii="Times New Roman" w:eastAsiaTheme="minorHAnsi" w:hAnsi="Times New Roman" w:cs="Times New Roman"/>
        </w:rPr>
        <w:t>was</w:t>
      </w:r>
      <w:r w:rsidR="00162D2F" w:rsidRPr="00162D2F">
        <w:rPr>
          <w:rFonts w:ascii="Times New Roman" w:eastAsiaTheme="minorHAnsi" w:hAnsi="Times New Roman" w:cs="Times New Roman"/>
        </w:rPr>
        <w:t xml:space="preserve"> to gather the Approval Authorities that are working on the provisions of para. 5.3. of the Regulation. Approval Authorities of CPs </w:t>
      </w:r>
      <w:r>
        <w:rPr>
          <w:rFonts w:ascii="Times New Roman" w:eastAsiaTheme="minorHAnsi" w:hAnsi="Times New Roman" w:cs="Times New Roman"/>
        </w:rPr>
        <w:t>could</w:t>
      </w:r>
      <w:r w:rsidR="00162D2F" w:rsidRPr="00162D2F">
        <w:rPr>
          <w:rFonts w:ascii="Times New Roman" w:eastAsiaTheme="minorHAnsi" w:hAnsi="Times New Roman" w:cs="Times New Roman"/>
        </w:rPr>
        <w:t xml:space="preserve"> report about the process of implementation for fulfilment of the requirements of the Regulation. An exchange could take place on the difficulties and challenges that occurred during this process.</w:t>
      </w:r>
    </w:p>
    <w:p w14:paraId="06BB8340" w14:textId="3E7B8854" w:rsidR="007A342B"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5.</w:t>
      </w:r>
      <w:r>
        <w:rPr>
          <w:rFonts w:ascii="Times New Roman" w:eastAsiaTheme="minorHAnsi" w:hAnsi="Times New Roman" w:cs="Times New Roman"/>
        </w:rPr>
        <w:tab/>
        <w:t xml:space="preserve">The workshop was divided in two sessions, one of them being restricted to Approval Authorities (session A). </w:t>
      </w:r>
    </w:p>
    <w:p w14:paraId="11637783" w14:textId="63BFFB7F" w:rsidR="00162D2F" w:rsidRPr="00E773F8"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6.</w:t>
      </w:r>
      <w:r>
        <w:rPr>
          <w:rFonts w:ascii="Times New Roman" w:eastAsiaTheme="minorHAnsi" w:hAnsi="Times New Roman" w:cs="Times New Roman"/>
        </w:rPr>
        <w:tab/>
      </w:r>
      <w:r w:rsidR="00162D2F" w:rsidRPr="006E5896">
        <w:rPr>
          <w:rFonts w:ascii="Times New Roman" w:eastAsiaTheme="minorHAnsi" w:hAnsi="Times New Roman" w:cs="Times New Roman" w:hint="eastAsia"/>
        </w:rPr>
        <w:t>T</w:t>
      </w:r>
      <w:r w:rsidR="00162D2F" w:rsidRPr="006E5896">
        <w:rPr>
          <w:rFonts w:ascii="Times New Roman" w:eastAsiaTheme="minorHAnsi" w:hAnsi="Times New Roman" w:cs="Times New Roman"/>
        </w:rPr>
        <w:t xml:space="preserve">his document </w:t>
      </w:r>
      <w:r w:rsidR="00761039" w:rsidRPr="006E5896">
        <w:rPr>
          <w:rFonts w:ascii="Times New Roman" w:eastAsiaTheme="minorHAnsi" w:hAnsi="Times New Roman" w:cs="Times New Roman"/>
        </w:rPr>
        <w:t xml:space="preserve">captures and summaries discussions in the session A of the workshop which was restricted to the approval authorities as </w:t>
      </w:r>
      <w:r w:rsidR="00013F12" w:rsidRPr="006E5896">
        <w:rPr>
          <w:rFonts w:ascii="Times New Roman" w:eastAsiaTheme="minorHAnsi" w:hAnsi="Times New Roman" w:cs="Times New Roman"/>
        </w:rPr>
        <w:t xml:space="preserve">a </w:t>
      </w:r>
      <w:r w:rsidR="00761039" w:rsidRPr="006E5896">
        <w:rPr>
          <w:rFonts w:ascii="Times New Roman" w:eastAsiaTheme="minorHAnsi" w:hAnsi="Times New Roman" w:cs="Times New Roman"/>
        </w:rPr>
        <w:t>Q</w:t>
      </w:r>
      <w:r w:rsidR="00013F12" w:rsidRPr="006E5896">
        <w:rPr>
          <w:rFonts w:ascii="Times New Roman" w:eastAsiaTheme="minorHAnsi" w:hAnsi="Times New Roman" w:cs="Times New Roman"/>
        </w:rPr>
        <w:t>&amp;</w:t>
      </w:r>
      <w:r w:rsidR="00761039" w:rsidRPr="006E5896">
        <w:rPr>
          <w:rFonts w:ascii="Times New Roman" w:eastAsiaTheme="minorHAnsi" w:hAnsi="Times New Roman" w:cs="Times New Roman"/>
        </w:rPr>
        <w:t>A</w:t>
      </w:r>
      <w:r w:rsidR="00013F12" w:rsidRPr="006E5896">
        <w:rPr>
          <w:rFonts w:ascii="Times New Roman" w:eastAsiaTheme="minorHAnsi" w:hAnsi="Times New Roman" w:cs="Times New Roman"/>
        </w:rPr>
        <w:t xml:space="preserve"> style</w:t>
      </w:r>
      <w:r w:rsidR="00761039" w:rsidRPr="006E5896">
        <w:rPr>
          <w:rFonts w:ascii="Times New Roman" w:eastAsiaTheme="minorHAnsi" w:hAnsi="Times New Roman" w:cs="Times New Roman"/>
        </w:rPr>
        <w:t>. Some questions are still open</w:t>
      </w:r>
      <w:r w:rsidR="00E773F8" w:rsidRPr="006E5896">
        <w:rPr>
          <w:rFonts w:ascii="Times New Roman" w:eastAsiaTheme="minorHAnsi" w:hAnsi="Times New Roman" w:cs="Times New Roman"/>
        </w:rPr>
        <w:t xml:space="preserve"> and the comments related to such questions are noted.</w:t>
      </w:r>
    </w:p>
    <w:p w14:paraId="6C2A7B98" w14:textId="12A57D21" w:rsidR="00E773F8" w:rsidRPr="006E5896"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sidRPr="006E5896">
        <w:rPr>
          <w:rFonts w:ascii="Times New Roman" w:eastAsiaTheme="minorHAnsi" w:hAnsi="Times New Roman" w:cs="Times New Roman"/>
        </w:rPr>
        <w:t>7.</w:t>
      </w:r>
      <w:r w:rsidRPr="006E5896">
        <w:rPr>
          <w:rFonts w:ascii="Times New Roman" w:eastAsiaTheme="minorHAnsi" w:hAnsi="Times New Roman" w:cs="Times New Roman"/>
        </w:rPr>
        <w:tab/>
      </w:r>
      <w:r w:rsidR="00EE142B" w:rsidRPr="006E5896">
        <w:rPr>
          <w:rFonts w:ascii="Times New Roman" w:eastAsiaTheme="minorHAnsi" w:hAnsi="Times New Roman" w:cs="Times New Roman"/>
        </w:rPr>
        <w:t>The p</w:t>
      </w:r>
      <w:r w:rsidR="00E773F8" w:rsidRPr="006E5896">
        <w:rPr>
          <w:rFonts w:ascii="Times New Roman" w:eastAsiaTheme="minorHAnsi" w:hAnsi="Times New Roman" w:cs="Times New Roman"/>
        </w:rPr>
        <w:t xml:space="preserve">articipants of the session A supported to hold additional sessions on the same purpose. </w:t>
      </w:r>
      <w:r w:rsidR="00B55C60" w:rsidRPr="006E5896">
        <w:rPr>
          <w:rFonts w:ascii="Times New Roman" w:eastAsiaTheme="minorHAnsi" w:hAnsi="Times New Roman" w:cs="Times New Roman"/>
        </w:rPr>
        <w:t>The o</w:t>
      </w:r>
      <w:r w:rsidR="00E773F8" w:rsidRPr="006E5896">
        <w:rPr>
          <w:rFonts w:ascii="Times New Roman" w:eastAsiaTheme="minorHAnsi" w:hAnsi="Times New Roman" w:cs="Times New Roman"/>
        </w:rPr>
        <w:t xml:space="preserve">pen questions </w:t>
      </w:r>
      <w:r w:rsidR="00B55C60" w:rsidRPr="006E5896">
        <w:rPr>
          <w:rFonts w:ascii="Times New Roman" w:eastAsiaTheme="minorHAnsi" w:hAnsi="Times New Roman" w:cs="Times New Roman"/>
        </w:rPr>
        <w:t xml:space="preserve">and additional questions </w:t>
      </w:r>
      <w:r w:rsidR="00E773F8" w:rsidRPr="006E5896">
        <w:rPr>
          <w:rFonts w:ascii="Times New Roman" w:eastAsiaTheme="minorHAnsi" w:hAnsi="Times New Roman" w:cs="Times New Roman"/>
        </w:rPr>
        <w:t xml:space="preserve">with regards to the implementation of the regulation may be addressed in the following </w:t>
      </w:r>
      <w:r w:rsidR="00B55C60" w:rsidRPr="006E5896">
        <w:rPr>
          <w:rFonts w:ascii="Times New Roman" w:eastAsiaTheme="minorHAnsi" w:hAnsi="Times New Roman" w:cs="Times New Roman"/>
        </w:rPr>
        <w:t>workshops</w:t>
      </w:r>
      <w:r w:rsidR="00E773F8" w:rsidRPr="006E5896">
        <w:rPr>
          <w:rFonts w:ascii="Times New Roman" w:eastAsiaTheme="minorHAnsi" w:hAnsi="Times New Roman" w:cs="Times New Roman"/>
        </w:rPr>
        <w:t>.</w:t>
      </w:r>
    </w:p>
    <w:p w14:paraId="3D6A16B5" w14:textId="4A2C78FC" w:rsidR="007A342B" w:rsidRPr="006E5896" w:rsidRDefault="007A342B" w:rsidP="006E5896">
      <w:pPr>
        <w:pStyle w:val="Heading1"/>
        <w:keepNext w:val="0"/>
        <w:keepLines w:val="0"/>
        <w:widowControl w:val="0"/>
        <w:spacing w:after="240"/>
      </w:pPr>
      <w:r>
        <w:t>IV.</w:t>
      </w:r>
      <w:r>
        <w:tab/>
      </w:r>
      <w:r w:rsidRPr="007A342B">
        <w:t xml:space="preserve">Questions </w:t>
      </w:r>
      <w:r w:rsidR="008D0466">
        <w:t>gathered and discussed</w:t>
      </w:r>
    </w:p>
    <w:tbl>
      <w:tblPr>
        <w:tblStyle w:val="TableGrid"/>
        <w:tblW w:w="0" w:type="auto"/>
        <w:tblInd w:w="562" w:type="dxa"/>
        <w:tblLook w:val="04A0" w:firstRow="1" w:lastRow="0" w:firstColumn="1" w:lastColumn="0" w:noHBand="0" w:noVBand="1"/>
      </w:tblPr>
      <w:tblGrid>
        <w:gridCol w:w="1756"/>
        <w:gridCol w:w="2272"/>
        <w:gridCol w:w="4426"/>
      </w:tblGrid>
      <w:tr w:rsidR="00054047" w14:paraId="3A75D4C2" w14:textId="77777777" w:rsidTr="006E5896">
        <w:tc>
          <w:tcPr>
            <w:tcW w:w="1756" w:type="dxa"/>
          </w:tcPr>
          <w:p w14:paraId="3DF9EDA4" w14:textId="037B37AF" w:rsidR="00E773F8" w:rsidRPr="00A22F28" w:rsidRDefault="00E773F8" w:rsidP="00E773F8">
            <w:pPr>
              <w:pStyle w:val="ListParagraph"/>
              <w:ind w:left="0"/>
              <w:jc w:val="both"/>
              <w:rPr>
                <w:rFonts w:ascii="Times New Roman" w:hAnsi="Times New Roman" w:cs="Times New Roman"/>
                <w:lang w:eastAsia="ja-JP"/>
              </w:rPr>
            </w:pPr>
            <w:r w:rsidRPr="00A22F28">
              <w:rPr>
                <w:rFonts w:ascii="Times New Roman" w:hAnsi="Times New Roman" w:cs="Times New Roman"/>
                <w:lang w:eastAsia="ja-JP"/>
              </w:rPr>
              <w:t>Categor</w:t>
            </w:r>
            <w:r w:rsidR="006E5896">
              <w:rPr>
                <w:rFonts w:ascii="Times New Roman" w:hAnsi="Times New Roman" w:cs="Times New Roman"/>
                <w:lang w:eastAsia="ja-JP"/>
              </w:rPr>
              <w:t>ies</w:t>
            </w:r>
          </w:p>
        </w:tc>
        <w:tc>
          <w:tcPr>
            <w:tcW w:w="2272" w:type="dxa"/>
          </w:tcPr>
          <w:p w14:paraId="381E7C3A" w14:textId="00B958BD" w:rsidR="00E773F8" w:rsidRPr="008D0466" w:rsidRDefault="00E773F8"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Question</w:t>
            </w:r>
            <w:r w:rsidR="006E5896" w:rsidRPr="008D0466">
              <w:rPr>
                <w:rFonts w:ascii="Times New Roman" w:hAnsi="Times New Roman" w:cs="Times New Roman"/>
                <w:lang w:eastAsia="ja-JP"/>
              </w:rPr>
              <w:t>s</w:t>
            </w:r>
          </w:p>
        </w:tc>
        <w:tc>
          <w:tcPr>
            <w:tcW w:w="4426" w:type="dxa"/>
          </w:tcPr>
          <w:p w14:paraId="04909A23" w14:textId="2AA96907" w:rsidR="00E773F8" w:rsidRPr="00A22F28" w:rsidRDefault="00E773F8" w:rsidP="00E773F8">
            <w:pPr>
              <w:pStyle w:val="ListParagraph"/>
              <w:ind w:left="0"/>
              <w:jc w:val="both"/>
              <w:rPr>
                <w:rFonts w:ascii="Times New Roman" w:hAnsi="Times New Roman" w:cs="Times New Roman"/>
                <w:lang w:eastAsia="ja-JP"/>
              </w:rPr>
            </w:pPr>
            <w:r w:rsidRPr="00A22F28">
              <w:rPr>
                <w:rFonts w:ascii="Times New Roman" w:hAnsi="Times New Roman" w:cs="Times New Roman"/>
                <w:lang w:eastAsia="ja-JP"/>
              </w:rPr>
              <w:t>Answer</w:t>
            </w:r>
            <w:r w:rsidR="006E5896">
              <w:rPr>
                <w:rFonts w:ascii="Times New Roman" w:hAnsi="Times New Roman" w:cs="Times New Roman"/>
                <w:lang w:eastAsia="ja-JP"/>
              </w:rPr>
              <w:t>s</w:t>
            </w:r>
            <w:r w:rsidR="00B55C60" w:rsidRPr="00A22F28">
              <w:rPr>
                <w:rFonts w:ascii="Times New Roman" w:hAnsi="Times New Roman" w:cs="Times New Roman"/>
                <w:lang w:eastAsia="ja-JP"/>
              </w:rPr>
              <w:t xml:space="preserve"> </w:t>
            </w:r>
            <w:r w:rsidRPr="00A22F28">
              <w:rPr>
                <w:rFonts w:ascii="Times New Roman" w:hAnsi="Times New Roman" w:cs="Times New Roman"/>
                <w:lang w:eastAsia="ja-JP"/>
              </w:rPr>
              <w:t>(Comment</w:t>
            </w:r>
            <w:r w:rsidR="006E5896">
              <w:rPr>
                <w:rFonts w:ascii="Times New Roman" w:hAnsi="Times New Roman" w:cs="Times New Roman"/>
                <w:lang w:eastAsia="ja-JP"/>
              </w:rPr>
              <w:t>s</w:t>
            </w:r>
            <w:r w:rsidRPr="00A22F28">
              <w:rPr>
                <w:rFonts w:ascii="Times New Roman" w:hAnsi="Times New Roman" w:cs="Times New Roman"/>
                <w:lang w:eastAsia="ja-JP"/>
              </w:rPr>
              <w:t>)</w:t>
            </w:r>
            <w:r w:rsidR="000349E4">
              <w:rPr>
                <w:rFonts w:ascii="Times New Roman" w:hAnsi="Times New Roman" w:cs="Times New Roman"/>
                <w:lang w:eastAsia="ja-JP"/>
              </w:rPr>
              <w:t xml:space="preserve"> – under development</w:t>
            </w:r>
          </w:p>
        </w:tc>
      </w:tr>
      <w:tr w:rsidR="00C228D5" w14:paraId="2A9603B1" w14:textId="77777777" w:rsidTr="006E5896">
        <w:tc>
          <w:tcPr>
            <w:tcW w:w="1756" w:type="dxa"/>
            <w:vMerge w:val="restart"/>
          </w:tcPr>
          <w:p w14:paraId="556FD81D" w14:textId="68990391" w:rsidR="00C228D5" w:rsidRPr="00A22F28" w:rsidRDefault="00C228D5" w:rsidP="00E773F8">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CSMS scope/assessment</w:t>
            </w:r>
          </w:p>
        </w:tc>
        <w:tc>
          <w:tcPr>
            <w:tcW w:w="2272" w:type="dxa"/>
          </w:tcPr>
          <w:p w14:paraId="3EC2AEDF" w14:textId="28E1EE15" w:rsidR="00C228D5" w:rsidRPr="008D0466" w:rsidRDefault="00C228D5"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much detail manufacturers' documents should be assessed?</w:t>
            </w:r>
          </w:p>
        </w:tc>
        <w:tc>
          <w:tcPr>
            <w:tcW w:w="4426" w:type="dxa"/>
          </w:tcPr>
          <w:p w14:paraId="4DBB6EC9" w14:textId="272A30D1" w:rsidR="00C228D5" w:rsidRPr="00A22F28" w:rsidRDefault="00C228D5" w:rsidP="00E773F8">
            <w:pPr>
              <w:pStyle w:val="ListParagraph"/>
              <w:ind w:left="0"/>
              <w:jc w:val="both"/>
              <w:rPr>
                <w:rFonts w:ascii="Times New Roman" w:hAnsi="Times New Roman" w:cs="Times New Roman"/>
                <w:lang w:eastAsia="ja-JP"/>
              </w:rPr>
            </w:pPr>
          </w:p>
        </w:tc>
      </w:tr>
      <w:tr w:rsidR="00C228D5" w14:paraId="482FCE25" w14:textId="77777777" w:rsidTr="006E5896">
        <w:trPr>
          <w:trHeight w:val="289"/>
        </w:trPr>
        <w:tc>
          <w:tcPr>
            <w:tcW w:w="1756" w:type="dxa"/>
            <w:vMerge/>
          </w:tcPr>
          <w:p w14:paraId="2BBE92E2" w14:textId="77777777" w:rsidR="00C228D5" w:rsidRPr="00A22F28" w:rsidRDefault="00C228D5" w:rsidP="00E773F8">
            <w:pPr>
              <w:pStyle w:val="ListParagraph"/>
              <w:ind w:left="0"/>
              <w:jc w:val="both"/>
              <w:rPr>
                <w:rFonts w:ascii="Times New Roman" w:eastAsiaTheme="minorHAnsi" w:hAnsi="Times New Roman" w:cs="Times New Roman"/>
              </w:rPr>
            </w:pPr>
          </w:p>
        </w:tc>
        <w:tc>
          <w:tcPr>
            <w:tcW w:w="2272" w:type="dxa"/>
          </w:tcPr>
          <w:p w14:paraId="4915A7DE" w14:textId="67874864" w:rsidR="00C228D5" w:rsidRPr="008D0466" w:rsidRDefault="00C228D5"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the steps to Audit is configurated?</w:t>
            </w:r>
          </w:p>
        </w:tc>
        <w:tc>
          <w:tcPr>
            <w:tcW w:w="4426" w:type="dxa"/>
          </w:tcPr>
          <w:p w14:paraId="5ED5B93A" w14:textId="3C785346" w:rsidR="00C228D5" w:rsidRPr="00A22F28" w:rsidRDefault="00C228D5" w:rsidP="00E773F8">
            <w:pPr>
              <w:pStyle w:val="ListParagraph"/>
              <w:ind w:left="0"/>
              <w:jc w:val="both"/>
              <w:rPr>
                <w:rFonts w:ascii="Times New Roman" w:eastAsiaTheme="minorHAnsi" w:hAnsi="Times New Roman" w:cs="Times New Roman"/>
              </w:rPr>
            </w:pPr>
          </w:p>
        </w:tc>
      </w:tr>
      <w:tr w:rsidR="00C228D5" w14:paraId="29AAB2AE" w14:textId="77777777" w:rsidTr="006E5896">
        <w:trPr>
          <w:trHeight w:val="50"/>
        </w:trPr>
        <w:tc>
          <w:tcPr>
            <w:tcW w:w="1756" w:type="dxa"/>
            <w:vMerge/>
          </w:tcPr>
          <w:p w14:paraId="30CDE899" w14:textId="77777777" w:rsidR="00C228D5" w:rsidRPr="00A22F28" w:rsidRDefault="00C228D5" w:rsidP="00A22F28">
            <w:pPr>
              <w:pStyle w:val="ListParagraph"/>
              <w:ind w:left="0"/>
              <w:jc w:val="both"/>
              <w:rPr>
                <w:rFonts w:ascii="Times New Roman" w:eastAsiaTheme="minorHAnsi" w:hAnsi="Times New Roman" w:cs="Times New Roman"/>
              </w:rPr>
            </w:pPr>
          </w:p>
        </w:tc>
        <w:tc>
          <w:tcPr>
            <w:tcW w:w="2272" w:type="dxa"/>
          </w:tcPr>
          <w:p w14:paraId="666101B5" w14:textId="6B7A2503" w:rsidR="00C228D5" w:rsidRPr="008D0466" w:rsidRDefault="00C228D5"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to assess Stage-2-OEM?</w:t>
            </w:r>
          </w:p>
        </w:tc>
        <w:tc>
          <w:tcPr>
            <w:tcW w:w="4426" w:type="dxa"/>
          </w:tcPr>
          <w:p w14:paraId="328B6B93" w14:textId="6F1F822A" w:rsidR="00C228D5" w:rsidRPr="00A22F28" w:rsidRDefault="00C228D5" w:rsidP="00A22F28">
            <w:pPr>
              <w:pStyle w:val="ListParagraph"/>
              <w:ind w:left="0"/>
              <w:jc w:val="both"/>
              <w:rPr>
                <w:rFonts w:ascii="Times New Roman" w:hAnsi="Times New Roman" w:cs="Times New Roman"/>
                <w:lang w:eastAsia="ja-JP"/>
              </w:rPr>
            </w:pPr>
          </w:p>
        </w:tc>
      </w:tr>
      <w:tr w:rsidR="00C228D5" w14:paraId="712FD168" w14:textId="77777777" w:rsidTr="006E5896">
        <w:trPr>
          <w:trHeight w:val="50"/>
        </w:trPr>
        <w:tc>
          <w:tcPr>
            <w:tcW w:w="1756" w:type="dxa"/>
            <w:vMerge/>
          </w:tcPr>
          <w:p w14:paraId="1F1BED87" w14:textId="77777777" w:rsidR="00C228D5" w:rsidRPr="00A22F28" w:rsidRDefault="00C228D5" w:rsidP="00A22F28">
            <w:pPr>
              <w:pStyle w:val="ListParagraph"/>
              <w:ind w:left="0"/>
              <w:jc w:val="both"/>
              <w:rPr>
                <w:rFonts w:ascii="Times New Roman" w:eastAsiaTheme="minorHAnsi" w:hAnsi="Times New Roman" w:cs="Times New Roman"/>
              </w:rPr>
            </w:pPr>
          </w:p>
        </w:tc>
        <w:tc>
          <w:tcPr>
            <w:tcW w:w="2272" w:type="dxa"/>
          </w:tcPr>
          <w:p w14:paraId="0D742857" w14:textId="15C9CB16" w:rsidR="00C228D5" w:rsidRPr="008D0466" w:rsidRDefault="00C228D5" w:rsidP="00A22F28">
            <w:pPr>
              <w:pStyle w:val="ListParagraph"/>
              <w:ind w:left="0"/>
              <w:jc w:val="both"/>
              <w:rPr>
                <w:rFonts w:ascii="Times New Roman" w:hAnsi="Times New Roman" w:cs="Times New Roman"/>
                <w:lang w:eastAsia="ja-JP"/>
              </w:rPr>
            </w:pPr>
            <w:r w:rsidRPr="008D0466">
              <w:rPr>
                <w:rFonts w:ascii="Times New Roman" w:hAnsi="Times New Roman" w:cs="Times New Roman"/>
              </w:rPr>
              <w:t>How to assess outsourcing/suppliers?</w:t>
            </w:r>
          </w:p>
        </w:tc>
        <w:tc>
          <w:tcPr>
            <w:tcW w:w="4426" w:type="dxa"/>
          </w:tcPr>
          <w:p w14:paraId="3C3C5258" w14:textId="26D16804" w:rsidR="00C228D5" w:rsidRPr="00A22F28" w:rsidRDefault="00C228D5" w:rsidP="00A22F28">
            <w:pPr>
              <w:pStyle w:val="ListParagraph"/>
              <w:ind w:left="0"/>
              <w:jc w:val="both"/>
              <w:rPr>
                <w:rFonts w:ascii="Times New Roman" w:hAnsi="Times New Roman" w:cs="Times New Roman"/>
                <w:lang w:eastAsia="ja-JP"/>
              </w:rPr>
            </w:pPr>
          </w:p>
        </w:tc>
      </w:tr>
      <w:tr w:rsidR="00C228D5" w14:paraId="339489E1" w14:textId="77777777" w:rsidTr="006E5896">
        <w:tc>
          <w:tcPr>
            <w:tcW w:w="1756" w:type="dxa"/>
            <w:vMerge/>
          </w:tcPr>
          <w:p w14:paraId="774FF68B" w14:textId="77777777" w:rsidR="00C228D5" w:rsidRPr="00A22F28" w:rsidRDefault="00C228D5" w:rsidP="00A22F28">
            <w:pPr>
              <w:pStyle w:val="ListParagraph"/>
              <w:ind w:left="0"/>
              <w:jc w:val="both"/>
              <w:rPr>
                <w:rFonts w:ascii="Times New Roman" w:eastAsiaTheme="minorHAnsi" w:hAnsi="Times New Roman" w:cs="Times New Roman"/>
              </w:rPr>
            </w:pPr>
          </w:p>
        </w:tc>
        <w:tc>
          <w:tcPr>
            <w:tcW w:w="2272" w:type="dxa"/>
          </w:tcPr>
          <w:p w14:paraId="51B22AC1" w14:textId="039E2298" w:rsidR="00C228D5" w:rsidRPr="008D0466" w:rsidRDefault="00C228D5"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For how long shall the OEM supply software updates?</w:t>
            </w:r>
          </w:p>
        </w:tc>
        <w:tc>
          <w:tcPr>
            <w:tcW w:w="4426" w:type="dxa"/>
          </w:tcPr>
          <w:p w14:paraId="3B1F1C7C" w14:textId="77777777" w:rsidR="00C228D5" w:rsidRPr="00A22F28" w:rsidRDefault="00C228D5" w:rsidP="00A22F28">
            <w:pPr>
              <w:pStyle w:val="ListParagraph"/>
              <w:ind w:left="0"/>
              <w:jc w:val="both"/>
              <w:rPr>
                <w:rFonts w:ascii="Times New Roman" w:hAnsi="Times New Roman" w:cs="Times New Roman"/>
                <w:lang w:eastAsia="ja-JP"/>
              </w:rPr>
            </w:pPr>
          </w:p>
        </w:tc>
      </w:tr>
      <w:tr w:rsidR="00C228D5" w14:paraId="69901127" w14:textId="77777777" w:rsidTr="006E5896">
        <w:tc>
          <w:tcPr>
            <w:tcW w:w="1756" w:type="dxa"/>
            <w:vMerge/>
          </w:tcPr>
          <w:p w14:paraId="58C781B6" w14:textId="77777777" w:rsidR="00C228D5" w:rsidRPr="00A22F28" w:rsidRDefault="00C228D5" w:rsidP="00A22F28">
            <w:pPr>
              <w:pStyle w:val="ListParagraph"/>
              <w:ind w:left="0"/>
              <w:jc w:val="both"/>
              <w:rPr>
                <w:rFonts w:ascii="Times New Roman" w:eastAsiaTheme="minorHAnsi" w:hAnsi="Times New Roman" w:cs="Times New Roman"/>
              </w:rPr>
            </w:pPr>
          </w:p>
        </w:tc>
        <w:tc>
          <w:tcPr>
            <w:tcW w:w="2272" w:type="dxa"/>
          </w:tcPr>
          <w:p w14:paraId="78C810E2" w14:textId="6A0C94EF" w:rsidR="00C228D5" w:rsidRPr="008D0466" w:rsidRDefault="00C228D5"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One or more certificates for one applicant (legal person)?</w:t>
            </w:r>
          </w:p>
        </w:tc>
        <w:tc>
          <w:tcPr>
            <w:tcW w:w="4426" w:type="dxa"/>
          </w:tcPr>
          <w:p w14:paraId="2E3CB247" w14:textId="77777777" w:rsidR="00C228D5" w:rsidRPr="00A22F28" w:rsidRDefault="00C228D5" w:rsidP="00A22F28">
            <w:pPr>
              <w:pStyle w:val="ListParagraph"/>
              <w:ind w:left="0"/>
              <w:jc w:val="both"/>
              <w:rPr>
                <w:rFonts w:ascii="Times New Roman" w:hAnsi="Times New Roman" w:cs="Times New Roman"/>
                <w:lang w:eastAsia="ja-JP"/>
              </w:rPr>
            </w:pPr>
          </w:p>
        </w:tc>
      </w:tr>
      <w:tr w:rsidR="00C228D5" w14:paraId="66BC73F8" w14:textId="77777777" w:rsidTr="006E5896">
        <w:tc>
          <w:tcPr>
            <w:tcW w:w="1756" w:type="dxa"/>
            <w:vMerge/>
          </w:tcPr>
          <w:p w14:paraId="386226D3" w14:textId="77777777" w:rsidR="00C228D5" w:rsidRPr="00A22F28" w:rsidRDefault="00C228D5" w:rsidP="00A22F28">
            <w:pPr>
              <w:pStyle w:val="ListParagraph"/>
              <w:ind w:left="0"/>
              <w:jc w:val="both"/>
              <w:rPr>
                <w:rFonts w:ascii="Times New Roman" w:eastAsiaTheme="minorHAnsi" w:hAnsi="Times New Roman" w:cs="Times New Roman"/>
              </w:rPr>
            </w:pPr>
          </w:p>
        </w:tc>
        <w:tc>
          <w:tcPr>
            <w:tcW w:w="2272" w:type="dxa"/>
          </w:tcPr>
          <w:p w14:paraId="28783F86" w14:textId="0D0CD0FE" w:rsidR="00C228D5" w:rsidRPr="008D0466" w:rsidRDefault="00C228D5" w:rsidP="00C51245">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Limited information about outsourced parts of the MS (antitrust legislation); Can the OEM accept an external Certificate as sufficient proof?</w:t>
            </w:r>
          </w:p>
        </w:tc>
        <w:tc>
          <w:tcPr>
            <w:tcW w:w="4426" w:type="dxa"/>
          </w:tcPr>
          <w:p w14:paraId="2829CD79" w14:textId="77777777" w:rsidR="00C228D5" w:rsidRPr="00A22F28" w:rsidRDefault="00C228D5" w:rsidP="00A22F28">
            <w:pPr>
              <w:pStyle w:val="ListParagraph"/>
              <w:ind w:left="0"/>
              <w:jc w:val="both"/>
              <w:rPr>
                <w:rFonts w:ascii="Times New Roman" w:hAnsi="Times New Roman" w:cs="Times New Roman"/>
                <w:lang w:eastAsia="ja-JP"/>
              </w:rPr>
            </w:pPr>
          </w:p>
        </w:tc>
      </w:tr>
      <w:tr w:rsidR="00C228D5" w14:paraId="307A6362" w14:textId="77777777" w:rsidTr="006E5896">
        <w:tc>
          <w:tcPr>
            <w:tcW w:w="1756" w:type="dxa"/>
            <w:vMerge/>
          </w:tcPr>
          <w:p w14:paraId="7DD7BF67" w14:textId="77777777" w:rsidR="00C228D5" w:rsidRPr="00A22F28" w:rsidRDefault="00C228D5" w:rsidP="00A22F28">
            <w:pPr>
              <w:pStyle w:val="ListParagraph"/>
              <w:ind w:left="0"/>
              <w:jc w:val="both"/>
              <w:rPr>
                <w:rFonts w:ascii="Times New Roman" w:eastAsiaTheme="minorHAnsi" w:hAnsi="Times New Roman" w:cs="Times New Roman"/>
              </w:rPr>
            </w:pPr>
          </w:p>
        </w:tc>
        <w:tc>
          <w:tcPr>
            <w:tcW w:w="2272" w:type="dxa"/>
          </w:tcPr>
          <w:p w14:paraId="58D6D8D7" w14:textId="2410FDC3" w:rsidR="00C228D5" w:rsidRPr="008D0466" w:rsidRDefault="00C228D5" w:rsidP="00C51245">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Market surveillance / security by OEM / approval authority after expiration of the approval</w:t>
            </w:r>
          </w:p>
        </w:tc>
        <w:tc>
          <w:tcPr>
            <w:tcW w:w="4426" w:type="dxa"/>
          </w:tcPr>
          <w:p w14:paraId="454984D9" w14:textId="77777777" w:rsidR="00C228D5" w:rsidRPr="00A22F28" w:rsidRDefault="00C228D5" w:rsidP="00A22F28">
            <w:pPr>
              <w:pStyle w:val="ListParagraph"/>
              <w:ind w:left="0"/>
              <w:jc w:val="both"/>
              <w:rPr>
                <w:rFonts w:ascii="Times New Roman" w:hAnsi="Times New Roman" w:cs="Times New Roman"/>
                <w:lang w:eastAsia="ja-JP"/>
              </w:rPr>
            </w:pPr>
          </w:p>
        </w:tc>
      </w:tr>
      <w:tr w:rsidR="00C228D5" w14:paraId="60EE9711" w14:textId="77777777" w:rsidTr="006E5896">
        <w:tc>
          <w:tcPr>
            <w:tcW w:w="1756" w:type="dxa"/>
            <w:vMerge/>
          </w:tcPr>
          <w:p w14:paraId="0733CEC8" w14:textId="77777777" w:rsidR="00C228D5" w:rsidRPr="00A22F28" w:rsidRDefault="00C228D5" w:rsidP="00A22F28">
            <w:pPr>
              <w:pStyle w:val="ListParagraph"/>
              <w:ind w:left="0"/>
              <w:jc w:val="both"/>
              <w:rPr>
                <w:rFonts w:ascii="Times New Roman" w:eastAsiaTheme="minorHAnsi" w:hAnsi="Times New Roman" w:cs="Times New Roman"/>
              </w:rPr>
            </w:pPr>
          </w:p>
        </w:tc>
        <w:tc>
          <w:tcPr>
            <w:tcW w:w="2272" w:type="dxa"/>
          </w:tcPr>
          <w:p w14:paraId="69907FBB" w14:textId="78EE4E12" w:rsidR="00C228D5" w:rsidRPr="008D0466" w:rsidRDefault="00C228D5" w:rsidP="00C51245">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Required support of E/E-architectures developed before 1stof July 2024</w:t>
            </w:r>
          </w:p>
        </w:tc>
        <w:tc>
          <w:tcPr>
            <w:tcW w:w="4426" w:type="dxa"/>
          </w:tcPr>
          <w:p w14:paraId="67812829" w14:textId="77777777" w:rsidR="00C228D5" w:rsidRPr="00A22F28" w:rsidRDefault="00C228D5" w:rsidP="00A22F28">
            <w:pPr>
              <w:pStyle w:val="ListParagraph"/>
              <w:ind w:left="0"/>
              <w:jc w:val="both"/>
              <w:rPr>
                <w:rFonts w:ascii="Times New Roman" w:hAnsi="Times New Roman" w:cs="Times New Roman"/>
                <w:lang w:eastAsia="ja-JP"/>
              </w:rPr>
            </w:pPr>
          </w:p>
        </w:tc>
      </w:tr>
      <w:tr w:rsidR="00C228D5" w14:paraId="4F63F5D8" w14:textId="77777777" w:rsidTr="006E5896">
        <w:tc>
          <w:tcPr>
            <w:tcW w:w="1756" w:type="dxa"/>
            <w:vMerge/>
          </w:tcPr>
          <w:p w14:paraId="21C4AFF9" w14:textId="77777777" w:rsidR="00C228D5" w:rsidRPr="00A22F28" w:rsidRDefault="00C228D5" w:rsidP="00A22F28">
            <w:pPr>
              <w:pStyle w:val="ListParagraph"/>
              <w:ind w:left="0"/>
              <w:jc w:val="both"/>
              <w:rPr>
                <w:rFonts w:ascii="Times New Roman" w:eastAsiaTheme="minorHAnsi" w:hAnsi="Times New Roman" w:cs="Times New Roman"/>
              </w:rPr>
            </w:pPr>
          </w:p>
        </w:tc>
        <w:tc>
          <w:tcPr>
            <w:tcW w:w="2272" w:type="dxa"/>
          </w:tcPr>
          <w:p w14:paraId="119FA46C" w14:textId="4F3D1BC8" w:rsidR="00C228D5" w:rsidRPr="008D0466" w:rsidRDefault="00C228D5" w:rsidP="00C228D5">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to handle different production sides within the scope of CSMS?</w:t>
            </w:r>
          </w:p>
        </w:tc>
        <w:tc>
          <w:tcPr>
            <w:tcW w:w="4426" w:type="dxa"/>
          </w:tcPr>
          <w:p w14:paraId="34738938" w14:textId="77777777" w:rsidR="00C228D5" w:rsidRPr="00A22F28" w:rsidRDefault="00C228D5" w:rsidP="00A22F28">
            <w:pPr>
              <w:pStyle w:val="ListParagraph"/>
              <w:ind w:left="0"/>
              <w:jc w:val="both"/>
              <w:rPr>
                <w:rFonts w:ascii="Times New Roman" w:hAnsi="Times New Roman" w:cs="Times New Roman"/>
                <w:lang w:eastAsia="ja-JP"/>
              </w:rPr>
            </w:pPr>
          </w:p>
        </w:tc>
      </w:tr>
      <w:tr w:rsidR="00EE4780" w14:paraId="5400B4E3" w14:textId="77777777" w:rsidTr="006E5896">
        <w:tc>
          <w:tcPr>
            <w:tcW w:w="1756" w:type="dxa"/>
            <w:vMerge w:val="restart"/>
          </w:tcPr>
          <w:p w14:paraId="58185BA4" w14:textId="62CCCBF2" w:rsidR="00EE4780" w:rsidRPr="00A22F28" w:rsidRDefault="00EE4780" w:rsidP="00A22F28">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Testing</w:t>
            </w:r>
          </w:p>
        </w:tc>
        <w:tc>
          <w:tcPr>
            <w:tcW w:w="2272" w:type="dxa"/>
          </w:tcPr>
          <w:p w14:paraId="39808137" w14:textId="0DB97077" w:rsidR="00EE4780" w:rsidRPr="008D0466" w:rsidRDefault="00EE4780"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What is the purpose of test by Technical Service?</w:t>
            </w:r>
          </w:p>
        </w:tc>
        <w:tc>
          <w:tcPr>
            <w:tcW w:w="4426" w:type="dxa"/>
          </w:tcPr>
          <w:p w14:paraId="11E9DE45" w14:textId="4A902483" w:rsidR="00EE4780" w:rsidRPr="00A22F28" w:rsidRDefault="00EE4780" w:rsidP="00A22F28">
            <w:pPr>
              <w:pStyle w:val="ListParagraph"/>
              <w:ind w:left="0"/>
              <w:jc w:val="both"/>
              <w:rPr>
                <w:rFonts w:ascii="Times New Roman" w:hAnsi="Times New Roman" w:cs="Times New Roman"/>
                <w:lang w:eastAsia="ja-JP"/>
              </w:rPr>
            </w:pPr>
          </w:p>
        </w:tc>
      </w:tr>
      <w:tr w:rsidR="00EE4780" w14:paraId="751E1511" w14:textId="77777777" w:rsidTr="006E5896">
        <w:tc>
          <w:tcPr>
            <w:tcW w:w="1756" w:type="dxa"/>
            <w:vMerge/>
          </w:tcPr>
          <w:p w14:paraId="1E0083A7" w14:textId="77777777" w:rsidR="00EE4780" w:rsidRPr="00A22F28" w:rsidRDefault="00EE4780" w:rsidP="00A22F28">
            <w:pPr>
              <w:pStyle w:val="ListParagraph"/>
              <w:ind w:left="0"/>
              <w:jc w:val="both"/>
              <w:rPr>
                <w:rFonts w:ascii="Times New Roman" w:eastAsiaTheme="minorHAnsi" w:hAnsi="Times New Roman" w:cs="Times New Roman"/>
              </w:rPr>
            </w:pPr>
          </w:p>
        </w:tc>
        <w:tc>
          <w:tcPr>
            <w:tcW w:w="2272" w:type="dxa"/>
          </w:tcPr>
          <w:p w14:paraId="14C75737" w14:textId="6F87844C" w:rsidR="00EE4780" w:rsidRPr="008D0466" w:rsidRDefault="00EE4780" w:rsidP="00A22F28">
            <w:pPr>
              <w:pStyle w:val="ListParagraph"/>
              <w:ind w:left="0" w:firstLineChars="13" w:firstLine="29"/>
              <w:jc w:val="both"/>
              <w:rPr>
                <w:rFonts w:ascii="Times New Roman" w:hAnsi="Times New Roman" w:cs="Times New Roman"/>
                <w:lang w:eastAsia="ja-JP"/>
              </w:rPr>
            </w:pPr>
            <w:r w:rsidRPr="008D0466">
              <w:rPr>
                <w:rFonts w:ascii="Times New Roman" w:hAnsi="Times New Roman" w:cs="Times New Roman"/>
                <w:lang w:eastAsia="ja-JP"/>
              </w:rPr>
              <w:t>How many tests? Chosen on what basis?</w:t>
            </w:r>
          </w:p>
        </w:tc>
        <w:tc>
          <w:tcPr>
            <w:tcW w:w="4426" w:type="dxa"/>
          </w:tcPr>
          <w:p w14:paraId="3E699FA3" w14:textId="77777777" w:rsidR="00EE4780" w:rsidRPr="00A22F28" w:rsidRDefault="00EE4780" w:rsidP="00A22F28">
            <w:pPr>
              <w:pStyle w:val="ListParagraph"/>
              <w:ind w:left="0"/>
              <w:jc w:val="both"/>
              <w:rPr>
                <w:rFonts w:ascii="Times New Roman" w:eastAsiaTheme="minorHAnsi" w:hAnsi="Times New Roman" w:cs="Times New Roman"/>
              </w:rPr>
            </w:pPr>
          </w:p>
        </w:tc>
      </w:tr>
      <w:tr w:rsidR="00EE4780" w14:paraId="10D84E17" w14:textId="77777777" w:rsidTr="006E5896">
        <w:tc>
          <w:tcPr>
            <w:tcW w:w="1756" w:type="dxa"/>
            <w:vMerge/>
          </w:tcPr>
          <w:p w14:paraId="589F4858" w14:textId="77777777" w:rsidR="00EE4780" w:rsidRPr="00A22F28" w:rsidRDefault="00EE4780" w:rsidP="00A22F28">
            <w:pPr>
              <w:pStyle w:val="ListParagraph"/>
              <w:ind w:left="0"/>
              <w:jc w:val="both"/>
              <w:rPr>
                <w:rFonts w:ascii="Times New Roman" w:eastAsiaTheme="minorHAnsi" w:hAnsi="Times New Roman" w:cs="Times New Roman"/>
              </w:rPr>
            </w:pPr>
          </w:p>
        </w:tc>
        <w:tc>
          <w:tcPr>
            <w:tcW w:w="2272" w:type="dxa"/>
          </w:tcPr>
          <w:p w14:paraId="71A73421" w14:textId="01EF1DCB" w:rsidR="00EE4780" w:rsidRPr="008D0466" w:rsidRDefault="00EE4780"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will the sensitive information related vehicle type be treated?</w:t>
            </w:r>
          </w:p>
        </w:tc>
        <w:tc>
          <w:tcPr>
            <w:tcW w:w="4426" w:type="dxa"/>
          </w:tcPr>
          <w:p w14:paraId="3687BFDD" w14:textId="16D5A53C" w:rsidR="00EE4780" w:rsidRPr="00A22F28" w:rsidRDefault="00EE4780" w:rsidP="00A22F28">
            <w:pPr>
              <w:pStyle w:val="ListParagraph"/>
              <w:ind w:left="0"/>
              <w:jc w:val="both"/>
              <w:rPr>
                <w:rFonts w:ascii="Times New Roman" w:eastAsiaTheme="minorHAnsi" w:hAnsi="Times New Roman" w:cs="Times New Roman"/>
              </w:rPr>
            </w:pPr>
          </w:p>
        </w:tc>
      </w:tr>
      <w:tr w:rsidR="00EE4780" w14:paraId="0EFE90AB" w14:textId="77777777" w:rsidTr="006E5896">
        <w:trPr>
          <w:trHeight w:val="264"/>
        </w:trPr>
        <w:tc>
          <w:tcPr>
            <w:tcW w:w="1756" w:type="dxa"/>
            <w:vMerge/>
          </w:tcPr>
          <w:p w14:paraId="5D6CF829" w14:textId="77777777" w:rsidR="00EE4780" w:rsidRPr="00A22F28" w:rsidRDefault="00EE4780" w:rsidP="00A22F28">
            <w:pPr>
              <w:pStyle w:val="ListParagraph"/>
              <w:ind w:left="0"/>
              <w:jc w:val="both"/>
              <w:rPr>
                <w:rFonts w:ascii="Times New Roman" w:eastAsiaTheme="minorHAnsi" w:hAnsi="Times New Roman" w:cs="Times New Roman"/>
              </w:rPr>
            </w:pPr>
          </w:p>
        </w:tc>
        <w:tc>
          <w:tcPr>
            <w:tcW w:w="2272" w:type="dxa"/>
          </w:tcPr>
          <w:p w14:paraId="38792C8A" w14:textId="052DA56D" w:rsidR="00EE4780" w:rsidRPr="008D0466" w:rsidRDefault="00EE4780" w:rsidP="00D034CD">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Destructible test methods allowed?</w:t>
            </w:r>
          </w:p>
        </w:tc>
        <w:tc>
          <w:tcPr>
            <w:tcW w:w="4426" w:type="dxa"/>
          </w:tcPr>
          <w:p w14:paraId="1BAE7656" w14:textId="77777777" w:rsidR="00EE4780" w:rsidRPr="00BA1EDF" w:rsidRDefault="00EE4780" w:rsidP="00A22F28">
            <w:pPr>
              <w:pStyle w:val="ListParagraph"/>
              <w:ind w:left="0"/>
              <w:jc w:val="both"/>
              <w:rPr>
                <w:rFonts w:ascii="Times New Roman" w:eastAsiaTheme="minorHAnsi" w:hAnsi="Times New Roman" w:cs="Times New Roman"/>
                <w:color w:val="0000CC"/>
              </w:rPr>
            </w:pPr>
          </w:p>
        </w:tc>
      </w:tr>
      <w:tr w:rsidR="00EE4780" w14:paraId="21413D9A" w14:textId="77777777" w:rsidTr="006E5896">
        <w:trPr>
          <w:trHeight w:val="264"/>
        </w:trPr>
        <w:tc>
          <w:tcPr>
            <w:tcW w:w="1756" w:type="dxa"/>
            <w:vMerge/>
          </w:tcPr>
          <w:p w14:paraId="3EC7E769" w14:textId="77777777" w:rsidR="00EE4780" w:rsidRPr="00A22F28" w:rsidRDefault="00EE4780" w:rsidP="00A22F28">
            <w:pPr>
              <w:pStyle w:val="ListParagraph"/>
              <w:ind w:left="0"/>
              <w:jc w:val="both"/>
              <w:rPr>
                <w:rFonts w:ascii="Times New Roman" w:eastAsiaTheme="minorHAnsi" w:hAnsi="Times New Roman" w:cs="Times New Roman"/>
              </w:rPr>
            </w:pPr>
          </w:p>
        </w:tc>
        <w:tc>
          <w:tcPr>
            <w:tcW w:w="2272" w:type="dxa"/>
          </w:tcPr>
          <w:p w14:paraId="160576F2" w14:textId="0A822558" w:rsidR="00EE4780" w:rsidRPr="008D0466" w:rsidRDefault="00EE4780" w:rsidP="00D034CD">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much effort (time) shall be spent (in particular on pen-testing)?</w:t>
            </w:r>
          </w:p>
        </w:tc>
        <w:tc>
          <w:tcPr>
            <w:tcW w:w="4426" w:type="dxa"/>
          </w:tcPr>
          <w:p w14:paraId="6AB0F203" w14:textId="77777777" w:rsidR="00EE4780" w:rsidRPr="00BA1EDF" w:rsidRDefault="00EE4780" w:rsidP="00A22F28">
            <w:pPr>
              <w:pStyle w:val="ListParagraph"/>
              <w:ind w:left="0"/>
              <w:jc w:val="both"/>
              <w:rPr>
                <w:rFonts w:ascii="Times New Roman" w:eastAsiaTheme="minorHAnsi" w:hAnsi="Times New Roman" w:cs="Times New Roman"/>
                <w:color w:val="0000CC"/>
              </w:rPr>
            </w:pPr>
          </w:p>
        </w:tc>
      </w:tr>
      <w:tr w:rsidR="00C82D86" w14:paraId="5B3D2894" w14:textId="77777777" w:rsidTr="006E5896">
        <w:trPr>
          <w:trHeight w:val="264"/>
        </w:trPr>
        <w:tc>
          <w:tcPr>
            <w:tcW w:w="1756" w:type="dxa"/>
            <w:vMerge w:val="restart"/>
          </w:tcPr>
          <w:p w14:paraId="3A284EAB" w14:textId="16F6CE4F" w:rsidR="00C82D86" w:rsidRPr="00A22F28" w:rsidRDefault="00C82D86" w:rsidP="00A22F28">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Homologation process</w:t>
            </w:r>
          </w:p>
        </w:tc>
        <w:tc>
          <w:tcPr>
            <w:tcW w:w="2272" w:type="dxa"/>
          </w:tcPr>
          <w:p w14:paraId="375EC6AB" w14:textId="01066721" w:rsidR="00C82D86" w:rsidRPr="008D0466" w:rsidRDefault="00C82D86" w:rsidP="00A22F28">
            <w:pPr>
              <w:pStyle w:val="ListParagraph"/>
              <w:ind w:left="0"/>
              <w:jc w:val="both"/>
              <w:rPr>
                <w:rFonts w:ascii="Times New Roman" w:hAnsi="Times New Roman" w:cs="Times New Roman"/>
                <w:lang w:eastAsia="ja-JP"/>
              </w:rPr>
            </w:pPr>
            <w:r w:rsidRPr="008D0466">
              <w:rPr>
                <w:rFonts w:ascii="Times New Roman" w:hAnsi="Times New Roman" w:cs="Times New Roman"/>
              </w:rPr>
              <w:t>What communication between the TS and the TAA?</w:t>
            </w:r>
          </w:p>
        </w:tc>
        <w:tc>
          <w:tcPr>
            <w:tcW w:w="4426" w:type="dxa"/>
          </w:tcPr>
          <w:p w14:paraId="49F87213" w14:textId="1D30BB00" w:rsidR="00C82D86" w:rsidRPr="00BA1EDF" w:rsidRDefault="00C82D86" w:rsidP="00A22F28">
            <w:pPr>
              <w:pStyle w:val="ListParagraph"/>
              <w:ind w:left="0"/>
              <w:jc w:val="both"/>
              <w:rPr>
                <w:rFonts w:ascii="Times New Roman" w:eastAsiaTheme="minorHAnsi" w:hAnsi="Times New Roman" w:cs="Times New Roman"/>
                <w:color w:val="0000CC"/>
              </w:rPr>
            </w:pPr>
          </w:p>
        </w:tc>
      </w:tr>
      <w:tr w:rsidR="00C82D86" w14:paraId="1BB7D478" w14:textId="77777777" w:rsidTr="006E5896">
        <w:trPr>
          <w:trHeight w:val="264"/>
        </w:trPr>
        <w:tc>
          <w:tcPr>
            <w:tcW w:w="1756" w:type="dxa"/>
            <w:vMerge/>
          </w:tcPr>
          <w:p w14:paraId="39990B2D" w14:textId="77777777" w:rsidR="00C82D86" w:rsidRPr="00A22F28" w:rsidRDefault="00C82D86" w:rsidP="00A22F28">
            <w:pPr>
              <w:pStyle w:val="ListParagraph"/>
              <w:ind w:left="0"/>
              <w:jc w:val="both"/>
              <w:rPr>
                <w:rFonts w:ascii="Times New Roman" w:eastAsiaTheme="minorHAnsi" w:hAnsi="Times New Roman" w:cs="Times New Roman"/>
              </w:rPr>
            </w:pPr>
          </w:p>
        </w:tc>
        <w:tc>
          <w:tcPr>
            <w:tcW w:w="2272" w:type="dxa"/>
          </w:tcPr>
          <w:p w14:paraId="3F4E97F0" w14:textId="012AFE2C" w:rsidR="00C82D86" w:rsidRPr="008D0466" w:rsidRDefault="00C82D86" w:rsidP="00A22F28">
            <w:pPr>
              <w:pStyle w:val="ListParagraph"/>
              <w:ind w:left="0"/>
              <w:jc w:val="both"/>
              <w:rPr>
                <w:rFonts w:ascii="Times New Roman" w:hAnsi="Times New Roman" w:cs="Times New Roman"/>
              </w:rPr>
            </w:pPr>
            <w:r w:rsidRPr="008D0466">
              <w:rPr>
                <w:rFonts w:ascii="Times New Roman" w:hAnsi="Times New Roman" w:cs="Times New Roman"/>
              </w:rPr>
              <w:t>Certificates / Approval for suppliers</w:t>
            </w:r>
          </w:p>
        </w:tc>
        <w:tc>
          <w:tcPr>
            <w:tcW w:w="4426" w:type="dxa"/>
          </w:tcPr>
          <w:p w14:paraId="45279CD1" w14:textId="7182BE6C" w:rsidR="00C82D86" w:rsidRPr="00602EAF" w:rsidRDefault="00C82D86" w:rsidP="00A22F28">
            <w:pPr>
              <w:pStyle w:val="ListParagraph"/>
              <w:ind w:left="0"/>
              <w:jc w:val="both"/>
              <w:rPr>
                <w:rFonts w:ascii="Times New Roman" w:eastAsiaTheme="minorHAnsi" w:hAnsi="Times New Roman" w:cs="Times New Roman"/>
                <w:color w:val="0000CC"/>
                <w:highlight w:val="yellow"/>
              </w:rPr>
            </w:pPr>
          </w:p>
        </w:tc>
      </w:tr>
      <w:tr w:rsidR="00C82D86" w14:paraId="582B9C7F" w14:textId="77777777" w:rsidTr="006E5896">
        <w:tc>
          <w:tcPr>
            <w:tcW w:w="1756" w:type="dxa"/>
            <w:vMerge/>
          </w:tcPr>
          <w:p w14:paraId="54D82F22" w14:textId="77777777" w:rsidR="00C82D86" w:rsidRPr="00A22F28" w:rsidRDefault="00C82D86" w:rsidP="00976339">
            <w:pPr>
              <w:pStyle w:val="ListParagraph"/>
              <w:ind w:left="0"/>
              <w:jc w:val="both"/>
              <w:rPr>
                <w:rFonts w:ascii="Times New Roman" w:hAnsi="Times New Roman" w:cs="Times New Roman"/>
                <w:lang w:eastAsia="ja-JP"/>
              </w:rPr>
            </w:pPr>
          </w:p>
        </w:tc>
        <w:tc>
          <w:tcPr>
            <w:tcW w:w="2272" w:type="dxa"/>
          </w:tcPr>
          <w:p w14:paraId="0494FD8D" w14:textId="2AB116EA" w:rsidR="00C82D86" w:rsidRPr="008D0466" w:rsidRDefault="00C82D86" w:rsidP="00976339">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Acceptance of foreign Certificates (for CSMS/SUMS) for the type approval</w:t>
            </w:r>
          </w:p>
        </w:tc>
        <w:tc>
          <w:tcPr>
            <w:tcW w:w="4426" w:type="dxa"/>
          </w:tcPr>
          <w:p w14:paraId="62CFC7A9" w14:textId="353EFCBF" w:rsidR="00C82D86" w:rsidRPr="00602EAF" w:rsidRDefault="00C82D86" w:rsidP="00976339">
            <w:pPr>
              <w:pStyle w:val="ListParagraph"/>
              <w:ind w:left="0"/>
              <w:jc w:val="both"/>
              <w:rPr>
                <w:rFonts w:ascii="Times New Roman" w:eastAsiaTheme="minorHAnsi" w:hAnsi="Times New Roman" w:cs="Times New Roman"/>
                <w:color w:val="0000CC"/>
                <w:highlight w:val="yellow"/>
              </w:rPr>
            </w:pPr>
          </w:p>
        </w:tc>
      </w:tr>
      <w:tr w:rsidR="00C82D86" w14:paraId="2F53CEFF" w14:textId="77777777" w:rsidTr="006E5896">
        <w:tc>
          <w:tcPr>
            <w:tcW w:w="1756" w:type="dxa"/>
            <w:vMerge/>
          </w:tcPr>
          <w:p w14:paraId="036C63F0" w14:textId="77777777" w:rsidR="00C82D86" w:rsidRPr="00A22F28" w:rsidRDefault="00C82D86" w:rsidP="00976339">
            <w:pPr>
              <w:pStyle w:val="ListParagraph"/>
              <w:ind w:left="0"/>
              <w:jc w:val="both"/>
              <w:rPr>
                <w:rFonts w:ascii="Times New Roman" w:hAnsi="Times New Roman" w:cs="Times New Roman"/>
                <w:lang w:eastAsia="ja-JP"/>
              </w:rPr>
            </w:pPr>
          </w:p>
        </w:tc>
        <w:tc>
          <w:tcPr>
            <w:tcW w:w="2272" w:type="dxa"/>
          </w:tcPr>
          <w:p w14:paraId="704295AC" w14:textId="30D3F4F5" w:rsidR="00C82D86" w:rsidRPr="008D0466" w:rsidRDefault="00C82D86" w:rsidP="00C82D86">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Approval with withdrawn or expired certificate</w:t>
            </w:r>
          </w:p>
        </w:tc>
        <w:tc>
          <w:tcPr>
            <w:tcW w:w="4426" w:type="dxa"/>
          </w:tcPr>
          <w:p w14:paraId="4574DD1F" w14:textId="77777777" w:rsidR="00C82D86" w:rsidRPr="00BA1EDF" w:rsidRDefault="00C82D86" w:rsidP="00976339">
            <w:pPr>
              <w:pStyle w:val="ListParagraph"/>
              <w:ind w:left="0"/>
              <w:jc w:val="both"/>
              <w:rPr>
                <w:rFonts w:ascii="Times New Roman" w:eastAsiaTheme="minorHAnsi" w:hAnsi="Times New Roman" w:cs="Times New Roman"/>
                <w:color w:val="0000CC"/>
              </w:rPr>
            </w:pPr>
          </w:p>
        </w:tc>
      </w:tr>
      <w:tr w:rsidR="00C82D86" w14:paraId="1843EA88" w14:textId="77777777" w:rsidTr="006E5896">
        <w:tc>
          <w:tcPr>
            <w:tcW w:w="1756" w:type="dxa"/>
            <w:vMerge/>
          </w:tcPr>
          <w:p w14:paraId="3A06BC33" w14:textId="77777777" w:rsidR="00C82D86" w:rsidRPr="00A22F28" w:rsidRDefault="00C82D86" w:rsidP="00976339">
            <w:pPr>
              <w:pStyle w:val="ListParagraph"/>
              <w:ind w:left="0"/>
              <w:jc w:val="both"/>
              <w:rPr>
                <w:rFonts w:ascii="Times New Roman" w:hAnsi="Times New Roman" w:cs="Times New Roman"/>
                <w:lang w:eastAsia="ja-JP"/>
              </w:rPr>
            </w:pPr>
          </w:p>
        </w:tc>
        <w:tc>
          <w:tcPr>
            <w:tcW w:w="2272" w:type="dxa"/>
          </w:tcPr>
          <w:p w14:paraId="2F6EB5EA" w14:textId="1626D4DE" w:rsidR="00C82D86" w:rsidRPr="008D0466" w:rsidRDefault="00C82D86" w:rsidP="00C82D86">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Extensions for vehicles with approvals under transitional provisions of UN-R 155</w:t>
            </w:r>
          </w:p>
        </w:tc>
        <w:tc>
          <w:tcPr>
            <w:tcW w:w="4426" w:type="dxa"/>
          </w:tcPr>
          <w:p w14:paraId="45458D20" w14:textId="77777777" w:rsidR="00C82D86" w:rsidRPr="00BA1EDF" w:rsidRDefault="00C82D86" w:rsidP="00976339">
            <w:pPr>
              <w:pStyle w:val="ListParagraph"/>
              <w:ind w:left="0"/>
              <w:jc w:val="both"/>
              <w:rPr>
                <w:rFonts w:ascii="Times New Roman" w:eastAsiaTheme="minorHAnsi" w:hAnsi="Times New Roman" w:cs="Times New Roman"/>
                <w:color w:val="0000CC"/>
              </w:rPr>
            </w:pPr>
          </w:p>
        </w:tc>
      </w:tr>
      <w:tr w:rsidR="00976339" w14:paraId="38A1C4CB" w14:textId="77777777" w:rsidTr="006E5896">
        <w:tc>
          <w:tcPr>
            <w:tcW w:w="1756" w:type="dxa"/>
            <w:vMerge w:val="restart"/>
          </w:tcPr>
          <w:p w14:paraId="58BAFB18" w14:textId="111C3A58" w:rsidR="00976339" w:rsidRPr="00A22F28" w:rsidRDefault="00976339" w:rsidP="00976339">
            <w:pPr>
              <w:pStyle w:val="ListParagraph"/>
              <w:ind w:left="0"/>
              <w:jc w:val="both"/>
              <w:rPr>
                <w:rFonts w:ascii="Times New Roman" w:hAnsi="Times New Roman" w:cs="Times New Roman"/>
                <w:lang w:eastAsia="ja-JP"/>
              </w:rPr>
            </w:pPr>
            <w:r w:rsidRPr="00A22F28">
              <w:rPr>
                <w:rFonts w:ascii="Times New Roman" w:hAnsi="Times New Roman" w:cs="Times New Roman"/>
                <w:lang w:eastAsia="ja-JP"/>
              </w:rPr>
              <w:t>Peer review exchanges via DETA</w:t>
            </w:r>
          </w:p>
        </w:tc>
        <w:tc>
          <w:tcPr>
            <w:tcW w:w="2272" w:type="dxa"/>
          </w:tcPr>
          <w:p w14:paraId="183FA070" w14:textId="64FA5794" w:rsidR="00976339" w:rsidRPr="008D0466" w:rsidRDefault="00976339" w:rsidP="00976339">
            <w:pPr>
              <w:pStyle w:val="ListParagraph"/>
              <w:ind w:left="0"/>
              <w:jc w:val="both"/>
              <w:rPr>
                <w:rFonts w:ascii="Times New Roman" w:eastAsiaTheme="minorHAnsi" w:hAnsi="Times New Roman" w:cs="Times New Roman"/>
              </w:rPr>
            </w:pPr>
            <w:r w:rsidRPr="008D0466">
              <w:rPr>
                <w:rFonts w:ascii="Times New Roman" w:hAnsi="Times New Roman" w:cs="Times New Roman"/>
                <w:lang w:eastAsia="ja-JP"/>
              </w:rPr>
              <w:t>What level of details on interpretation, deliverables and rating of prescriptions is considered by the other TAA?</w:t>
            </w:r>
          </w:p>
        </w:tc>
        <w:tc>
          <w:tcPr>
            <w:tcW w:w="4426" w:type="dxa"/>
          </w:tcPr>
          <w:p w14:paraId="5BFA9E8F" w14:textId="3FD023C1" w:rsidR="00976339" w:rsidRPr="00A22F28" w:rsidRDefault="00976339" w:rsidP="00976339">
            <w:pPr>
              <w:pStyle w:val="ListParagraph"/>
              <w:ind w:left="0"/>
              <w:jc w:val="both"/>
              <w:rPr>
                <w:rFonts w:ascii="Times New Roman" w:eastAsiaTheme="minorHAnsi" w:hAnsi="Times New Roman" w:cs="Times New Roman"/>
              </w:rPr>
            </w:pPr>
          </w:p>
        </w:tc>
      </w:tr>
      <w:tr w:rsidR="00976339" w14:paraId="751AA500" w14:textId="77777777" w:rsidTr="006E5896">
        <w:tc>
          <w:tcPr>
            <w:tcW w:w="1756" w:type="dxa"/>
            <w:vMerge/>
          </w:tcPr>
          <w:p w14:paraId="5742A46F" w14:textId="77777777" w:rsidR="00976339" w:rsidRPr="00A22F28" w:rsidRDefault="00976339" w:rsidP="00976339">
            <w:pPr>
              <w:pStyle w:val="ListParagraph"/>
              <w:ind w:left="0"/>
              <w:jc w:val="both"/>
              <w:rPr>
                <w:rFonts w:ascii="Times New Roman" w:hAnsi="Times New Roman" w:cs="Times New Roman"/>
                <w:lang w:eastAsia="ja-JP"/>
              </w:rPr>
            </w:pPr>
          </w:p>
        </w:tc>
        <w:tc>
          <w:tcPr>
            <w:tcW w:w="2272" w:type="dxa"/>
          </w:tcPr>
          <w:p w14:paraId="32AB296A" w14:textId="472D4030" w:rsidR="00976339" w:rsidRPr="008D0466" w:rsidRDefault="00976339" w:rsidP="00976339">
            <w:pPr>
              <w:pStyle w:val="ListParagraph"/>
              <w:ind w:left="0"/>
              <w:jc w:val="both"/>
              <w:rPr>
                <w:rFonts w:ascii="Times New Roman" w:eastAsiaTheme="minorHAnsi" w:hAnsi="Times New Roman" w:cs="Times New Roman"/>
              </w:rPr>
            </w:pPr>
            <w:r w:rsidRPr="008D0466">
              <w:rPr>
                <w:rFonts w:ascii="Times New Roman" w:eastAsiaTheme="minorHAnsi" w:hAnsi="Times New Roman" w:cs="Times New Roman"/>
              </w:rPr>
              <w:t>How to concretely respond to comments?</w:t>
            </w:r>
          </w:p>
        </w:tc>
        <w:tc>
          <w:tcPr>
            <w:tcW w:w="4426" w:type="dxa"/>
          </w:tcPr>
          <w:p w14:paraId="6B60A158" w14:textId="2EF879F5" w:rsidR="00976339" w:rsidRPr="00A22F28" w:rsidRDefault="00976339" w:rsidP="00976339">
            <w:pPr>
              <w:pStyle w:val="ListParagraph"/>
              <w:ind w:left="0"/>
              <w:jc w:val="both"/>
              <w:rPr>
                <w:rFonts w:ascii="Times New Roman" w:eastAsiaTheme="minorHAnsi" w:hAnsi="Times New Roman" w:cs="Times New Roman"/>
              </w:rPr>
            </w:pPr>
          </w:p>
        </w:tc>
      </w:tr>
      <w:tr w:rsidR="00976339" w14:paraId="6A61BCE4" w14:textId="77777777" w:rsidTr="006E5896">
        <w:tc>
          <w:tcPr>
            <w:tcW w:w="1756" w:type="dxa"/>
            <w:vMerge/>
          </w:tcPr>
          <w:p w14:paraId="3107685A" w14:textId="77777777" w:rsidR="00976339" w:rsidRPr="00A22F28" w:rsidRDefault="00976339" w:rsidP="00976339">
            <w:pPr>
              <w:pStyle w:val="ListParagraph"/>
              <w:ind w:left="0"/>
              <w:jc w:val="both"/>
              <w:rPr>
                <w:rFonts w:ascii="Times New Roman" w:eastAsiaTheme="minorHAnsi" w:hAnsi="Times New Roman" w:cs="Times New Roman"/>
              </w:rPr>
            </w:pPr>
          </w:p>
        </w:tc>
        <w:tc>
          <w:tcPr>
            <w:tcW w:w="2272" w:type="dxa"/>
          </w:tcPr>
          <w:p w14:paraId="043B1EEA" w14:textId="18D2DD12" w:rsidR="00976339" w:rsidRPr="008D0466" w:rsidRDefault="00976339" w:rsidP="00976339">
            <w:pPr>
              <w:pStyle w:val="ListParagraph"/>
              <w:ind w:left="0"/>
              <w:jc w:val="both"/>
              <w:rPr>
                <w:rFonts w:ascii="Times New Roman" w:eastAsiaTheme="minorHAnsi" w:hAnsi="Times New Roman" w:cs="Times New Roman"/>
              </w:rPr>
            </w:pPr>
            <w:r w:rsidRPr="008D0466">
              <w:rPr>
                <w:rFonts w:ascii="Times New Roman" w:eastAsiaTheme="minorHAnsi" w:hAnsi="Times New Roman" w:cs="Times New Roman"/>
              </w:rPr>
              <w:t>How much time to respond to comments?</w:t>
            </w:r>
          </w:p>
        </w:tc>
        <w:tc>
          <w:tcPr>
            <w:tcW w:w="4426" w:type="dxa"/>
          </w:tcPr>
          <w:p w14:paraId="6B1D9ECB" w14:textId="0D6B737D" w:rsidR="00976339" w:rsidRPr="00A22F28" w:rsidRDefault="00976339" w:rsidP="00976339">
            <w:pPr>
              <w:pStyle w:val="ListParagraph"/>
              <w:ind w:left="0"/>
              <w:jc w:val="both"/>
              <w:rPr>
                <w:rFonts w:ascii="Times New Roman" w:eastAsiaTheme="minorHAnsi" w:hAnsi="Times New Roman" w:cs="Times New Roman"/>
              </w:rPr>
            </w:pPr>
          </w:p>
        </w:tc>
      </w:tr>
      <w:tr w:rsidR="00976339" w14:paraId="1595B4E1" w14:textId="77777777" w:rsidTr="006E5896">
        <w:tc>
          <w:tcPr>
            <w:tcW w:w="1756" w:type="dxa"/>
            <w:vMerge/>
          </w:tcPr>
          <w:p w14:paraId="42986D71" w14:textId="77777777" w:rsidR="00976339" w:rsidRPr="00A22F28" w:rsidRDefault="00976339" w:rsidP="00976339">
            <w:pPr>
              <w:pStyle w:val="ListParagraph"/>
              <w:ind w:left="0"/>
              <w:jc w:val="both"/>
              <w:rPr>
                <w:rFonts w:ascii="Times New Roman" w:eastAsiaTheme="minorHAnsi" w:hAnsi="Times New Roman" w:cs="Times New Roman"/>
              </w:rPr>
            </w:pPr>
          </w:p>
        </w:tc>
        <w:tc>
          <w:tcPr>
            <w:tcW w:w="2272" w:type="dxa"/>
          </w:tcPr>
          <w:p w14:paraId="6CAB5021" w14:textId="63FCA7CE" w:rsidR="00976339" w:rsidRPr="008D0466" w:rsidRDefault="00976339" w:rsidP="00976339">
            <w:pPr>
              <w:pStyle w:val="ListParagraph"/>
              <w:ind w:left="0"/>
              <w:jc w:val="both"/>
              <w:rPr>
                <w:rFonts w:ascii="Times New Roman" w:eastAsiaTheme="minorHAnsi" w:hAnsi="Times New Roman" w:cs="Times New Roman"/>
              </w:rPr>
            </w:pPr>
            <w:r w:rsidRPr="008D0466">
              <w:rPr>
                <w:rFonts w:ascii="Times New Roman" w:eastAsiaTheme="minorHAnsi" w:hAnsi="Times New Roman" w:cs="Times New Roman"/>
              </w:rPr>
              <w:t>How much time to integrate comments into the updated method &amp; criteria?</w:t>
            </w:r>
          </w:p>
        </w:tc>
        <w:tc>
          <w:tcPr>
            <w:tcW w:w="4426" w:type="dxa"/>
          </w:tcPr>
          <w:p w14:paraId="032DF827" w14:textId="6E3A40D3" w:rsidR="00976339" w:rsidRPr="00A22F28" w:rsidRDefault="00976339" w:rsidP="00976339">
            <w:pPr>
              <w:pStyle w:val="ListParagraph"/>
              <w:ind w:left="0"/>
              <w:jc w:val="both"/>
              <w:rPr>
                <w:rFonts w:ascii="Times New Roman" w:eastAsiaTheme="minorHAnsi" w:hAnsi="Times New Roman" w:cs="Times New Roman"/>
              </w:rPr>
            </w:pPr>
          </w:p>
        </w:tc>
      </w:tr>
      <w:tr w:rsidR="00976339" w14:paraId="6668C6B5" w14:textId="77777777" w:rsidTr="006E5896">
        <w:tc>
          <w:tcPr>
            <w:tcW w:w="1756" w:type="dxa"/>
            <w:vMerge/>
          </w:tcPr>
          <w:p w14:paraId="2B48E4DF" w14:textId="77777777" w:rsidR="00976339" w:rsidRPr="00A22F28" w:rsidRDefault="00976339" w:rsidP="00976339">
            <w:pPr>
              <w:pStyle w:val="ListParagraph"/>
              <w:ind w:left="0"/>
              <w:jc w:val="both"/>
              <w:rPr>
                <w:rFonts w:ascii="Times New Roman" w:eastAsiaTheme="minorHAnsi" w:hAnsi="Times New Roman" w:cs="Times New Roman"/>
              </w:rPr>
            </w:pPr>
          </w:p>
        </w:tc>
        <w:tc>
          <w:tcPr>
            <w:tcW w:w="2272" w:type="dxa"/>
          </w:tcPr>
          <w:p w14:paraId="26811448" w14:textId="7295B357" w:rsidR="00976339" w:rsidRPr="008D0466" w:rsidRDefault="00976339" w:rsidP="00976339">
            <w:pPr>
              <w:pStyle w:val="ListParagraph"/>
              <w:ind w:left="0"/>
              <w:jc w:val="both"/>
              <w:rPr>
                <w:rFonts w:ascii="Times New Roman" w:eastAsiaTheme="minorHAnsi" w:hAnsi="Times New Roman" w:cs="Times New Roman"/>
              </w:rPr>
            </w:pPr>
            <w:r w:rsidRPr="008D0466">
              <w:rPr>
                <w:rFonts w:ascii="Times New Roman" w:eastAsiaTheme="minorHAnsi" w:hAnsi="Times New Roman" w:cs="Times New Roman"/>
              </w:rPr>
              <w:t>What level of confidentiality for type-approvals &amp; supplementing documentation?</w:t>
            </w:r>
          </w:p>
        </w:tc>
        <w:tc>
          <w:tcPr>
            <w:tcW w:w="4426" w:type="dxa"/>
          </w:tcPr>
          <w:p w14:paraId="40F3DCC2" w14:textId="4BD5C441" w:rsidR="00976339" w:rsidRPr="00A22F28" w:rsidRDefault="00976339" w:rsidP="00976339">
            <w:pPr>
              <w:pStyle w:val="ListParagraph"/>
              <w:ind w:left="0"/>
              <w:jc w:val="both"/>
              <w:rPr>
                <w:rFonts w:ascii="Times New Roman" w:eastAsiaTheme="minorHAnsi" w:hAnsi="Times New Roman" w:cs="Times New Roman"/>
              </w:rPr>
            </w:pPr>
          </w:p>
        </w:tc>
      </w:tr>
    </w:tbl>
    <w:p w14:paraId="14FB2708" w14:textId="55207BD4" w:rsidR="002D2E8C" w:rsidRDefault="002D2E8C" w:rsidP="00E773F8">
      <w:pPr>
        <w:pStyle w:val="ListParagraph"/>
        <w:ind w:left="987"/>
        <w:jc w:val="both"/>
        <w:rPr>
          <w:rFonts w:ascii="Times New Roman" w:eastAsiaTheme="minorHAnsi" w:hAnsi="Times New Roman" w:cs="Times New Roman"/>
        </w:rPr>
      </w:pPr>
    </w:p>
    <w:p w14:paraId="5A3B50DA" w14:textId="3D4432B9" w:rsidR="006E5896" w:rsidRDefault="006E5896" w:rsidP="006E5896">
      <w:pPr>
        <w:pStyle w:val="Heading1"/>
        <w:spacing w:after="240"/>
        <w:rPr>
          <w:rFonts w:ascii="Times New Roman" w:eastAsiaTheme="minorHAnsi" w:hAnsi="Times New Roman" w:cs="Times New Roman"/>
        </w:rPr>
      </w:pPr>
      <w:r>
        <w:rPr>
          <w:rFonts w:ascii="Times New Roman" w:eastAsiaTheme="minorHAnsi" w:hAnsi="Times New Roman" w:cs="Times New Roman"/>
        </w:rPr>
        <w:t>V.</w:t>
      </w:r>
      <w:r>
        <w:rPr>
          <w:rFonts w:ascii="Times New Roman" w:eastAsiaTheme="minorHAnsi" w:hAnsi="Times New Roman" w:cs="Times New Roman"/>
        </w:rPr>
        <w:tab/>
        <w:t>Follow up</w:t>
      </w:r>
    </w:p>
    <w:p w14:paraId="7C5AC0F0" w14:textId="60B9DDEF" w:rsidR="006E5896" w:rsidRPr="006E5896" w:rsidRDefault="006E5896"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8</w:t>
      </w:r>
      <w:r w:rsidRPr="000A3661">
        <w:rPr>
          <w:rFonts w:ascii="Times New Roman" w:eastAsiaTheme="minorHAnsi" w:hAnsi="Times New Roman" w:cs="Times New Roman"/>
        </w:rPr>
        <w:t>.</w:t>
      </w:r>
      <w:r w:rsidRPr="000A3661">
        <w:rPr>
          <w:rFonts w:ascii="Times New Roman" w:eastAsiaTheme="minorHAnsi" w:hAnsi="Times New Roman" w:cs="Times New Roman"/>
        </w:rPr>
        <w:tab/>
      </w:r>
      <w:r>
        <w:rPr>
          <w:rFonts w:ascii="Times New Roman" w:eastAsiaTheme="minorHAnsi" w:hAnsi="Times New Roman" w:cs="Times New Roman"/>
        </w:rPr>
        <w:t>It is proposed to organize a second workshop and to follow up on the questions raised to support a uniform application of the Regulation and to support the Contracting Parties in implementing paragraph 5.3 of the Regulation</w:t>
      </w:r>
      <w:r w:rsidRPr="000A3661">
        <w:rPr>
          <w:rFonts w:ascii="Times New Roman" w:eastAsiaTheme="minorHAnsi" w:hAnsi="Times New Roman" w:cs="Times New Roman"/>
        </w:rPr>
        <w:t>.</w:t>
      </w:r>
    </w:p>
    <w:sectPr w:rsidR="006E5896" w:rsidRPr="006E5896" w:rsidSect="006E5896">
      <w:headerReference w:type="even" r:id="rId11"/>
      <w:headerReference w:type="default" r:id="rId12"/>
      <w:footerReference w:type="even" r:id="rId13"/>
      <w:footerReference w:type="default" r:id="rId14"/>
      <w:headerReference w:type="first" r:id="rId15"/>
      <w:footerReference w:type="first" r:id="rId16"/>
      <w:pgSz w:w="11906" w:h="16838" w:code="9"/>
      <w:pgMar w:top="1135" w:right="1440" w:bottom="851"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6014" w14:textId="77777777" w:rsidR="008744A7" w:rsidRDefault="008744A7" w:rsidP="00C27DC2">
      <w:pPr>
        <w:spacing w:after="0" w:line="240" w:lineRule="auto"/>
      </w:pPr>
      <w:r>
        <w:separator/>
      </w:r>
    </w:p>
  </w:endnote>
  <w:endnote w:type="continuationSeparator" w:id="0">
    <w:p w14:paraId="0D987C19" w14:textId="77777777" w:rsidR="008744A7" w:rsidRDefault="008744A7"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C21D" w14:textId="77777777" w:rsidR="002324BF" w:rsidRDefault="0023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747B" w14:textId="77777777" w:rsidR="002324BF" w:rsidRDefault="0023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740C" w14:textId="77777777" w:rsidR="008744A7" w:rsidRDefault="008744A7" w:rsidP="00C27DC2">
      <w:pPr>
        <w:spacing w:after="0" w:line="240" w:lineRule="auto"/>
      </w:pPr>
      <w:r>
        <w:separator/>
      </w:r>
    </w:p>
  </w:footnote>
  <w:footnote w:type="continuationSeparator" w:id="0">
    <w:p w14:paraId="015E6A84" w14:textId="77777777" w:rsidR="008744A7" w:rsidRDefault="008744A7"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4B1A" w14:textId="77777777" w:rsidR="002324BF" w:rsidRDefault="0023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F5A5" w14:textId="77777777" w:rsidR="002324BF" w:rsidRDefault="00232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5" w:type="dxa"/>
      <w:tblInd w:w="108" w:type="dxa"/>
      <w:tblLook w:val="0000" w:firstRow="0" w:lastRow="0" w:firstColumn="0" w:lastColumn="0" w:noHBand="0" w:noVBand="0"/>
    </w:tblPr>
    <w:tblGrid>
      <w:gridCol w:w="4962"/>
      <w:gridCol w:w="4253"/>
    </w:tblGrid>
    <w:tr w:rsidR="004114EB" w:rsidRPr="00252432" w14:paraId="463B1AC4" w14:textId="77777777" w:rsidTr="00F01D6D">
      <w:tc>
        <w:tcPr>
          <w:tcW w:w="4962" w:type="dxa"/>
        </w:tcPr>
        <w:p w14:paraId="5F64EA68" w14:textId="11174BE4" w:rsidR="004114EB" w:rsidRPr="006C3C69" w:rsidRDefault="006C3C69" w:rsidP="004114EB">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Submitted</w:t>
          </w:r>
          <w:r w:rsidRPr="006C3C69">
            <w:rPr>
              <w:rFonts w:eastAsia="Times New Roman" w:cstheme="minorHAnsi"/>
              <w:sz w:val="20"/>
              <w:szCs w:val="20"/>
              <w:lang w:eastAsia="ar-SA"/>
            </w:rPr>
            <w:t xml:space="preserve"> by</w:t>
          </w:r>
          <w:r w:rsidR="000B09B6">
            <w:rPr>
              <w:rFonts w:eastAsia="Times New Roman" w:cstheme="minorHAnsi"/>
              <w:sz w:val="20"/>
              <w:szCs w:val="20"/>
              <w:lang w:eastAsia="ar-SA"/>
            </w:rPr>
            <w:t xml:space="preserve"> the organizer</w:t>
          </w:r>
        </w:p>
      </w:tc>
      <w:tc>
        <w:tcPr>
          <w:tcW w:w="4253" w:type="dxa"/>
        </w:tcPr>
        <w:p w14:paraId="7EFECB5C" w14:textId="1BD53DFB" w:rsidR="006C3C69" w:rsidRPr="006679AD" w:rsidRDefault="002324BF" w:rsidP="006C3C69">
          <w:pPr>
            <w:autoSpaceDE w:val="0"/>
            <w:autoSpaceDN w:val="0"/>
            <w:adjustRightInd w:val="0"/>
            <w:spacing w:after="0" w:line="240" w:lineRule="auto"/>
            <w:ind w:left="633"/>
            <w:jc w:val="right"/>
            <w:rPr>
              <w:rFonts w:eastAsia="Calibri" w:cstheme="minorHAnsi"/>
              <w:sz w:val="20"/>
              <w:szCs w:val="20"/>
              <w:lang w:eastAsia="fr-FR"/>
            </w:rPr>
          </w:pPr>
          <w:r>
            <w:rPr>
              <w:rFonts w:eastAsia="Calibri" w:cstheme="minorHAnsi"/>
              <w:sz w:val="20"/>
              <w:szCs w:val="20"/>
              <w:u w:val="single"/>
              <w:lang w:eastAsia="fr-FR"/>
            </w:rPr>
            <w:t>Informal d</w:t>
          </w:r>
          <w:r w:rsidR="006C3C69" w:rsidRPr="006679AD">
            <w:rPr>
              <w:rFonts w:eastAsia="Calibri" w:cstheme="minorHAnsi"/>
              <w:sz w:val="20"/>
              <w:szCs w:val="20"/>
              <w:u w:val="single"/>
              <w:lang w:eastAsia="fr-FR"/>
            </w:rPr>
            <w:t>ocument</w:t>
          </w:r>
          <w:r w:rsidR="006C3C69" w:rsidRPr="006679AD">
            <w:rPr>
              <w:rFonts w:eastAsia="Calibri" w:cstheme="minorHAnsi"/>
              <w:sz w:val="20"/>
              <w:szCs w:val="20"/>
              <w:lang w:eastAsia="fr-FR"/>
            </w:rPr>
            <w:t xml:space="preserve"> </w:t>
          </w:r>
          <w:r w:rsidRPr="002324BF">
            <w:rPr>
              <w:rFonts w:eastAsia="Calibri" w:cstheme="minorHAnsi"/>
              <w:b/>
              <w:bCs/>
              <w:sz w:val="20"/>
              <w:szCs w:val="20"/>
              <w:lang w:eastAsia="fr-FR"/>
            </w:rPr>
            <w:t>GRVA-11-18</w:t>
          </w:r>
        </w:p>
        <w:p w14:paraId="0984C9B7" w14:textId="58A7A4FD" w:rsidR="002C739D" w:rsidRPr="006679AD" w:rsidRDefault="002324BF" w:rsidP="00162D2F">
          <w:pPr>
            <w:tabs>
              <w:tab w:val="center" w:pos="4677"/>
              <w:tab w:val="right" w:pos="9355"/>
            </w:tabs>
            <w:suppressAutoHyphens/>
            <w:spacing w:after="0" w:line="240" w:lineRule="auto"/>
            <w:ind w:leftChars="-66" w:left="1" w:hangingChars="73" w:hanging="146"/>
            <w:jc w:val="right"/>
            <w:rPr>
              <w:rFonts w:eastAsia="MS Mincho" w:cstheme="minorHAnsi"/>
              <w:sz w:val="20"/>
              <w:szCs w:val="20"/>
              <w:lang w:eastAsia="ar-SA"/>
            </w:rPr>
          </w:pPr>
          <w:r>
            <w:rPr>
              <w:rFonts w:eastAsia="MS Mincho" w:cstheme="minorHAnsi"/>
              <w:sz w:val="20"/>
              <w:szCs w:val="20"/>
              <w:lang w:eastAsia="ja-JP"/>
            </w:rPr>
            <w:t>11</w:t>
          </w:r>
          <w:r w:rsidRPr="002324BF">
            <w:rPr>
              <w:rFonts w:eastAsia="MS Mincho" w:cstheme="minorHAnsi"/>
              <w:sz w:val="20"/>
              <w:szCs w:val="20"/>
              <w:vertAlign w:val="superscript"/>
              <w:lang w:eastAsia="ja-JP"/>
            </w:rPr>
            <w:t>th</w:t>
          </w:r>
          <w:r>
            <w:rPr>
              <w:rFonts w:eastAsia="MS Mincho" w:cstheme="minorHAnsi"/>
              <w:sz w:val="20"/>
              <w:szCs w:val="20"/>
              <w:lang w:eastAsia="ja-JP"/>
            </w:rPr>
            <w:t xml:space="preserve"> GRVA, 27 Sept. – 1 Oct. 2021</w:t>
          </w:r>
          <w:r>
            <w:rPr>
              <w:rFonts w:eastAsia="MS Mincho" w:cstheme="minorHAnsi"/>
              <w:sz w:val="20"/>
              <w:szCs w:val="20"/>
              <w:lang w:eastAsia="ja-JP"/>
            </w:rPr>
            <w:br/>
            <w:t>Provisional agenda item 5(a)</w:t>
          </w:r>
          <w:r w:rsidR="006C3C69" w:rsidRPr="006679AD">
            <w:rPr>
              <w:rFonts w:eastAsia="MS Mincho" w:cstheme="minorHAnsi"/>
              <w:sz w:val="20"/>
              <w:szCs w:val="20"/>
              <w:lang w:eastAsia="ar-SA"/>
            </w:rPr>
            <w:t xml:space="preserve">, </w:t>
          </w:r>
        </w:p>
      </w:tc>
    </w:tr>
  </w:tbl>
  <w:p w14:paraId="13880846" w14:textId="31D54FD8" w:rsidR="00C27DC2"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7E79"/>
    <w:multiLevelType w:val="hybridMultilevel"/>
    <w:tmpl w:val="E16A2320"/>
    <w:lvl w:ilvl="0" w:tplc="F81E2B70">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29A"/>
    <w:multiLevelType w:val="hybridMultilevel"/>
    <w:tmpl w:val="8CC4CD1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7" w15:restartNumberingAfterBreak="0">
    <w:nsid w:val="5BDC5050"/>
    <w:multiLevelType w:val="multilevel"/>
    <w:tmpl w:val="C74C67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E0475"/>
    <w:multiLevelType w:val="hybridMultilevel"/>
    <w:tmpl w:val="17B019C0"/>
    <w:lvl w:ilvl="0" w:tplc="04090001">
      <w:start w:val="1"/>
      <w:numFmt w:val="bullet"/>
      <w:lvlText w:val=""/>
      <w:lvlJc w:val="left"/>
      <w:pPr>
        <w:ind w:left="987" w:hanging="420"/>
      </w:pPr>
      <w:rPr>
        <w:rFonts w:ascii="Wingdings" w:hAnsi="Wingdings" w:hint="default"/>
      </w:rPr>
    </w:lvl>
    <w:lvl w:ilvl="1" w:tplc="0409000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32AD8"/>
    <w:multiLevelType w:val="hybridMultilevel"/>
    <w:tmpl w:val="CD748492"/>
    <w:lvl w:ilvl="0" w:tplc="386E2800">
      <w:start w:val="6"/>
      <w:numFmt w:val="decimal"/>
      <w:lvlText w:val="%1."/>
      <w:lvlJc w:val="left"/>
      <w:pPr>
        <w:ind w:left="1069" w:hanging="360"/>
      </w:pPr>
      <w:rPr>
        <w:rFonts w:eastAsiaTheme="minorEastAsia"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5"/>
  </w:num>
  <w:num w:numId="4">
    <w:abstractNumId w:val="11"/>
  </w:num>
  <w:num w:numId="5">
    <w:abstractNumId w:val="24"/>
  </w:num>
  <w:num w:numId="6">
    <w:abstractNumId w:val="7"/>
  </w:num>
  <w:num w:numId="7">
    <w:abstractNumId w:val="3"/>
  </w:num>
  <w:num w:numId="8">
    <w:abstractNumId w:val="10"/>
  </w:num>
  <w:num w:numId="9">
    <w:abstractNumId w:val="12"/>
  </w:num>
  <w:num w:numId="10">
    <w:abstractNumId w:val="6"/>
  </w:num>
  <w:num w:numId="11">
    <w:abstractNumId w:val="5"/>
  </w:num>
  <w:num w:numId="12">
    <w:abstractNumId w:val="0"/>
  </w:num>
  <w:num w:numId="13">
    <w:abstractNumId w:val="9"/>
  </w:num>
  <w:num w:numId="14">
    <w:abstractNumId w:val="14"/>
  </w:num>
  <w:num w:numId="15">
    <w:abstractNumId w:val="21"/>
  </w:num>
  <w:num w:numId="16">
    <w:abstractNumId w:val="16"/>
  </w:num>
  <w:num w:numId="17">
    <w:abstractNumId w:val="26"/>
  </w:num>
  <w:num w:numId="18">
    <w:abstractNumId w:val="27"/>
  </w:num>
  <w:num w:numId="19">
    <w:abstractNumId w:val="18"/>
  </w:num>
  <w:num w:numId="20">
    <w:abstractNumId w:val="19"/>
  </w:num>
  <w:num w:numId="21">
    <w:abstractNumId w:val="2"/>
  </w:num>
  <w:num w:numId="22">
    <w:abstractNumId w:val="13"/>
  </w:num>
  <w:num w:numId="23">
    <w:abstractNumId w:val="23"/>
  </w:num>
  <w:num w:numId="24">
    <w:abstractNumId w:val="8"/>
  </w:num>
  <w:num w:numId="25">
    <w:abstractNumId w:val="20"/>
  </w:num>
  <w:num w:numId="26">
    <w:abstractNumId w:val="17"/>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3092"/>
    <w:rsid w:val="000039C5"/>
    <w:rsid w:val="00004D62"/>
    <w:rsid w:val="00013F12"/>
    <w:rsid w:val="0002086A"/>
    <w:rsid w:val="00033835"/>
    <w:rsid w:val="000349E4"/>
    <w:rsid w:val="00037E22"/>
    <w:rsid w:val="00040D0E"/>
    <w:rsid w:val="00041356"/>
    <w:rsid w:val="000503CB"/>
    <w:rsid w:val="000522D9"/>
    <w:rsid w:val="0005240D"/>
    <w:rsid w:val="00054047"/>
    <w:rsid w:val="000575B9"/>
    <w:rsid w:val="00067E09"/>
    <w:rsid w:val="000734EA"/>
    <w:rsid w:val="00077390"/>
    <w:rsid w:val="00082580"/>
    <w:rsid w:val="00087106"/>
    <w:rsid w:val="000A6606"/>
    <w:rsid w:val="000B09B6"/>
    <w:rsid w:val="000D33EE"/>
    <w:rsid w:val="000F170D"/>
    <w:rsid w:val="00111C25"/>
    <w:rsid w:val="001263B3"/>
    <w:rsid w:val="00131BC1"/>
    <w:rsid w:val="00135D33"/>
    <w:rsid w:val="001506AA"/>
    <w:rsid w:val="001513E0"/>
    <w:rsid w:val="00154BC5"/>
    <w:rsid w:val="00162D2F"/>
    <w:rsid w:val="00165802"/>
    <w:rsid w:val="001664AC"/>
    <w:rsid w:val="00171207"/>
    <w:rsid w:val="0017470E"/>
    <w:rsid w:val="001927DC"/>
    <w:rsid w:val="001B6C0A"/>
    <w:rsid w:val="001B7651"/>
    <w:rsid w:val="001B7701"/>
    <w:rsid w:val="001C4749"/>
    <w:rsid w:val="001D6C00"/>
    <w:rsid w:val="001E0DB3"/>
    <w:rsid w:val="001E7705"/>
    <w:rsid w:val="001F29C7"/>
    <w:rsid w:val="00204154"/>
    <w:rsid w:val="00217926"/>
    <w:rsid w:val="00227D7D"/>
    <w:rsid w:val="002324BF"/>
    <w:rsid w:val="002364C3"/>
    <w:rsid w:val="0025116B"/>
    <w:rsid w:val="00255C81"/>
    <w:rsid w:val="0026233A"/>
    <w:rsid w:val="00275743"/>
    <w:rsid w:val="002810AA"/>
    <w:rsid w:val="00283DE5"/>
    <w:rsid w:val="002B0B56"/>
    <w:rsid w:val="002B2131"/>
    <w:rsid w:val="002B72D8"/>
    <w:rsid w:val="002C174A"/>
    <w:rsid w:val="002C739D"/>
    <w:rsid w:val="002D2E8C"/>
    <w:rsid w:val="002E11EF"/>
    <w:rsid w:val="002F15C0"/>
    <w:rsid w:val="0030482B"/>
    <w:rsid w:val="00311CF3"/>
    <w:rsid w:val="00324D85"/>
    <w:rsid w:val="003418AE"/>
    <w:rsid w:val="00344167"/>
    <w:rsid w:val="0035027C"/>
    <w:rsid w:val="0035477B"/>
    <w:rsid w:val="00354C80"/>
    <w:rsid w:val="00367AA7"/>
    <w:rsid w:val="00382D2D"/>
    <w:rsid w:val="003A41EA"/>
    <w:rsid w:val="003B31B4"/>
    <w:rsid w:val="003B5229"/>
    <w:rsid w:val="003C3DFF"/>
    <w:rsid w:val="003C7A12"/>
    <w:rsid w:val="00404FCE"/>
    <w:rsid w:val="004114EB"/>
    <w:rsid w:val="004138EE"/>
    <w:rsid w:val="00416FC4"/>
    <w:rsid w:val="00431A70"/>
    <w:rsid w:val="0043562B"/>
    <w:rsid w:val="0044414D"/>
    <w:rsid w:val="00445046"/>
    <w:rsid w:val="00446735"/>
    <w:rsid w:val="004817B9"/>
    <w:rsid w:val="004943BC"/>
    <w:rsid w:val="00494C24"/>
    <w:rsid w:val="004A4D6B"/>
    <w:rsid w:val="004A6BE3"/>
    <w:rsid w:val="004C7C47"/>
    <w:rsid w:val="004D040A"/>
    <w:rsid w:val="004D44CB"/>
    <w:rsid w:val="004E4A18"/>
    <w:rsid w:val="004F430C"/>
    <w:rsid w:val="005021D2"/>
    <w:rsid w:val="00506634"/>
    <w:rsid w:val="00516445"/>
    <w:rsid w:val="0051652B"/>
    <w:rsid w:val="00526855"/>
    <w:rsid w:val="00542F91"/>
    <w:rsid w:val="00543670"/>
    <w:rsid w:val="0054423A"/>
    <w:rsid w:val="005663E1"/>
    <w:rsid w:val="00582ACE"/>
    <w:rsid w:val="00596DDC"/>
    <w:rsid w:val="005A0513"/>
    <w:rsid w:val="005A1725"/>
    <w:rsid w:val="005A7E4B"/>
    <w:rsid w:val="005D03F1"/>
    <w:rsid w:val="005D2361"/>
    <w:rsid w:val="005D51BC"/>
    <w:rsid w:val="005E2899"/>
    <w:rsid w:val="005E5CDB"/>
    <w:rsid w:val="005F045C"/>
    <w:rsid w:val="005F3E1D"/>
    <w:rsid w:val="005F695F"/>
    <w:rsid w:val="00602EAF"/>
    <w:rsid w:val="00613F80"/>
    <w:rsid w:val="006143C1"/>
    <w:rsid w:val="00621BA0"/>
    <w:rsid w:val="006257FA"/>
    <w:rsid w:val="00655A26"/>
    <w:rsid w:val="00662F11"/>
    <w:rsid w:val="006679AD"/>
    <w:rsid w:val="00670C30"/>
    <w:rsid w:val="00693BDA"/>
    <w:rsid w:val="006B003A"/>
    <w:rsid w:val="006C1424"/>
    <w:rsid w:val="006C3C69"/>
    <w:rsid w:val="006D1102"/>
    <w:rsid w:val="006D4630"/>
    <w:rsid w:val="006E5896"/>
    <w:rsid w:val="006E7BFF"/>
    <w:rsid w:val="006F71AA"/>
    <w:rsid w:val="0071352A"/>
    <w:rsid w:val="00726F3F"/>
    <w:rsid w:val="0073056E"/>
    <w:rsid w:val="00743B9B"/>
    <w:rsid w:val="0074456A"/>
    <w:rsid w:val="00754856"/>
    <w:rsid w:val="00761039"/>
    <w:rsid w:val="00764809"/>
    <w:rsid w:val="00770AE6"/>
    <w:rsid w:val="007714AA"/>
    <w:rsid w:val="00776D2B"/>
    <w:rsid w:val="007A342B"/>
    <w:rsid w:val="007B4035"/>
    <w:rsid w:val="007E5697"/>
    <w:rsid w:val="007F2E6E"/>
    <w:rsid w:val="00800B23"/>
    <w:rsid w:val="00812F28"/>
    <w:rsid w:val="0082124B"/>
    <w:rsid w:val="008230C3"/>
    <w:rsid w:val="0082558C"/>
    <w:rsid w:val="00840597"/>
    <w:rsid w:val="0084214F"/>
    <w:rsid w:val="00872BCE"/>
    <w:rsid w:val="008744A7"/>
    <w:rsid w:val="0088215C"/>
    <w:rsid w:val="00884751"/>
    <w:rsid w:val="008848A1"/>
    <w:rsid w:val="008A648E"/>
    <w:rsid w:val="008B5392"/>
    <w:rsid w:val="008C11DC"/>
    <w:rsid w:val="008C2BA1"/>
    <w:rsid w:val="008D0466"/>
    <w:rsid w:val="008E6ABA"/>
    <w:rsid w:val="008F772D"/>
    <w:rsid w:val="00922A69"/>
    <w:rsid w:val="00942C40"/>
    <w:rsid w:val="00944247"/>
    <w:rsid w:val="009461C8"/>
    <w:rsid w:val="00951318"/>
    <w:rsid w:val="00954112"/>
    <w:rsid w:val="00960917"/>
    <w:rsid w:val="0096546B"/>
    <w:rsid w:val="00966BCA"/>
    <w:rsid w:val="00976339"/>
    <w:rsid w:val="00994021"/>
    <w:rsid w:val="00996E03"/>
    <w:rsid w:val="00996EEB"/>
    <w:rsid w:val="009C0801"/>
    <w:rsid w:val="009C53FE"/>
    <w:rsid w:val="009D041F"/>
    <w:rsid w:val="009D23E6"/>
    <w:rsid w:val="009D4AEE"/>
    <w:rsid w:val="00A06072"/>
    <w:rsid w:val="00A07188"/>
    <w:rsid w:val="00A22F28"/>
    <w:rsid w:val="00A2678B"/>
    <w:rsid w:val="00A5477F"/>
    <w:rsid w:val="00A6118D"/>
    <w:rsid w:val="00A76BF5"/>
    <w:rsid w:val="00A97E31"/>
    <w:rsid w:val="00AA6C91"/>
    <w:rsid w:val="00AD16D8"/>
    <w:rsid w:val="00AD3987"/>
    <w:rsid w:val="00AE4200"/>
    <w:rsid w:val="00AE7FE9"/>
    <w:rsid w:val="00B20DE9"/>
    <w:rsid w:val="00B25F57"/>
    <w:rsid w:val="00B30C9E"/>
    <w:rsid w:val="00B3397D"/>
    <w:rsid w:val="00B55C60"/>
    <w:rsid w:val="00B65F39"/>
    <w:rsid w:val="00B6700D"/>
    <w:rsid w:val="00BA1EDF"/>
    <w:rsid w:val="00BD3D45"/>
    <w:rsid w:val="00BE30B9"/>
    <w:rsid w:val="00BE6FA9"/>
    <w:rsid w:val="00BF0561"/>
    <w:rsid w:val="00C200B1"/>
    <w:rsid w:val="00C22237"/>
    <w:rsid w:val="00C228D5"/>
    <w:rsid w:val="00C27DC2"/>
    <w:rsid w:val="00C30AF6"/>
    <w:rsid w:val="00C32901"/>
    <w:rsid w:val="00C51245"/>
    <w:rsid w:val="00C60260"/>
    <w:rsid w:val="00C71BCE"/>
    <w:rsid w:val="00C72BFA"/>
    <w:rsid w:val="00C82D86"/>
    <w:rsid w:val="00C838C9"/>
    <w:rsid w:val="00C9319A"/>
    <w:rsid w:val="00CA101B"/>
    <w:rsid w:val="00CC1E65"/>
    <w:rsid w:val="00CD3B14"/>
    <w:rsid w:val="00CD4A7C"/>
    <w:rsid w:val="00D031E3"/>
    <w:rsid w:val="00D034CD"/>
    <w:rsid w:val="00D04FCD"/>
    <w:rsid w:val="00D22CEC"/>
    <w:rsid w:val="00D250D7"/>
    <w:rsid w:val="00D26A48"/>
    <w:rsid w:val="00D34A0B"/>
    <w:rsid w:val="00D37A63"/>
    <w:rsid w:val="00D45330"/>
    <w:rsid w:val="00D55F0E"/>
    <w:rsid w:val="00D9208F"/>
    <w:rsid w:val="00D92F48"/>
    <w:rsid w:val="00DB1CD3"/>
    <w:rsid w:val="00DB53D9"/>
    <w:rsid w:val="00DB6099"/>
    <w:rsid w:val="00DD55E4"/>
    <w:rsid w:val="00DD76ED"/>
    <w:rsid w:val="00DD7EEB"/>
    <w:rsid w:val="00DE3E97"/>
    <w:rsid w:val="00DE49BC"/>
    <w:rsid w:val="00DF4E2E"/>
    <w:rsid w:val="00DF57A0"/>
    <w:rsid w:val="00E44850"/>
    <w:rsid w:val="00E540BD"/>
    <w:rsid w:val="00E70572"/>
    <w:rsid w:val="00E773F8"/>
    <w:rsid w:val="00E80F9C"/>
    <w:rsid w:val="00E93B07"/>
    <w:rsid w:val="00EA0026"/>
    <w:rsid w:val="00ED472A"/>
    <w:rsid w:val="00EE142B"/>
    <w:rsid w:val="00EE4780"/>
    <w:rsid w:val="00F21314"/>
    <w:rsid w:val="00F6047A"/>
    <w:rsid w:val="00F674C5"/>
    <w:rsid w:val="00F67541"/>
    <w:rsid w:val="00F714E1"/>
    <w:rsid w:val="00F87677"/>
    <w:rsid w:val="00FB2FD8"/>
    <w:rsid w:val="00FC14BE"/>
    <w:rsid w:val="00FC396D"/>
    <w:rsid w:val="00FC74C3"/>
    <w:rsid w:val="00FC7FF6"/>
    <w:rsid w:val="00FD1B14"/>
    <w:rsid w:val="00FD5C78"/>
    <w:rsid w:val="00FE12F0"/>
    <w:rsid w:val="00FE146B"/>
    <w:rsid w:val="00FF0179"/>
    <w:rsid w:val="00FF1EB0"/>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paragraph" w:styleId="Heading1">
    <w:name w:val="heading 1"/>
    <w:basedOn w:val="Normal"/>
    <w:next w:val="Normal"/>
    <w:link w:val="Heading1Char"/>
    <w:uiPriority w:val="9"/>
    <w:qFormat/>
    <w:rsid w:val="007A3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 w:type="character" w:customStyle="1" w:styleId="Heading1Char">
    <w:name w:val="Heading 1 Char"/>
    <w:basedOn w:val="DefaultParagraphFont"/>
    <w:link w:val="Heading1"/>
    <w:uiPriority w:val="9"/>
    <w:rsid w:val="007A342B"/>
    <w:rPr>
      <w:rFonts w:asciiTheme="majorHAnsi" w:eastAsiaTheme="majorEastAsia" w:hAnsiTheme="majorHAnsi" w:cstheme="majorBidi"/>
      <w:color w:val="2F5496" w:themeColor="accent1" w:themeShade="BF"/>
      <w:sz w:val="32"/>
      <w:szCs w:val="32"/>
    </w:rPr>
  </w:style>
  <w:style w:type="paragraph" w:customStyle="1" w:styleId="Default">
    <w:name w:val="Default"/>
    <w:rsid w:val="00C51245"/>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735561">
      <w:bodyDiv w:val="1"/>
      <w:marLeft w:val="0"/>
      <w:marRight w:val="0"/>
      <w:marTop w:val="0"/>
      <w:marBottom w:val="0"/>
      <w:divBdr>
        <w:top w:val="none" w:sz="0" w:space="0" w:color="auto"/>
        <w:left w:val="none" w:sz="0" w:space="0" w:color="auto"/>
        <w:bottom w:val="none" w:sz="0" w:space="0" w:color="auto"/>
        <w:right w:val="none" w:sz="0" w:space="0" w:color="auto"/>
      </w:divBdr>
    </w:div>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9FB86-DB28-4430-879D-157D96FA44B6}">
  <ds:schemaRefs>
    <ds:schemaRef ds:uri="http://schemas.openxmlformats.org/officeDocument/2006/bibliography"/>
  </ds:schemaRefs>
</ds:datastoreItem>
</file>

<file path=customXml/itemProps2.xml><?xml version="1.0" encoding="utf-8"?>
<ds:datastoreItem xmlns:ds="http://schemas.openxmlformats.org/officeDocument/2006/customXml" ds:itemID="{87762634-9C7C-4C11-BCA7-72FA446B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51AF2-35CF-44B5-ACCF-5ABE42A6430E}">
  <ds:schemaRefs>
    <ds:schemaRef ds:uri="http://schemas.microsoft.com/sharepoint/v3/contenttype/forms"/>
  </ds:schemaRefs>
</ds:datastoreItem>
</file>

<file path=customXml/itemProps4.xml><?xml version="1.0" encoding="utf-8"?>
<ds:datastoreItem xmlns:ds="http://schemas.openxmlformats.org/officeDocument/2006/customXml" ds:itemID="{80691753-B3FA-4F76-9E1A-8232A3B58487}">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3820</Characters>
  <Application>Microsoft Office Word</Application>
  <DocSecurity>4</DocSecurity>
  <Lines>77</Lines>
  <Paragraphs>28</Paragraphs>
  <ScaleCrop>false</ScaleCrop>
  <HeadingPairs>
    <vt:vector size="10" baseType="variant">
      <vt:variant>
        <vt:lpstr>Titel</vt:lpstr>
      </vt:variant>
      <vt:variant>
        <vt:i4>1</vt:i4>
      </vt:variant>
      <vt:variant>
        <vt:lpstr>Название</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5" baseType="lpstr">
      <vt:lpstr/>
      <vt:lpstr/>
      <vt:lpstr/>
      <vt: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dc:description/>
  <cp:lastModifiedBy>Francois Guichard</cp:lastModifiedBy>
  <cp:revision>2</cp:revision>
  <cp:lastPrinted>2020-02-06T14:37:00Z</cp:lastPrinted>
  <dcterms:created xsi:type="dcterms:W3CDTF">2021-09-24T12:43:00Z</dcterms:created>
  <dcterms:modified xsi:type="dcterms:W3CDTF">2021-09-24T12:43:00Z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