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D565642" w14:textId="77777777" w:rsidTr="000D1B89">
        <w:trPr>
          <w:cantSplit/>
          <w:trHeight w:hRule="exact" w:val="851"/>
        </w:trPr>
        <w:tc>
          <w:tcPr>
            <w:tcW w:w="1276" w:type="dxa"/>
            <w:tcBorders>
              <w:bottom w:val="single" w:sz="4" w:space="0" w:color="auto"/>
            </w:tcBorders>
            <w:vAlign w:val="bottom"/>
          </w:tcPr>
          <w:p w14:paraId="1E241DE5" w14:textId="77777777" w:rsidR="00717266" w:rsidRDefault="00717266" w:rsidP="000D1B89">
            <w:pPr>
              <w:spacing w:after="80"/>
            </w:pPr>
          </w:p>
        </w:tc>
        <w:tc>
          <w:tcPr>
            <w:tcW w:w="2268" w:type="dxa"/>
            <w:tcBorders>
              <w:bottom w:val="single" w:sz="4" w:space="0" w:color="auto"/>
            </w:tcBorders>
            <w:vAlign w:val="bottom"/>
          </w:tcPr>
          <w:p w14:paraId="6A9B8E4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ADA9C2" w14:textId="77777777" w:rsidR="00717266" w:rsidRPr="00D47EEA" w:rsidRDefault="007B5A2D" w:rsidP="007B5A2D">
            <w:pPr>
              <w:suppressAutoHyphens w:val="0"/>
              <w:spacing w:after="20" w:line="240" w:lineRule="atLeast"/>
              <w:jc w:val="right"/>
            </w:pPr>
            <w:r w:rsidRPr="007B5A2D">
              <w:rPr>
                <w:sz w:val="40"/>
              </w:rPr>
              <w:t>ECE</w:t>
            </w:r>
            <w:r>
              <w:t>/TRANS/WP.11/2021/8</w:t>
            </w:r>
          </w:p>
        </w:tc>
      </w:tr>
      <w:tr w:rsidR="00717266" w14:paraId="1BBC2D22" w14:textId="77777777" w:rsidTr="000D1B89">
        <w:trPr>
          <w:cantSplit/>
          <w:trHeight w:hRule="exact" w:val="2835"/>
        </w:trPr>
        <w:tc>
          <w:tcPr>
            <w:tcW w:w="1276" w:type="dxa"/>
            <w:tcBorders>
              <w:top w:val="single" w:sz="4" w:space="0" w:color="auto"/>
              <w:bottom w:val="single" w:sz="12" w:space="0" w:color="auto"/>
            </w:tcBorders>
          </w:tcPr>
          <w:p w14:paraId="543819A3" w14:textId="77777777" w:rsidR="00717266" w:rsidRDefault="00717266" w:rsidP="000D1B89">
            <w:pPr>
              <w:spacing w:before="120"/>
            </w:pPr>
            <w:r>
              <w:rPr>
                <w:noProof/>
                <w:lang w:val="fr-CH" w:eastAsia="fr-CH"/>
              </w:rPr>
              <w:drawing>
                <wp:inline distT="0" distB="0" distL="0" distR="0" wp14:anchorId="114F97D6" wp14:editId="3580A86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C5F2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1A3175" w14:textId="77777777" w:rsidR="00717266" w:rsidRDefault="007B5A2D" w:rsidP="007B5A2D">
            <w:pPr>
              <w:spacing w:before="240"/>
            </w:pPr>
            <w:r>
              <w:t>Distr.: General</w:t>
            </w:r>
          </w:p>
          <w:p w14:paraId="31E81F62" w14:textId="77777777" w:rsidR="007B5A2D" w:rsidRDefault="007B5A2D" w:rsidP="007B5A2D">
            <w:pPr>
              <w:suppressAutoHyphens w:val="0"/>
            </w:pPr>
            <w:r>
              <w:t>10 August 2021</w:t>
            </w:r>
          </w:p>
          <w:p w14:paraId="3108D030" w14:textId="7B318DC3" w:rsidR="007B5A2D" w:rsidRDefault="007B5A2D" w:rsidP="007B5A2D">
            <w:pPr>
              <w:suppressAutoHyphens w:val="0"/>
            </w:pPr>
            <w:r>
              <w:t>English</w:t>
            </w:r>
          </w:p>
          <w:p w14:paraId="3A279642" w14:textId="77777777" w:rsidR="007B5A2D" w:rsidRDefault="007B5A2D" w:rsidP="007B5A2D">
            <w:pPr>
              <w:suppressAutoHyphens w:val="0"/>
              <w:spacing w:line="240" w:lineRule="atLeast"/>
            </w:pPr>
            <w:r>
              <w:t>Original: French</w:t>
            </w:r>
          </w:p>
        </w:tc>
      </w:tr>
    </w:tbl>
    <w:p w14:paraId="5DADE4F3" w14:textId="77777777" w:rsidR="00B357A9" w:rsidRDefault="00B357A9">
      <w:pPr>
        <w:spacing w:before="120"/>
        <w:rPr>
          <w:b/>
          <w:sz w:val="28"/>
          <w:szCs w:val="28"/>
        </w:rPr>
      </w:pPr>
      <w:r>
        <w:rPr>
          <w:b/>
          <w:sz w:val="28"/>
          <w:szCs w:val="28"/>
        </w:rPr>
        <w:t>Economic Commission for Europe</w:t>
      </w:r>
    </w:p>
    <w:p w14:paraId="73351EEF" w14:textId="77777777" w:rsidR="00B357A9" w:rsidRDefault="00B357A9">
      <w:pPr>
        <w:spacing w:before="120"/>
        <w:rPr>
          <w:sz w:val="28"/>
          <w:szCs w:val="28"/>
        </w:rPr>
      </w:pPr>
      <w:r>
        <w:rPr>
          <w:sz w:val="28"/>
          <w:szCs w:val="28"/>
        </w:rPr>
        <w:t>Inland Transport Committee</w:t>
      </w:r>
    </w:p>
    <w:p w14:paraId="57F09CCD" w14:textId="3B037F59" w:rsidR="00B357A9" w:rsidRDefault="00B357A9">
      <w:pPr>
        <w:spacing w:before="120"/>
        <w:rPr>
          <w:b/>
          <w:sz w:val="24"/>
          <w:szCs w:val="24"/>
        </w:rPr>
      </w:pPr>
      <w:r>
        <w:rPr>
          <w:b/>
          <w:sz w:val="24"/>
          <w:szCs w:val="24"/>
        </w:rPr>
        <w:t xml:space="preserve">Working </w:t>
      </w:r>
      <w:r w:rsidRPr="0046293F">
        <w:rPr>
          <w:b/>
          <w:sz w:val="24"/>
          <w:szCs w:val="24"/>
        </w:rPr>
        <w:t>Party</w:t>
      </w:r>
      <w:r>
        <w:rPr>
          <w:b/>
          <w:sz w:val="24"/>
          <w:szCs w:val="24"/>
        </w:rPr>
        <w:t xml:space="preserve"> on the Transport of </w:t>
      </w:r>
      <w:r w:rsidRPr="00B357A9">
        <w:rPr>
          <w:b/>
          <w:sz w:val="24"/>
          <w:szCs w:val="24"/>
        </w:rPr>
        <w:t>Perishable Foodstuffs</w:t>
      </w:r>
    </w:p>
    <w:p w14:paraId="7F4AE7F9" w14:textId="77777777" w:rsidR="00B357A9" w:rsidRPr="00D66A02" w:rsidRDefault="00B357A9" w:rsidP="00B357A9">
      <w:pPr>
        <w:spacing w:before="120"/>
        <w:rPr>
          <w:b/>
          <w:bCs/>
          <w:lang w:val="en-US"/>
        </w:rPr>
      </w:pPr>
      <w:r>
        <w:rPr>
          <w:b/>
          <w:bCs/>
        </w:rPr>
        <w:t>Seventy-seventh session</w:t>
      </w:r>
    </w:p>
    <w:p w14:paraId="77B22C12" w14:textId="77777777" w:rsidR="00B357A9" w:rsidRPr="00D66A02" w:rsidRDefault="00B357A9" w:rsidP="00B357A9">
      <w:pPr>
        <w:rPr>
          <w:lang w:val="en-US"/>
        </w:rPr>
      </w:pPr>
      <w:r>
        <w:t>Geneva, 26–29 October 2021</w:t>
      </w:r>
    </w:p>
    <w:p w14:paraId="0951AF0B" w14:textId="77777777" w:rsidR="00B357A9" w:rsidRPr="00D66A02" w:rsidRDefault="00B357A9" w:rsidP="00B357A9">
      <w:pPr>
        <w:pStyle w:val="Standard"/>
        <w:overflowPunct w:val="0"/>
        <w:snapToGrid/>
        <w:rPr>
          <w:lang w:val="en-US"/>
        </w:rPr>
      </w:pPr>
      <w:r>
        <w:rPr>
          <w:lang w:val="en-GB"/>
        </w:rPr>
        <w:t>Item 5 (b) of the provisional agenda</w:t>
      </w:r>
    </w:p>
    <w:p w14:paraId="1DB50041" w14:textId="1C9FA895" w:rsidR="00B357A9" w:rsidRPr="00D66A02" w:rsidRDefault="00B357A9" w:rsidP="00B357A9">
      <w:pPr>
        <w:pStyle w:val="Standard"/>
        <w:overflowPunct w:val="0"/>
        <w:snapToGrid/>
        <w:spacing w:line="240" w:lineRule="auto"/>
        <w:rPr>
          <w:lang w:val="en-US"/>
        </w:rPr>
      </w:pPr>
      <w:r>
        <w:rPr>
          <w:b/>
          <w:bCs/>
          <w:lang w:val="en-GB"/>
        </w:rPr>
        <w:t>Proposals of amendments to ATP:</w:t>
      </w:r>
    </w:p>
    <w:p w14:paraId="43D78D7D" w14:textId="77777777" w:rsidR="00B357A9" w:rsidRPr="00D66A02" w:rsidRDefault="00B357A9" w:rsidP="00B357A9">
      <w:pPr>
        <w:rPr>
          <w:b/>
          <w:bCs/>
          <w:lang w:val="en-US"/>
        </w:rPr>
      </w:pPr>
      <w:r>
        <w:rPr>
          <w:b/>
          <w:bCs/>
        </w:rPr>
        <w:t>New proposals</w:t>
      </w:r>
    </w:p>
    <w:p w14:paraId="3F5BC003" w14:textId="77777777" w:rsidR="00B357A9" w:rsidRPr="00D66A02" w:rsidRDefault="00B357A9" w:rsidP="00B357A9">
      <w:pPr>
        <w:pStyle w:val="HChG"/>
        <w:rPr>
          <w:lang w:val="en-US"/>
        </w:rPr>
      </w:pPr>
      <w:r>
        <w:tab/>
      </w:r>
      <w:r>
        <w:tab/>
      </w:r>
      <w:r>
        <w:rPr>
          <w:bCs/>
        </w:rPr>
        <w:t>Simplification of the procedure for measuring the capacity of liquefied gas refrigeration units</w:t>
      </w:r>
    </w:p>
    <w:p w14:paraId="3DE2177F" w14:textId="24C029BA" w:rsidR="00B357A9" w:rsidRDefault="00B357A9" w:rsidP="00B357A9">
      <w:pPr>
        <w:pStyle w:val="H1G"/>
      </w:pPr>
      <w:r>
        <w:tab/>
      </w:r>
      <w:r>
        <w:tab/>
      </w:r>
      <w:r>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313749" w14:paraId="14E68404" w14:textId="77777777" w:rsidTr="00313749">
        <w:trPr>
          <w:jc w:val="center"/>
        </w:trPr>
        <w:tc>
          <w:tcPr>
            <w:tcW w:w="9637" w:type="dxa"/>
            <w:tcBorders>
              <w:bottom w:val="nil"/>
            </w:tcBorders>
          </w:tcPr>
          <w:p w14:paraId="4FDAB88B" w14:textId="5CED2BBF" w:rsidR="00313749" w:rsidRPr="00313749" w:rsidRDefault="00313749" w:rsidP="00313749">
            <w:pPr>
              <w:tabs>
                <w:tab w:val="left" w:pos="255"/>
              </w:tabs>
              <w:suppressAutoHyphens w:val="0"/>
              <w:spacing w:before="240" w:after="120" w:line="240" w:lineRule="atLeast"/>
              <w:rPr>
                <w:sz w:val="24"/>
              </w:rPr>
            </w:pPr>
            <w:r>
              <w:tab/>
            </w:r>
            <w:r>
              <w:rPr>
                <w:i/>
                <w:sz w:val="24"/>
              </w:rPr>
              <w:t>Summary</w:t>
            </w:r>
          </w:p>
        </w:tc>
      </w:tr>
      <w:tr w:rsidR="00313749" w14:paraId="7DA4B1C9" w14:textId="77777777" w:rsidTr="00313749">
        <w:trPr>
          <w:jc w:val="center"/>
        </w:trPr>
        <w:tc>
          <w:tcPr>
            <w:tcW w:w="9637" w:type="dxa"/>
            <w:tcBorders>
              <w:top w:val="nil"/>
              <w:bottom w:val="nil"/>
            </w:tcBorders>
            <w:shd w:val="clear" w:color="auto" w:fill="auto"/>
          </w:tcPr>
          <w:p w14:paraId="6A6346EC" w14:textId="17A504E5" w:rsidR="00313749" w:rsidRPr="00C649D4" w:rsidRDefault="00313749" w:rsidP="00C649D4">
            <w:pPr>
              <w:pStyle w:val="SingleTxtG"/>
              <w:tabs>
                <w:tab w:val="left" w:pos="2835"/>
              </w:tabs>
              <w:kinsoku w:val="0"/>
              <w:overflowPunct w:val="0"/>
              <w:autoSpaceDE w:val="0"/>
              <w:autoSpaceDN w:val="0"/>
              <w:adjustRightInd w:val="0"/>
              <w:snapToGrid w:val="0"/>
              <w:ind w:left="2259" w:hanging="1984"/>
              <w:rPr>
                <w:rFonts w:eastAsia="Calibri"/>
                <w:b/>
                <w:lang w:eastAsia="en-US"/>
              </w:rPr>
            </w:pPr>
            <w:r w:rsidRPr="00C649D4">
              <w:rPr>
                <w:rFonts w:eastAsia="Calibri"/>
                <w:b/>
                <w:lang w:eastAsia="en-US"/>
              </w:rPr>
              <w:t>Executive summary:</w:t>
            </w:r>
            <w:r w:rsidRPr="00C649D4">
              <w:rPr>
                <w:rFonts w:eastAsia="Calibri"/>
                <w:b/>
                <w:lang w:eastAsia="en-US"/>
              </w:rPr>
              <w:tab/>
            </w:r>
            <w:r w:rsidRPr="00C649D4">
              <w:rPr>
                <w:rFonts w:eastAsia="Calibri"/>
                <w:bCs/>
                <w:lang w:eastAsia="en-US"/>
              </w:rPr>
              <w:t>The purpose of this proposal is to propose a conditional simplification of the procedure for measuring the capacity of liquefied gas refrigeration units.</w:t>
            </w:r>
          </w:p>
        </w:tc>
      </w:tr>
      <w:tr w:rsidR="00313749" w14:paraId="28DA808C" w14:textId="77777777" w:rsidTr="00313749">
        <w:trPr>
          <w:jc w:val="center"/>
        </w:trPr>
        <w:tc>
          <w:tcPr>
            <w:tcW w:w="9637" w:type="dxa"/>
            <w:tcBorders>
              <w:top w:val="nil"/>
              <w:bottom w:val="nil"/>
            </w:tcBorders>
          </w:tcPr>
          <w:p w14:paraId="324554FF" w14:textId="32F28F93" w:rsidR="00313749" w:rsidRPr="00C649D4" w:rsidRDefault="00313749" w:rsidP="00C649D4">
            <w:pPr>
              <w:pStyle w:val="SingleTxtG"/>
              <w:tabs>
                <w:tab w:val="left" w:pos="2835"/>
              </w:tabs>
              <w:kinsoku w:val="0"/>
              <w:overflowPunct w:val="0"/>
              <w:autoSpaceDE w:val="0"/>
              <w:autoSpaceDN w:val="0"/>
              <w:adjustRightInd w:val="0"/>
              <w:snapToGrid w:val="0"/>
              <w:ind w:left="2259" w:hanging="1984"/>
              <w:rPr>
                <w:rFonts w:eastAsia="Calibri"/>
                <w:b/>
                <w:lang w:eastAsia="en-US"/>
              </w:rPr>
            </w:pPr>
            <w:r w:rsidRPr="00C649D4">
              <w:rPr>
                <w:rFonts w:eastAsia="Calibri"/>
                <w:b/>
                <w:lang w:eastAsia="en-US"/>
              </w:rPr>
              <w:t>Action to be taken:</w:t>
            </w:r>
            <w:r w:rsidRPr="00C649D4">
              <w:rPr>
                <w:rFonts w:eastAsia="Calibri"/>
                <w:b/>
                <w:lang w:eastAsia="en-US"/>
              </w:rPr>
              <w:tab/>
            </w:r>
            <w:r w:rsidRPr="00C649D4">
              <w:rPr>
                <w:rFonts w:eastAsia="Calibri"/>
                <w:bCs/>
                <w:lang w:eastAsia="en-US"/>
              </w:rPr>
              <w:t>Amend the relevant part of section 9 of Annex 1, Appendix 2 of the ATP Agreement.</w:t>
            </w:r>
          </w:p>
        </w:tc>
      </w:tr>
      <w:tr w:rsidR="00313749" w14:paraId="59A42CF6" w14:textId="77777777" w:rsidTr="00313749">
        <w:trPr>
          <w:jc w:val="center"/>
        </w:trPr>
        <w:tc>
          <w:tcPr>
            <w:tcW w:w="9637" w:type="dxa"/>
            <w:tcBorders>
              <w:top w:val="nil"/>
              <w:bottom w:val="nil"/>
            </w:tcBorders>
          </w:tcPr>
          <w:p w14:paraId="5A285DD2" w14:textId="1C119271" w:rsidR="00313749" w:rsidRPr="00C649D4" w:rsidRDefault="00313749" w:rsidP="00C649D4">
            <w:pPr>
              <w:pStyle w:val="SingleTxtG"/>
              <w:tabs>
                <w:tab w:val="left" w:pos="2835"/>
              </w:tabs>
              <w:kinsoku w:val="0"/>
              <w:overflowPunct w:val="0"/>
              <w:autoSpaceDE w:val="0"/>
              <w:autoSpaceDN w:val="0"/>
              <w:adjustRightInd w:val="0"/>
              <w:snapToGrid w:val="0"/>
              <w:ind w:left="2259" w:hanging="1984"/>
              <w:rPr>
                <w:rFonts w:eastAsia="Calibri"/>
                <w:b/>
                <w:lang w:eastAsia="en-US"/>
              </w:rPr>
            </w:pPr>
            <w:r w:rsidRPr="00C649D4">
              <w:rPr>
                <w:rFonts w:eastAsia="Calibri"/>
                <w:b/>
                <w:lang w:eastAsia="en-US"/>
              </w:rPr>
              <w:t>Related documents:</w:t>
            </w:r>
            <w:r w:rsidRPr="00C649D4">
              <w:rPr>
                <w:rFonts w:eastAsia="Calibri"/>
                <w:b/>
                <w:lang w:eastAsia="en-US"/>
              </w:rPr>
              <w:tab/>
            </w:r>
            <w:r w:rsidRPr="00C649D4">
              <w:rPr>
                <w:rFonts w:eastAsia="Calibri"/>
                <w:bCs/>
                <w:lang w:eastAsia="en-US"/>
              </w:rPr>
              <w:t>None.</w:t>
            </w:r>
          </w:p>
        </w:tc>
      </w:tr>
      <w:tr w:rsidR="00313749" w14:paraId="44B91B81" w14:textId="77777777" w:rsidTr="00313749">
        <w:trPr>
          <w:jc w:val="center"/>
        </w:trPr>
        <w:tc>
          <w:tcPr>
            <w:tcW w:w="9637" w:type="dxa"/>
            <w:tcBorders>
              <w:top w:val="nil"/>
            </w:tcBorders>
          </w:tcPr>
          <w:p w14:paraId="47CAA8C3" w14:textId="77777777" w:rsidR="00313749" w:rsidRDefault="00313749" w:rsidP="00313749">
            <w:pPr>
              <w:spacing w:line="240" w:lineRule="atLeast"/>
            </w:pPr>
          </w:p>
        </w:tc>
      </w:tr>
    </w:tbl>
    <w:p w14:paraId="0ED2857D" w14:textId="77777777" w:rsidR="00B357A9" w:rsidRDefault="00B357A9" w:rsidP="00B357A9">
      <w:pPr>
        <w:pStyle w:val="HChG"/>
      </w:pPr>
      <w:r>
        <w:tab/>
      </w:r>
      <w:r>
        <w:tab/>
      </w:r>
      <w:r>
        <w:tab/>
      </w:r>
      <w:r>
        <w:rPr>
          <w:bCs/>
        </w:rPr>
        <w:t>Introduction</w:t>
      </w:r>
      <w:bookmarkStart w:id="0" w:name="OLE_LINK2"/>
      <w:bookmarkStart w:id="1" w:name="OLE_LINK1"/>
      <w:bookmarkEnd w:id="0"/>
      <w:bookmarkEnd w:id="1"/>
    </w:p>
    <w:p w14:paraId="3D57BBC4" w14:textId="77777777" w:rsidR="00B357A9" w:rsidRPr="00D66A02" w:rsidRDefault="00B357A9" w:rsidP="00B357A9">
      <w:pPr>
        <w:pStyle w:val="SingleTxtG"/>
        <w:rPr>
          <w:lang w:val="en-US"/>
        </w:rPr>
      </w:pPr>
      <w:r>
        <w:t>1.</w:t>
      </w:r>
      <w:r>
        <w:tab/>
        <w:t>The test method described in section 9 of Annex 1, Appendix 2 of ATP for liquefied gas refrigeration units was developed from the one used for mechanical vapour compression refrigeration units. Indeed, the number and temperature levels at which liquefied gas and mechanical vapour compression units are currently tested are similar, with refrigeration capacity checked at -20 °C, -10 °C and 0 °C for mono-temperature units.</w:t>
      </w:r>
    </w:p>
    <w:p w14:paraId="69CB203F" w14:textId="77777777" w:rsidR="00B357A9" w:rsidRPr="00D66A02" w:rsidRDefault="00B357A9" w:rsidP="00B357A9">
      <w:pPr>
        <w:pStyle w:val="SingleTxtG"/>
        <w:rPr>
          <w:lang w:val="en-US"/>
        </w:rPr>
      </w:pPr>
      <w:bookmarkStart w:id="2" w:name="OLE_LINK52"/>
      <w:bookmarkStart w:id="3" w:name="OLE_LINK53"/>
      <w:r>
        <w:t>2.</w:t>
      </w:r>
      <w:r>
        <w:tab/>
        <w:t>The theoretical approach to the main physical phenomena involved in the calculation of the cooling capacity of liquefied gas units shows little variation for such phenomena between the different temperature levels, the main one being the use of heat.</w:t>
      </w:r>
    </w:p>
    <w:p w14:paraId="30A10D1E" w14:textId="77777777" w:rsidR="00B357A9" w:rsidRPr="00D66A02" w:rsidRDefault="00B357A9" w:rsidP="00B357A9">
      <w:pPr>
        <w:pStyle w:val="SingleTxtG"/>
        <w:rPr>
          <w:lang w:val="en-US"/>
        </w:rPr>
      </w:pPr>
      <w:r>
        <w:t>3.</w:t>
      </w:r>
      <w:r>
        <w:tab/>
        <w:t>On the basis of four tests of liquefied gas refrigeration units using nitrogen or CO</w:t>
      </w:r>
      <w:r>
        <w:rPr>
          <w:vertAlign w:val="subscript"/>
        </w:rPr>
        <w:t xml:space="preserve">2 </w:t>
      </w:r>
      <w:r>
        <w:t>as a liquefied gas, a factual analysis showed the existence of two groups, with specific properties:</w:t>
      </w:r>
    </w:p>
    <w:bookmarkEnd w:id="2"/>
    <w:bookmarkEnd w:id="3"/>
    <w:p w14:paraId="2D8117E2" w14:textId="77777777" w:rsidR="00B357A9" w:rsidRPr="00D66A02" w:rsidRDefault="00B357A9" w:rsidP="00B357A9">
      <w:pPr>
        <w:pStyle w:val="Bullet1G"/>
        <w:numPr>
          <w:ilvl w:val="0"/>
          <w:numId w:val="8"/>
        </w:numPr>
        <w:kinsoku w:val="0"/>
        <w:overflowPunct w:val="0"/>
        <w:autoSpaceDE w:val="0"/>
        <w:autoSpaceDN w:val="0"/>
        <w:adjustRightInd w:val="0"/>
        <w:snapToGrid w:val="0"/>
        <w:rPr>
          <w:lang w:val="en-US"/>
        </w:rPr>
      </w:pPr>
      <w:r>
        <w:t>The first group includes all the tests, including all evaporators. Its properties show that there is a strong proportional relationship between the developed cooling capacities and the temperature level at which the evaporators are tested, and also that the developed cooling capacities are greater at the 0 °C temperature level than those measured at the -20 °C temperature level.</w:t>
      </w:r>
    </w:p>
    <w:p w14:paraId="4C7E06BA" w14:textId="77777777" w:rsidR="00B357A9" w:rsidRPr="00D66A02" w:rsidRDefault="00B357A9" w:rsidP="00B357A9">
      <w:pPr>
        <w:pStyle w:val="Bullet1G"/>
        <w:numPr>
          <w:ilvl w:val="0"/>
          <w:numId w:val="8"/>
        </w:numPr>
        <w:kinsoku w:val="0"/>
        <w:overflowPunct w:val="0"/>
        <w:autoSpaceDE w:val="0"/>
        <w:autoSpaceDN w:val="0"/>
        <w:adjustRightInd w:val="0"/>
        <w:snapToGrid w:val="0"/>
        <w:rPr>
          <w:lang w:val="en-US"/>
        </w:rPr>
      </w:pPr>
      <w:r>
        <w:lastRenderedPageBreak/>
        <w:t>The second group includes a majority of evaporators, whose cooling capacities are similar when measured at the -20 °C, -10 °C and 0 °C temperature levels. That is, the relative deviation of the given cooling capacities from the cooling capacity measured at the temperature level of -20 °C is less than 5 per cent.</w:t>
      </w:r>
    </w:p>
    <w:p w14:paraId="19D4EE4E" w14:textId="77777777" w:rsidR="00B357A9" w:rsidRPr="00D66A02" w:rsidRDefault="00B357A9" w:rsidP="00B357A9">
      <w:pPr>
        <w:pStyle w:val="SingleTxtG"/>
        <w:rPr>
          <w:lang w:val="en-US"/>
        </w:rPr>
      </w:pPr>
      <w:r>
        <w:t>4.</w:t>
      </w:r>
      <w:r>
        <w:tab/>
        <w:t>It has been established that the similarity of the cooling capacities developed by liquefied gas refrigeration units at the various temperature levels is dependent on the technology used to build the units. On the other hand, it is possible to calculate by linear interpolation any refrigerating capacity developed by any liquefied gas refrigeration unit.</w:t>
      </w:r>
    </w:p>
    <w:p w14:paraId="18C6ECEC" w14:textId="7A33D288" w:rsidR="00B357A9" w:rsidRPr="00AA3CEA" w:rsidRDefault="00B357A9" w:rsidP="00B357A9">
      <w:pPr>
        <w:pStyle w:val="HChG"/>
        <w:rPr>
          <w:lang w:val="en-US"/>
        </w:rPr>
      </w:pPr>
      <w:r>
        <w:tab/>
        <w:t>I.</w:t>
      </w:r>
      <w:r>
        <w:tab/>
      </w:r>
      <w:r>
        <w:rPr>
          <w:bCs/>
        </w:rPr>
        <w:t>Proposal</w:t>
      </w:r>
    </w:p>
    <w:p w14:paraId="227BD142" w14:textId="3120A4DE" w:rsidR="00B357A9" w:rsidRPr="00AA3CEA" w:rsidRDefault="00B357A9" w:rsidP="00B357A9">
      <w:pPr>
        <w:pStyle w:val="SingleTxtG"/>
        <w:rPr>
          <w:lang w:val="en-US"/>
        </w:rPr>
      </w:pPr>
      <w:r>
        <w:t>5.</w:t>
      </w:r>
      <w:r>
        <w:tab/>
        <w:t xml:space="preserve">In its current version, the fourth paragraph of section 9.2.1 of Annex 1, Appendix 2 reads as follows: </w:t>
      </w:r>
      <w:bookmarkStart w:id="4" w:name="_Hlk30687072"/>
      <w:bookmarkEnd w:id="4"/>
    </w:p>
    <w:p w14:paraId="03179B4F" w14:textId="516A15D8" w:rsidR="00B357A9" w:rsidRPr="00AA3CEA" w:rsidRDefault="002F319B" w:rsidP="002F319B">
      <w:pPr>
        <w:pStyle w:val="SingleTxtG"/>
        <w:ind w:left="1701"/>
        <w:rPr>
          <w:lang w:val="en-US"/>
        </w:rPr>
      </w:pPr>
      <w:r>
        <w:t>“</w:t>
      </w:r>
      <w:r w:rsidR="00B357A9">
        <w:t>For mono-temperature liquefied gas units, only the refrigeration capacity of the regulating unit with the maximum nominal capacity evaporator will be measured. A third temperature level is added in accordance with Annex 1, Appendix 2, paragraph 4 of ATP.</w:t>
      </w:r>
      <w:r>
        <w:t>”</w:t>
      </w:r>
      <w:r w:rsidR="00B357A9">
        <w:t xml:space="preserve"> </w:t>
      </w:r>
    </w:p>
    <w:p w14:paraId="3BADE05E" w14:textId="4C619D0F" w:rsidR="00B357A9" w:rsidRPr="00AA3CEA" w:rsidRDefault="00B357A9" w:rsidP="00B357A9">
      <w:pPr>
        <w:pStyle w:val="SingleTxtG"/>
        <w:rPr>
          <w:lang w:val="en-US"/>
        </w:rPr>
      </w:pPr>
      <w:r>
        <w:t>6.</w:t>
      </w:r>
      <w:r>
        <w:tab/>
        <w:t>It is proposed to replace this paragraph with the following:</w:t>
      </w:r>
    </w:p>
    <w:p w14:paraId="1885589C" w14:textId="10FAF873" w:rsidR="00B357A9" w:rsidRPr="00AA3CEA" w:rsidRDefault="002F319B" w:rsidP="00B01B8C">
      <w:pPr>
        <w:pStyle w:val="SingleTxtG"/>
        <w:ind w:left="1701"/>
        <w:rPr>
          <w:lang w:val="en-US"/>
        </w:rPr>
      </w:pPr>
      <w:r>
        <w:t>“</w:t>
      </w:r>
      <w:r w:rsidR="00B357A9">
        <w:t>For mono-temperature liquefied gas units, only the refrigeration capacity of the regulating unit with the maximum nominal capacity evaporator will be measured. A third temperature level is added in accordance with Annex 1, Appendix 2, paragraph 4 of ATP. The cooling capacity obtained for the third temperature level may be calculated by the testing station on the basis of an interpolation based on the results obtained during tests carried out at the -20 °C and 0 °C temperature levels.</w:t>
      </w:r>
      <w:r>
        <w:t>”</w:t>
      </w:r>
    </w:p>
    <w:p w14:paraId="4EA516B6" w14:textId="77777777" w:rsidR="00B357A9" w:rsidRPr="00AA3CEA" w:rsidRDefault="00B357A9" w:rsidP="00B357A9">
      <w:pPr>
        <w:pStyle w:val="HChG"/>
        <w:rPr>
          <w:lang w:val="en-US"/>
        </w:rPr>
      </w:pPr>
      <w:r>
        <w:tab/>
        <w:t xml:space="preserve">II. </w:t>
      </w:r>
      <w:r>
        <w:tab/>
      </w:r>
      <w:r>
        <w:rPr>
          <w:bCs/>
        </w:rPr>
        <w:t>Justification</w:t>
      </w:r>
    </w:p>
    <w:p w14:paraId="2E652D3E" w14:textId="77777777" w:rsidR="00B357A9" w:rsidRPr="00D66A02" w:rsidRDefault="00B357A9" w:rsidP="00B357A9">
      <w:pPr>
        <w:pStyle w:val="SingleTxtG"/>
        <w:rPr>
          <w:lang w:val="en-US"/>
        </w:rPr>
      </w:pPr>
      <w:r>
        <w:t>7.</w:t>
      </w:r>
      <w:r>
        <w:tab/>
        <w:t>It is useful to propose a test methodology for liquefied gas refrigeration units optimized for this kind of unit. The third temperature level does not provide any additional information on whether or not the units are working properly.</w:t>
      </w:r>
    </w:p>
    <w:p w14:paraId="7A85774A" w14:textId="77777777" w:rsidR="00B357A9" w:rsidRPr="00D66A02" w:rsidRDefault="00B357A9" w:rsidP="00B357A9">
      <w:pPr>
        <w:pStyle w:val="HChG"/>
        <w:rPr>
          <w:lang w:val="en-US"/>
        </w:rPr>
      </w:pPr>
      <w:r>
        <w:tab/>
        <w:t>III.</w:t>
      </w:r>
      <w:r>
        <w:tab/>
      </w:r>
      <w:r>
        <w:rPr>
          <w:bCs/>
        </w:rPr>
        <w:t>Costs</w:t>
      </w:r>
    </w:p>
    <w:p w14:paraId="6D3E54EE" w14:textId="77777777" w:rsidR="00B357A9" w:rsidRPr="00D66A02" w:rsidRDefault="00B357A9" w:rsidP="00B357A9">
      <w:pPr>
        <w:pStyle w:val="SingleTxtG"/>
        <w:rPr>
          <w:lang w:val="en-US"/>
        </w:rPr>
      </w:pPr>
      <w:r>
        <w:t>8.</w:t>
      </w:r>
      <w:r>
        <w:tab/>
        <w:t>There are no additional costs for the official ATP test stations or even for manufacturers.</w:t>
      </w:r>
    </w:p>
    <w:p w14:paraId="0B4D22D4" w14:textId="77777777" w:rsidR="00B357A9" w:rsidRPr="00D66A02" w:rsidRDefault="00B357A9" w:rsidP="00B357A9">
      <w:pPr>
        <w:pStyle w:val="HChG"/>
        <w:rPr>
          <w:lang w:val="en-US"/>
        </w:rPr>
      </w:pPr>
      <w:r>
        <w:tab/>
        <w:t>IV.</w:t>
      </w:r>
      <w:r>
        <w:tab/>
      </w:r>
      <w:r>
        <w:rPr>
          <w:bCs/>
        </w:rPr>
        <w:t>Feasibility</w:t>
      </w:r>
    </w:p>
    <w:p w14:paraId="293DD5F1" w14:textId="77777777" w:rsidR="00B357A9" w:rsidRPr="00D66A02" w:rsidRDefault="00B357A9" w:rsidP="00B357A9">
      <w:pPr>
        <w:pStyle w:val="SingleTxtG"/>
        <w:rPr>
          <w:lang w:val="en-US"/>
        </w:rPr>
      </w:pPr>
      <w:r>
        <w:t>9.</w:t>
      </w:r>
      <w:r>
        <w:tab/>
        <w:t>There are no additional requirements for official ATP test stations.</w:t>
      </w:r>
    </w:p>
    <w:p w14:paraId="4445377F" w14:textId="77777777" w:rsidR="00B357A9" w:rsidRPr="00D66A02" w:rsidRDefault="00B357A9" w:rsidP="00B357A9">
      <w:pPr>
        <w:pStyle w:val="HChG"/>
        <w:rPr>
          <w:lang w:val="en-US"/>
        </w:rPr>
      </w:pPr>
      <w:r>
        <w:tab/>
        <w:t>V.</w:t>
      </w:r>
      <w:r>
        <w:tab/>
      </w:r>
      <w:r>
        <w:rPr>
          <w:bCs/>
        </w:rPr>
        <w:t>Enforceability</w:t>
      </w:r>
    </w:p>
    <w:p w14:paraId="2E6EDEC7" w14:textId="77777777" w:rsidR="00B357A9" w:rsidRPr="00D66A02" w:rsidRDefault="00B357A9" w:rsidP="00B357A9">
      <w:pPr>
        <w:pStyle w:val="SingleTxtG"/>
        <w:rPr>
          <w:lang w:val="en-US"/>
        </w:rPr>
      </w:pPr>
      <w:r>
        <w:t>10.</w:t>
      </w:r>
      <w:r>
        <w:tab/>
        <w:t>No problems are foreseen in implementing the proposals.</w:t>
      </w:r>
    </w:p>
    <w:p w14:paraId="688D5700" w14:textId="57D31C11" w:rsidR="007268F9" w:rsidRPr="00B357A9" w:rsidRDefault="00B357A9" w:rsidP="00B01B8C">
      <w:pPr>
        <w:spacing w:before="240"/>
        <w:jc w:val="center"/>
        <w:rPr>
          <w:lang w:val="en-US"/>
        </w:rPr>
      </w:pPr>
      <w:r w:rsidRPr="00D66A02">
        <w:rPr>
          <w:u w:val="single"/>
          <w:lang w:val="en-US"/>
        </w:rPr>
        <w:tab/>
      </w:r>
      <w:r w:rsidRPr="00D66A02">
        <w:rPr>
          <w:u w:val="single"/>
          <w:lang w:val="en-US"/>
        </w:rPr>
        <w:tab/>
      </w:r>
      <w:r w:rsidRPr="00D66A02">
        <w:rPr>
          <w:u w:val="single"/>
          <w:lang w:val="en-US"/>
        </w:rPr>
        <w:tab/>
      </w:r>
    </w:p>
    <w:sectPr w:rsidR="007268F9" w:rsidRPr="00B357A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5AC38" w14:textId="77777777" w:rsidR="00B245A8" w:rsidRPr="00FB1744" w:rsidRDefault="00B245A8" w:rsidP="00FB1744">
      <w:pPr>
        <w:pStyle w:val="Footer"/>
      </w:pPr>
    </w:p>
  </w:endnote>
  <w:endnote w:type="continuationSeparator" w:id="0">
    <w:p w14:paraId="636F6EBF" w14:textId="77777777" w:rsidR="00B245A8" w:rsidRPr="00FB1744" w:rsidRDefault="00B245A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B401" w14:textId="77777777" w:rsidR="007B5A2D" w:rsidRDefault="007B5A2D" w:rsidP="007B5A2D">
    <w:pPr>
      <w:pStyle w:val="Footer"/>
      <w:tabs>
        <w:tab w:val="right" w:pos="9638"/>
      </w:tabs>
    </w:pPr>
    <w:r w:rsidRPr="007B5A2D">
      <w:rPr>
        <w:b/>
        <w:bCs/>
        <w:sz w:val="18"/>
      </w:rPr>
      <w:fldChar w:fldCharType="begin"/>
    </w:r>
    <w:r w:rsidRPr="007B5A2D">
      <w:rPr>
        <w:b/>
        <w:bCs/>
        <w:sz w:val="18"/>
      </w:rPr>
      <w:instrText xml:space="preserve"> PAGE  \* MERGEFORMAT </w:instrText>
    </w:r>
    <w:r w:rsidRPr="007B5A2D">
      <w:rPr>
        <w:b/>
        <w:bCs/>
        <w:sz w:val="18"/>
      </w:rPr>
      <w:fldChar w:fldCharType="separate"/>
    </w:r>
    <w:r w:rsidRPr="007B5A2D">
      <w:rPr>
        <w:b/>
        <w:bCs/>
        <w:noProof/>
        <w:sz w:val="18"/>
      </w:rPr>
      <w:t>2</w:t>
    </w:r>
    <w:r w:rsidRPr="007B5A2D">
      <w:rPr>
        <w:b/>
        <w:bCs/>
        <w:sz w:val="18"/>
      </w:rPr>
      <w:fldChar w:fldCharType="end"/>
    </w:r>
    <w:r>
      <w:tab/>
      <w:t>GE.21-10961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C608" w14:textId="77777777" w:rsidR="007B5A2D" w:rsidRDefault="007B5A2D" w:rsidP="007B5A2D">
    <w:pPr>
      <w:pStyle w:val="Footer"/>
      <w:tabs>
        <w:tab w:val="right" w:pos="9638"/>
      </w:tabs>
    </w:pPr>
    <w:r>
      <w:t>GE.21-10961</w:t>
    </w:r>
    <w:r>
      <w:tab/>
    </w:r>
    <w:r w:rsidRPr="007B5A2D">
      <w:rPr>
        <w:b/>
        <w:bCs/>
        <w:sz w:val="18"/>
      </w:rPr>
      <w:fldChar w:fldCharType="begin"/>
    </w:r>
    <w:r w:rsidRPr="007B5A2D">
      <w:rPr>
        <w:b/>
        <w:bCs/>
        <w:sz w:val="18"/>
      </w:rPr>
      <w:instrText xml:space="preserve"> PAGE  \* MERGEFORMAT </w:instrText>
    </w:r>
    <w:r w:rsidRPr="007B5A2D">
      <w:rPr>
        <w:b/>
        <w:bCs/>
        <w:sz w:val="18"/>
      </w:rPr>
      <w:fldChar w:fldCharType="separate"/>
    </w:r>
    <w:r w:rsidRPr="007B5A2D">
      <w:rPr>
        <w:b/>
        <w:bCs/>
        <w:noProof/>
        <w:sz w:val="18"/>
      </w:rPr>
      <w:t>3</w:t>
    </w:r>
    <w:r w:rsidRPr="007B5A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CEF5" w14:textId="77777777" w:rsidR="00C448F7" w:rsidRDefault="007B5A2D">
    <w:pPr>
      <w:pStyle w:val="Footer"/>
      <w:rPr>
        <w:sz w:val="20"/>
      </w:rPr>
    </w:pPr>
    <w:bookmarkStart w:id="5" w:name="_GoBack"/>
    <w:bookmarkEnd w:id="5"/>
    <w:r>
      <w:rPr>
        <w:noProof/>
        <w:lang w:val="en-US"/>
      </w:rPr>
      <w:drawing>
        <wp:anchor distT="0" distB="0" distL="114300" distR="114300" simplePos="0" relativeHeight="251659264" behindDoc="1" locked="1" layoutInCell="1" allowOverlap="1" wp14:anchorId="526D506F" wp14:editId="46B3A6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8261E7" w14:textId="09D0F13E" w:rsidR="007B5A2D" w:rsidRPr="007B5A2D" w:rsidRDefault="007B5A2D" w:rsidP="007B5A2D">
    <w:pPr>
      <w:pStyle w:val="Footer"/>
      <w:tabs>
        <w:tab w:val="right" w:pos="7370"/>
      </w:tabs>
      <w:suppressAutoHyphens/>
      <w:rPr>
        <w:sz w:val="20"/>
      </w:rPr>
    </w:pPr>
    <w:r>
      <w:rPr>
        <w:sz w:val="20"/>
      </w:rPr>
      <w:t>GE.21-10961  (E)</w:t>
    </w:r>
    <w:r>
      <w:rPr>
        <w:noProof/>
        <w:sz w:val="20"/>
      </w:rPr>
      <w:drawing>
        <wp:anchor distT="0" distB="0" distL="114300" distR="114300" simplePos="0" relativeHeight="251660288" behindDoc="0" locked="0" layoutInCell="1" allowOverlap="1" wp14:anchorId="750E8B25" wp14:editId="49FD092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3F">
      <w:rPr>
        <w:sz w:val="20"/>
      </w:rPr>
      <w:t xml:space="preserve">    030921    030921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2CA3" w14:textId="77777777" w:rsidR="00B245A8" w:rsidRPr="00FB1744" w:rsidRDefault="00B245A8" w:rsidP="00FB1744">
      <w:pPr>
        <w:tabs>
          <w:tab w:val="right" w:pos="2155"/>
        </w:tabs>
        <w:spacing w:after="80"/>
        <w:ind w:left="680"/>
      </w:pPr>
      <w:r>
        <w:rPr>
          <w:u w:val="single"/>
        </w:rPr>
        <w:tab/>
      </w:r>
    </w:p>
  </w:footnote>
  <w:footnote w:type="continuationSeparator" w:id="0">
    <w:p w14:paraId="1EF009B9" w14:textId="77777777" w:rsidR="00B245A8" w:rsidRPr="00FB1744" w:rsidRDefault="00B245A8" w:rsidP="00FB1744">
      <w:pPr>
        <w:tabs>
          <w:tab w:val="right" w:pos="2155"/>
        </w:tabs>
        <w:spacing w:after="80"/>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9686" w14:textId="77777777" w:rsidR="007B5A2D" w:rsidRDefault="007B5A2D" w:rsidP="007B5A2D">
    <w:pPr>
      <w:pStyle w:val="Header"/>
    </w:pPr>
    <w:r>
      <w:t>ECE/TRANS/WP.11/2021/8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D685" w14:textId="77777777" w:rsidR="007B5A2D" w:rsidRDefault="007B5A2D" w:rsidP="007B5A2D">
    <w:pPr>
      <w:pStyle w:val="Header"/>
      <w:jc w:val="right"/>
    </w:pPr>
    <w:r>
      <w:t>ECE/TRANS/WP.11/2021/8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7"/>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9">
    <w:abstractNumId w:val="3"/>
  </w:num>
  <w:num w:numId="10">
    <w:abstractNumId w:val="2"/>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245A8"/>
    <w:rsid w:val="00003AF1"/>
    <w:rsid w:val="00046E92"/>
    <w:rsid w:val="000D1B89"/>
    <w:rsid w:val="000F6E29"/>
    <w:rsid w:val="00105FB2"/>
    <w:rsid w:val="001170DC"/>
    <w:rsid w:val="00247E2C"/>
    <w:rsid w:val="002D6C53"/>
    <w:rsid w:val="002F319B"/>
    <w:rsid w:val="002F5595"/>
    <w:rsid w:val="00313749"/>
    <w:rsid w:val="00334F6A"/>
    <w:rsid w:val="00342AC8"/>
    <w:rsid w:val="003B4550"/>
    <w:rsid w:val="0043448D"/>
    <w:rsid w:val="00461253"/>
    <w:rsid w:val="0046293F"/>
    <w:rsid w:val="005042C2"/>
    <w:rsid w:val="00506C12"/>
    <w:rsid w:val="0056599A"/>
    <w:rsid w:val="00585AE1"/>
    <w:rsid w:val="00587690"/>
    <w:rsid w:val="00671529"/>
    <w:rsid w:val="006A5598"/>
    <w:rsid w:val="006F16BF"/>
    <w:rsid w:val="00717266"/>
    <w:rsid w:val="007268F9"/>
    <w:rsid w:val="007B5A2D"/>
    <w:rsid w:val="007C52B0"/>
    <w:rsid w:val="009411B4"/>
    <w:rsid w:val="009D0139"/>
    <w:rsid w:val="009F5CDC"/>
    <w:rsid w:val="00A429CD"/>
    <w:rsid w:val="00A775CF"/>
    <w:rsid w:val="00AB3C7E"/>
    <w:rsid w:val="00B01B8C"/>
    <w:rsid w:val="00B06045"/>
    <w:rsid w:val="00B245A8"/>
    <w:rsid w:val="00B357A9"/>
    <w:rsid w:val="00C35A27"/>
    <w:rsid w:val="00C448F7"/>
    <w:rsid w:val="00C649D4"/>
    <w:rsid w:val="00DB37FC"/>
    <w:rsid w:val="00E02C2B"/>
    <w:rsid w:val="00E16CA6"/>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B537B"/>
  <w15:docId w15:val="{9F10C69B-5ADC-4CAD-9270-C9171480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A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357A9"/>
    <w:pPr>
      <w:spacing w:after="0"/>
      <w:ind w:right="0"/>
      <w:jc w:val="left"/>
      <w:outlineLvl w:val="0"/>
    </w:pPr>
  </w:style>
  <w:style w:type="paragraph" w:styleId="Heading2">
    <w:name w:val="heading 2"/>
    <w:basedOn w:val="Normal"/>
    <w:next w:val="Normal"/>
    <w:link w:val="Heading2Char"/>
    <w:semiHidden/>
    <w:rsid w:val="00B357A9"/>
    <w:pPr>
      <w:outlineLvl w:val="1"/>
    </w:pPr>
  </w:style>
  <w:style w:type="paragraph" w:styleId="Heading3">
    <w:name w:val="heading 3"/>
    <w:basedOn w:val="Normal"/>
    <w:next w:val="Normal"/>
    <w:link w:val="Heading3Char"/>
    <w:semiHidden/>
    <w:rsid w:val="00B357A9"/>
    <w:pPr>
      <w:outlineLvl w:val="2"/>
    </w:pPr>
  </w:style>
  <w:style w:type="paragraph" w:styleId="Heading4">
    <w:name w:val="heading 4"/>
    <w:basedOn w:val="Normal"/>
    <w:next w:val="Normal"/>
    <w:link w:val="Heading4Char"/>
    <w:semiHidden/>
    <w:rsid w:val="00B357A9"/>
    <w:pPr>
      <w:outlineLvl w:val="3"/>
    </w:pPr>
  </w:style>
  <w:style w:type="paragraph" w:styleId="Heading5">
    <w:name w:val="heading 5"/>
    <w:basedOn w:val="Normal"/>
    <w:next w:val="Normal"/>
    <w:link w:val="Heading5Char"/>
    <w:semiHidden/>
    <w:rsid w:val="00B357A9"/>
    <w:pPr>
      <w:outlineLvl w:val="4"/>
    </w:pPr>
  </w:style>
  <w:style w:type="paragraph" w:styleId="Heading6">
    <w:name w:val="heading 6"/>
    <w:basedOn w:val="Normal"/>
    <w:next w:val="Normal"/>
    <w:link w:val="Heading6Char"/>
    <w:semiHidden/>
    <w:rsid w:val="00B357A9"/>
    <w:pPr>
      <w:outlineLvl w:val="5"/>
    </w:pPr>
  </w:style>
  <w:style w:type="paragraph" w:styleId="Heading7">
    <w:name w:val="heading 7"/>
    <w:basedOn w:val="Normal"/>
    <w:next w:val="Normal"/>
    <w:link w:val="Heading7Char"/>
    <w:semiHidden/>
    <w:rsid w:val="00B357A9"/>
    <w:pPr>
      <w:outlineLvl w:val="6"/>
    </w:pPr>
  </w:style>
  <w:style w:type="paragraph" w:styleId="Heading8">
    <w:name w:val="heading 8"/>
    <w:basedOn w:val="Normal"/>
    <w:next w:val="Normal"/>
    <w:link w:val="Heading8Char"/>
    <w:semiHidden/>
    <w:rsid w:val="00B357A9"/>
    <w:pPr>
      <w:outlineLvl w:val="7"/>
    </w:pPr>
  </w:style>
  <w:style w:type="paragraph" w:styleId="Heading9">
    <w:name w:val="heading 9"/>
    <w:basedOn w:val="Normal"/>
    <w:next w:val="Normal"/>
    <w:link w:val="Heading9Char"/>
    <w:semiHidden/>
    <w:rsid w:val="00B357A9"/>
    <w:pPr>
      <w:outlineLvl w:val="8"/>
    </w:pPr>
  </w:style>
  <w:style w:type="character" w:default="1" w:styleId="DefaultParagraphFont">
    <w:name w:val="Default Paragraph Font"/>
    <w:uiPriority w:val="1"/>
    <w:semiHidden/>
    <w:unhideWhenUsed/>
    <w:rsid w:val="00B357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7A9"/>
  </w:style>
  <w:style w:type="paragraph" w:styleId="Header">
    <w:name w:val="header"/>
    <w:aliases w:val="6_G"/>
    <w:basedOn w:val="Normal"/>
    <w:link w:val="HeaderChar"/>
    <w:rsid w:val="00B357A9"/>
    <w:pPr>
      <w:pBdr>
        <w:bottom w:val="single" w:sz="4" w:space="4" w:color="auto"/>
      </w:pBdr>
    </w:pPr>
    <w:rPr>
      <w:b/>
      <w:sz w:val="18"/>
    </w:rPr>
  </w:style>
  <w:style w:type="character" w:customStyle="1" w:styleId="HeaderChar">
    <w:name w:val="Header Char"/>
    <w:aliases w:val="6_G Char"/>
    <w:basedOn w:val="DefaultParagraphFont"/>
    <w:link w:val="Header"/>
    <w:rsid w:val="00B357A9"/>
    <w:rPr>
      <w:rFonts w:ascii="Times New Roman" w:hAnsi="Times New Roman" w:cs="Times New Roman"/>
      <w:b/>
      <w:sz w:val="18"/>
      <w:szCs w:val="20"/>
    </w:rPr>
  </w:style>
  <w:style w:type="paragraph" w:styleId="Footer">
    <w:name w:val="footer"/>
    <w:aliases w:val="3_G"/>
    <w:basedOn w:val="Normal"/>
    <w:link w:val="FooterChar"/>
    <w:rsid w:val="00B357A9"/>
    <w:rPr>
      <w:sz w:val="16"/>
    </w:rPr>
  </w:style>
  <w:style w:type="character" w:customStyle="1" w:styleId="FooterChar">
    <w:name w:val="Footer Char"/>
    <w:aliases w:val="3_G Char"/>
    <w:basedOn w:val="DefaultParagraphFont"/>
    <w:link w:val="Footer"/>
    <w:rsid w:val="00B357A9"/>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357A9"/>
    <w:pPr>
      <w:tabs>
        <w:tab w:val="left" w:pos="1701"/>
        <w:tab w:val="left" w:pos="2268"/>
      </w:tabs>
      <w:spacing w:after="120" w:line="240" w:lineRule="atLeast"/>
      <w:ind w:left="1134" w:right="1134"/>
      <w:jc w:val="both"/>
    </w:pPr>
  </w:style>
  <w:style w:type="paragraph" w:customStyle="1" w:styleId="SLG">
    <w:name w:val="__S_L_G"/>
    <w:basedOn w:val="Normal"/>
    <w:next w:val="Normal"/>
    <w:rsid w:val="00B357A9"/>
    <w:pPr>
      <w:keepNext/>
      <w:keepLines/>
      <w:spacing w:before="240" w:after="240" w:line="580" w:lineRule="exact"/>
      <w:ind w:left="1134" w:right="1134"/>
    </w:pPr>
    <w:rPr>
      <w:b/>
      <w:sz w:val="56"/>
    </w:rPr>
  </w:style>
  <w:style w:type="paragraph" w:customStyle="1" w:styleId="SMG">
    <w:name w:val="__S_M_G"/>
    <w:basedOn w:val="Normal"/>
    <w:next w:val="Normal"/>
    <w:rsid w:val="00B357A9"/>
    <w:pPr>
      <w:keepNext/>
      <w:keepLines/>
      <w:spacing w:before="240" w:after="240" w:line="420" w:lineRule="exact"/>
      <w:ind w:left="1134" w:right="1134"/>
    </w:pPr>
    <w:rPr>
      <w:b/>
      <w:sz w:val="40"/>
    </w:rPr>
  </w:style>
  <w:style w:type="paragraph" w:customStyle="1" w:styleId="SSG">
    <w:name w:val="__S_S_G"/>
    <w:basedOn w:val="Normal"/>
    <w:next w:val="Normal"/>
    <w:rsid w:val="00B357A9"/>
    <w:pPr>
      <w:keepNext/>
      <w:keepLines/>
      <w:spacing w:before="240" w:after="240" w:line="300" w:lineRule="exact"/>
      <w:ind w:left="1134" w:right="1134"/>
    </w:pPr>
    <w:rPr>
      <w:b/>
      <w:sz w:val="28"/>
    </w:rPr>
  </w:style>
  <w:style w:type="paragraph" w:customStyle="1" w:styleId="XLargeG">
    <w:name w:val="__XLarge_G"/>
    <w:basedOn w:val="Normal"/>
    <w:next w:val="Normal"/>
    <w:rsid w:val="00B357A9"/>
    <w:pPr>
      <w:keepNext/>
      <w:keepLines/>
      <w:spacing w:before="240" w:after="240" w:line="420" w:lineRule="exact"/>
      <w:ind w:left="1134" w:right="1134"/>
    </w:pPr>
    <w:rPr>
      <w:b/>
      <w:sz w:val="40"/>
    </w:rPr>
  </w:style>
  <w:style w:type="paragraph" w:customStyle="1" w:styleId="Bullet1G">
    <w:name w:val="_Bullet 1_G"/>
    <w:basedOn w:val="Normal"/>
    <w:qFormat/>
    <w:rsid w:val="00B357A9"/>
    <w:pPr>
      <w:numPr>
        <w:numId w:val="9"/>
      </w:numPr>
      <w:spacing w:after="120"/>
      <w:ind w:right="1134"/>
      <w:jc w:val="both"/>
    </w:pPr>
  </w:style>
  <w:style w:type="paragraph" w:customStyle="1" w:styleId="Bullet2G">
    <w:name w:val="_Bullet 2_G"/>
    <w:basedOn w:val="Normal"/>
    <w:qFormat/>
    <w:rsid w:val="00B357A9"/>
    <w:pPr>
      <w:numPr>
        <w:numId w:val="10"/>
      </w:numPr>
      <w:spacing w:after="120"/>
      <w:ind w:right="1134"/>
      <w:jc w:val="both"/>
    </w:pPr>
  </w:style>
  <w:style w:type="paragraph" w:customStyle="1" w:styleId="ParaNoG">
    <w:name w:val="_ParaNo._G"/>
    <w:basedOn w:val="SingleTxtG"/>
    <w:rsid w:val="00B357A9"/>
    <w:pPr>
      <w:numPr>
        <w:numId w:val="11"/>
      </w:numPr>
    </w:pPr>
  </w:style>
  <w:style w:type="numbering" w:styleId="111111">
    <w:name w:val="Outline List 2"/>
    <w:basedOn w:val="NoList"/>
    <w:semiHidden/>
    <w:rsid w:val="00B357A9"/>
    <w:pPr>
      <w:numPr>
        <w:numId w:val="12"/>
      </w:numPr>
    </w:pPr>
  </w:style>
  <w:style w:type="numbering" w:styleId="1ai">
    <w:name w:val="Outline List 1"/>
    <w:basedOn w:val="NoList"/>
    <w:semiHidden/>
    <w:rsid w:val="00B357A9"/>
    <w:pPr>
      <w:numPr>
        <w:numId w:val="13"/>
      </w:numPr>
    </w:pPr>
  </w:style>
  <w:style w:type="character" w:styleId="EndnoteReference">
    <w:name w:val="endnote reference"/>
    <w:aliases w:val="1_G"/>
    <w:rsid w:val="00B357A9"/>
    <w:rPr>
      <w:rFonts w:ascii="Times New Roman" w:hAnsi="Times New Roman"/>
      <w:sz w:val="18"/>
      <w:vertAlign w:val="superscript"/>
    </w:rPr>
  </w:style>
  <w:style w:type="paragraph" w:styleId="FootnoteText">
    <w:name w:val="footnote text"/>
    <w:aliases w:val="5_G"/>
    <w:basedOn w:val="Normal"/>
    <w:link w:val="FootnoteTextChar"/>
    <w:rsid w:val="00B357A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357A9"/>
    <w:rPr>
      <w:rFonts w:ascii="Times New Roman" w:hAnsi="Times New Roman" w:cs="Times New Roman"/>
      <w:sz w:val="18"/>
      <w:szCs w:val="20"/>
    </w:rPr>
  </w:style>
  <w:style w:type="paragraph" w:styleId="EndnoteText">
    <w:name w:val="endnote text"/>
    <w:aliases w:val="2_G"/>
    <w:basedOn w:val="FootnoteText"/>
    <w:link w:val="EndnoteTextChar"/>
    <w:rsid w:val="00B357A9"/>
  </w:style>
  <w:style w:type="character" w:customStyle="1" w:styleId="EndnoteTextChar">
    <w:name w:val="Endnote Text Char"/>
    <w:aliases w:val="2_G Char"/>
    <w:basedOn w:val="DefaultParagraphFont"/>
    <w:link w:val="EndnoteText"/>
    <w:rsid w:val="00B357A9"/>
    <w:rPr>
      <w:rFonts w:ascii="Times New Roman" w:hAnsi="Times New Roman" w:cs="Times New Roman"/>
      <w:sz w:val="18"/>
      <w:szCs w:val="20"/>
    </w:rPr>
  </w:style>
  <w:style w:type="character" w:styleId="FootnoteReference">
    <w:name w:val="footnote reference"/>
    <w:aliases w:val="4_G"/>
    <w:rsid w:val="00B357A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357A9"/>
    <w:rPr>
      <w:rFonts w:ascii="Times New Roman" w:hAnsi="Times New Roman" w:cs="Times New Roman"/>
      <w:sz w:val="20"/>
      <w:szCs w:val="20"/>
    </w:rPr>
  </w:style>
  <w:style w:type="character" w:customStyle="1" w:styleId="Heading2Char">
    <w:name w:val="Heading 2 Char"/>
    <w:basedOn w:val="DefaultParagraphFont"/>
    <w:link w:val="Heading2"/>
    <w:semiHidden/>
    <w:rsid w:val="00B357A9"/>
    <w:rPr>
      <w:rFonts w:ascii="Times New Roman" w:hAnsi="Times New Roman" w:cs="Times New Roman"/>
      <w:sz w:val="20"/>
      <w:szCs w:val="20"/>
    </w:rPr>
  </w:style>
  <w:style w:type="character" w:customStyle="1" w:styleId="Heading3Char">
    <w:name w:val="Heading 3 Char"/>
    <w:basedOn w:val="DefaultParagraphFont"/>
    <w:link w:val="Heading3"/>
    <w:semiHidden/>
    <w:rsid w:val="00B357A9"/>
    <w:rPr>
      <w:rFonts w:ascii="Times New Roman" w:hAnsi="Times New Roman" w:cs="Times New Roman"/>
      <w:sz w:val="20"/>
      <w:szCs w:val="20"/>
    </w:rPr>
  </w:style>
  <w:style w:type="character" w:customStyle="1" w:styleId="Heading4Char">
    <w:name w:val="Heading 4 Char"/>
    <w:basedOn w:val="DefaultParagraphFont"/>
    <w:link w:val="Heading4"/>
    <w:semiHidden/>
    <w:rsid w:val="00B357A9"/>
    <w:rPr>
      <w:rFonts w:ascii="Times New Roman" w:hAnsi="Times New Roman" w:cs="Times New Roman"/>
      <w:sz w:val="20"/>
      <w:szCs w:val="20"/>
    </w:rPr>
  </w:style>
  <w:style w:type="character" w:customStyle="1" w:styleId="Heading5Char">
    <w:name w:val="Heading 5 Char"/>
    <w:basedOn w:val="DefaultParagraphFont"/>
    <w:link w:val="Heading5"/>
    <w:semiHidden/>
    <w:rsid w:val="00B357A9"/>
    <w:rPr>
      <w:rFonts w:ascii="Times New Roman" w:hAnsi="Times New Roman" w:cs="Times New Roman"/>
      <w:sz w:val="20"/>
      <w:szCs w:val="20"/>
    </w:rPr>
  </w:style>
  <w:style w:type="character" w:customStyle="1" w:styleId="Heading6Char">
    <w:name w:val="Heading 6 Char"/>
    <w:basedOn w:val="DefaultParagraphFont"/>
    <w:link w:val="Heading6"/>
    <w:semiHidden/>
    <w:rsid w:val="00B357A9"/>
    <w:rPr>
      <w:rFonts w:ascii="Times New Roman" w:hAnsi="Times New Roman" w:cs="Times New Roman"/>
      <w:sz w:val="20"/>
      <w:szCs w:val="20"/>
    </w:rPr>
  </w:style>
  <w:style w:type="character" w:customStyle="1" w:styleId="Heading7Char">
    <w:name w:val="Heading 7 Char"/>
    <w:basedOn w:val="DefaultParagraphFont"/>
    <w:link w:val="Heading7"/>
    <w:semiHidden/>
    <w:rsid w:val="00B357A9"/>
    <w:rPr>
      <w:rFonts w:ascii="Times New Roman" w:hAnsi="Times New Roman" w:cs="Times New Roman"/>
      <w:sz w:val="20"/>
      <w:szCs w:val="20"/>
    </w:rPr>
  </w:style>
  <w:style w:type="character" w:customStyle="1" w:styleId="Heading8Char">
    <w:name w:val="Heading 8 Char"/>
    <w:basedOn w:val="DefaultParagraphFont"/>
    <w:link w:val="Heading8"/>
    <w:semiHidden/>
    <w:rsid w:val="00B357A9"/>
    <w:rPr>
      <w:rFonts w:ascii="Times New Roman" w:hAnsi="Times New Roman" w:cs="Times New Roman"/>
      <w:sz w:val="20"/>
      <w:szCs w:val="20"/>
    </w:rPr>
  </w:style>
  <w:style w:type="character" w:customStyle="1" w:styleId="Heading9Char">
    <w:name w:val="Heading 9 Char"/>
    <w:basedOn w:val="DefaultParagraphFont"/>
    <w:link w:val="Heading9"/>
    <w:semiHidden/>
    <w:rsid w:val="00B357A9"/>
    <w:rPr>
      <w:rFonts w:ascii="Times New Roman" w:hAnsi="Times New Roman" w:cs="Times New Roman"/>
      <w:sz w:val="20"/>
      <w:szCs w:val="20"/>
    </w:rPr>
  </w:style>
  <w:style w:type="character" w:styleId="PageNumber">
    <w:name w:val="page number"/>
    <w:aliases w:val="7_G"/>
    <w:semiHidden/>
    <w:rsid w:val="00B357A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357A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7A9"/>
    <w:rPr>
      <w:rFonts w:ascii="Tahoma" w:hAnsi="Tahoma" w:cs="Tahoma"/>
      <w:sz w:val="16"/>
      <w:szCs w:val="16"/>
    </w:rPr>
  </w:style>
  <w:style w:type="character" w:customStyle="1" w:styleId="BalloonTextChar">
    <w:name w:val="Balloon Text Char"/>
    <w:basedOn w:val="DefaultParagraphFont"/>
    <w:link w:val="BalloonText"/>
    <w:uiPriority w:val="99"/>
    <w:semiHidden/>
    <w:rsid w:val="00B357A9"/>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B357A9"/>
    <w:rPr>
      <w:rFonts w:ascii="Times New Roman" w:eastAsia="Times New Roman" w:hAnsi="Times New Roman" w:cs="Times New Roman"/>
      <w:b/>
      <w:sz w:val="28"/>
      <w:szCs w:val="20"/>
      <w:lang w:eastAsia="en-US"/>
    </w:rPr>
  </w:style>
  <w:style w:type="paragraph" w:customStyle="1" w:styleId="Standard">
    <w:name w:val="Standard"/>
    <w:rsid w:val="00B357A9"/>
    <w:pPr>
      <w:suppressAutoHyphens/>
      <w:autoSpaceDN w:val="0"/>
      <w:snapToGrid w:val="0"/>
      <w:spacing w:after="0" w:line="240" w:lineRule="atLeast"/>
    </w:pPr>
    <w:rPr>
      <w:rFonts w:ascii="Times New Roman" w:eastAsia="Times New Roman" w:hAnsi="Times New Roman" w:cs="Times New Roman"/>
      <w:kern w:val="3"/>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Pages>
  <Words>660</Words>
  <Characters>3555</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ECE/TRANS/WP.11/2021/8</vt:lpstr>
    </vt:vector>
  </TitlesOfParts>
  <Company>DCM</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ECE/TRANS/WP.11/2021/8</dc:title>
  <dc:subject>2110961</dc:subject>
  <dc:creator>AVT</dc:creator>
  <cp:keywords/>
  <dc:description/>
  <cp:lastModifiedBy>Anni Vi Tirol</cp:lastModifiedBy>
  <cp:revision>2</cp:revision>
  <dcterms:created xsi:type="dcterms:W3CDTF">2021-09-03T14:45:00Z</dcterms:created>
  <dcterms:modified xsi:type="dcterms:W3CDTF">2021-09-03T14:45:00Z</dcterms:modified>
</cp:coreProperties>
</file>