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0C41886" w14:textId="77777777" w:rsidTr="005316B0">
        <w:trPr>
          <w:trHeight w:hRule="exact" w:val="851"/>
        </w:trPr>
        <w:tc>
          <w:tcPr>
            <w:tcW w:w="1276" w:type="dxa"/>
            <w:tcBorders>
              <w:bottom w:val="single" w:sz="4" w:space="0" w:color="auto"/>
            </w:tcBorders>
          </w:tcPr>
          <w:p w14:paraId="2476C027" w14:textId="77777777" w:rsidR="001433FD" w:rsidRPr="00DB58B5" w:rsidRDefault="001433FD" w:rsidP="0001207F"/>
        </w:tc>
        <w:tc>
          <w:tcPr>
            <w:tcW w:w="2268" w:type="dxa"/>
            <w:tcBorders>
              <w:bottom w:val="single" w:sz="4" w:space="0" w:color="auto"/>
            </w:tcBorders>
            <w:vAlign w:val="bottom"/>
          </w:tcPr>
          <w:p w14:paraId="7AB64FB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1C03A1" w14:textId="033059C3" w:rsidR="001433FD" w:rsidRPr="00E7363C" w:rsidRDefault="00E7363C" w:rsidP="00E7363C">
            <w:pPr>
              <w:jc w:val="right"/>
            </w:pPr>
            <w:r w:rsidRPr="00E7363C">
              <w:rPr>
                <w:sz w:val="40"/>
              </w:rPr>
              <w:t>ECE</w:t>
            </w:r>
            <w:r>
              <w:t>/TRANS/WP.11/2021/7</w:t>
            </w:r>
          </w:p>
        </w:tc>
      </w:tr>
      <w:tr w:rsidR="001433FD" w:rsidRPr="00DB58B5" w14:paraId="25E03549" w14:textId="77777777" w:rsidTr="007D3236">
        <w:trPr>
          <w:trHeight w:hRule="exact" w:val="2835"/>
        </w:trPr>
        <w:tc>
          <w:tcPr>
            <w:tcW w:w="1276" w:type="dxa"/>
            <w:tcBorders>
              <w:top w:val="single" w:sz="4" w:space="0" w:color="auto"/>
              <w:bottom w:val="single" w:sz="12" w:space="0" w:color="auto"/>
            </w:tcBorders>
          </w:tcPr>
          <w:p w14:paraId="6DED88C5" w14:textId="77777777" w:rsidR="001433FD" w:rsidRPr="00DB58B5" w:rsidRDefault="001433FD" w:rsidP="007D3236">
            <w:pPr>
              <w:spacing w:before="120"/>
              <w:jc w:val="center"/>
            </w:pPr>
            <w:r>
              <w:rPr>
                <w:noProof/>
                <w:lang w:eastAsia="fr-CH"/>
              </w:rPr>
              <w:drawing>
                <wp:inline distT="0" distB="0" distL="0" distR="0" wp14:anchorId="4742187C" wp14:editId="4DB22FC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A4E15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545C7" w14:textId="77777777" w:rsidR="0001207F" w:rsidRDefault="002009EC" w:rsidP="002009EC">
            <w:pPr>
              <w:spacing w:before="240" w:line="240" w:lineRule="exact"/>
            </w:pPr>
            <w:proofErr w:type="spellStart"/>
            <w:r>
              <w:t>Distr</w:t>
            </w:r>
            <w:proofErr w:type="spellEnd"/>
            <w:r>
              <w:t>. générale</w:t>
            </w:r>
          </w:p>
          <w:p w14:paraId="0432E393" w14:textId="59C6EDE9" w:rsidR="002009EC" w:rsidRDefault="00D933A9" w:rsidP="002009EC">
            <w:pPr>
              <w:spacing w:line="240" w:lineRule="exact"/>
            </w:pPr>
            <w:r>
              <w:t>9</w:t>
            </w:r>
            <w:r w:rsidR="00ED377C">
              <w:t xml:space="preserve"> </w:t>
            </w:r>
            <w:r w:rsidR="002009EC">
              <w:t>août 2021</w:t>
            </w:r>
          </w:p>
          <w:p w14:paraId="2F5130AE" w14:textId="77777777" w:rsidR="002009EC" w:rsidRDefault="002009EC" w:rsidP="002009EC">
            <w:pPr>
              <w:spacing w:line="240" w:lineRule="exact"/>
            </w:pPr>
          </w:p>
          <w:p w14:paraId="58C5587A" w14:textId="77777777" w:rsidR="002009EC" w:rsidRPr="00DB58B5" w:rsidRDefault="002009EC" w:rsidP="002009EC">
            <w:pPr>
              <w:spacing w:line="240" w:lineRule="exact"/>
            </w:pPr>
            <w:r>
              <w:t>Original : français</w:t>
            </w:r>
          </w:p>
        </w:tc>
      </w:tr>
    </w:tbl>
    <w:p w14:paraId="504DA664" w14:textId="77777777" w:rsidR="002009EC" w:rsidRDefault="002009EC" w:rsidP="002009EC">
      <w:pPr>
        <w:spacing w:before="120"/>
        <w:rPr>
          <w:b/>
          <w:sz w:val="28"/>
          <w:szCs w:val="28"/>
        </w:rPr>
      </w:pPr>
      <w:r>
        <w:rPr>
          <w:b/>
          <w:sz w:val="28"/>
          <w:szCs w:val="28"/>
        </w:rPr>
        <w:t>Commission économique pour l’Europe</w:t>
      </w:r>
    </w:p>
    <w:p w14:paraId="4DF52EA8" w14:textId="77777777" w:rsidR="002009EC" w:rsidRDefault="002009EC" w:rsidP="002009EC">
      <w:pPr>
        <w:spacing w:before="120"/>
        <w:rPr>
          <w:sz w:val="28"/>
          <w:szCs w:val="28"/>
        </w:rPr>
      </w:pPr>
      <w:r>
        <w:rPr>
          <w:sz w:val="28"/>
          <w:szCs w:val="28"/>
        </w:rPr>
        <w:t>Comité des transports intérieurs</w:t>
      </w:r>
    </w:p>
    <w:p w14:paraId="520BC530" w14:textId="77777777" w:rsidR="002009EC" w:rsidRDefault="002009EC" w:rsidP="002009EC">
      <w:pPr>
        <w:spacing w:before="120"/>
        <w:rPr>
          <w:b/>
          <w:sz w:val="24"/>
          <w:szCs w:val="24"/>
        </w:rPr>
      </w:pPr>
      <w:r>
        <w:rPr>
          <w:b/>
          <w:sz w:val="24"/>
          <w:szCs w:val="24"/>
        </w:rPr>
        <w:t>Groupe de travail du transport des denrées périssables</w:t>
      </w:r>
    </w:p>
    <w:p w14:paraId="28989A55" w14:textId="2C1362CD" w:rsidR="002009EC" w:rsidRDefault="002009EC" w:rsidP="002009EC">
      <w:pPr>
        <w:spacing w:before="120"/>
        <w:rPr>
          <w:b/>
          <w:bCs/>
        </w:rPr>
      </w:pPr>
      <w:r>
        <w:rPr>
          <w:b/>
          <w:bCs/>
          <w:lang w:val="fr-FR"/>
        </w:rPr>
        <w:t>Soixante-dix-septième</w:t>
      </w:r>
      <w:r>
        <w:rPr>
          <w:b/>
          <w:bCs/>
        </w:rPr>
        <w:t xml:space="preserve"> session</w:t>
      </w:r>
    </w:p>
    <w:p w14:paraId="016564D5" w14:textId="263D0A52" w:rsidR="002009EC" w:rsidRDefault="002009EC" w:rsidP="002009EC">
      <w:r>
        <w:t xml:space="preserve">Genève, </w:t>
      </w:r>
      <w:r>
        <w:rPr>
          <w:lang w:val="fr-FR"/>
        </w:rPr>
        <w:t>26-29 octobre 2021</w:t>
      </w:r>
    </w:p>
    <w:p w14:paraId="1E9D328E" w14:textId="28369D56" w:rsidR="00E41641" w:rsidRDefault="00E41641" w:rsidP="00E41641">
      <w:pPr>
        <w:pStyle w:val="Standard"/>
        <w:overflowPunct w:val="0"/>
        <w:snapToGrid/>
      </w:pPr>
      <w:r>
        <w:rPr>
          <w:lang w:eastAsia="fr-FR"/>
        </w:rPr>
        <w:t xml:space="preserve">Point 5 </w:t>
      </w:r>
      <w:r w:rsidR="00D950C2">
        <w:rPr>
          <w:lang w:eastAsia="fr-FR"/>
        </w:rPr>
        <w:t>b</w:t>
      </w:r>
      <w:r>
        <w:rPr>
          <w:lang w:eastAsia="fr-FR"/>
        </w:rPr>
        <w:t>) de l’ordre du jour provisoire</w:t>
      </w:r>
    </w:p>
    <w:p w14:paraId="0FA9376C" w14:textId="77777777" w:rsidR="00E41641" w:rsidRDefault="00E41641" w:rsidP="00E41641">
      <w:pPr>
        <w:pStyle w:val="Standard"/>
        <w:overflowPunct w:val="0"/>
        <w:snapToGrid/>
        <w:spacing w:line="240" w:lineRule="auto"/>
      </w:pPr>
      <w:r>
        <w:rPr>
          <w:b/>
          <w:lang w:eastAsia="fr-FR"/>
        </w:rPr>
        <w:t>Propositions d’amendements à l’ATP :</w:t>
      </w:r>
    </w:p>
    <w:p w14:paraId="2568F9C1" w14:textId="48961B1A" w:rsidR="00C1626B" w:rsidRDefault="00837711" w:rsidP="00E41641">
      <w:pPr>
        <w:rPr>
          <w:b/>
          <w:bCs/>
          <w:lang w:val="fr-FR"/>
        </w:rPr>
      </w:pPr>
      <w:r w:rsidRPr="00730708">
        <w:rPr>
          <w:b/>
          <w:bCs/>
        </w:rPr>
        <w:t>nouvelles propositions</w:t>
      </w:r>
    </w:p>
    <w:p w14:paraId="79675386" w14:textId="772F0A55" w:rsidR="002009EC" w:rsidRPr="00F4604C" w:rsidRDefault="00766028" w:rsidP="00E41641">
      <w:pPr>
        <w:pStyle w:val="HChG"/>
      </w:pPr>
      <w:r>
        <w:rPr>
          <w:rStyle w:val="Policepardfaut1"/>
          <w:lang w:val="fr-FR"/>
        </w:rPr>
        <w:tab/>
      </w:r>
      <w:r>
        <w:rPr>
          <w:rStyle w:val="Policepardfaut1"/>
          <w:lang w:val="fr-FR"/>
        </w:rPr>
        <w:tab/>
      </w:r>
      <w:r w:rsidR="00E41641">
        <w:t xml:space="preserve">Proposition d’amendement au point 6.2.3 de l’appendice 2 de l’annexe 1 : remplacement </w:t>
      </w:r>
      <w:r w:rsidR="00E41641" w:rsidRPr="00E41641">
        <w:t>des</w:t>
      </w:r>
      <w:r w:rsidR="00E41641">
        <w:t xml:space="preserve"> fluides frigorigènes existants par d’autres</w:t>
      </w:r>
    </w:p>
    <w:p w14:paraId="18CA1C23" w14:textId="44BAEEF2" w:rsidR="00766028" w:rsidRDefault="001D7A3E" w:rsidP="001D7A3E">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France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319D2" w14:paraId="663E7778" w14:textId="77777777" w:rsidTr="00D00C99">
        <w:trPr>
          <w:jc w:val="center"/>
        </w:trPr>
        <w:tc>
          <w:tcPr>
            <w:tcW w:w="9628" w:type="dxa"/>
            <w:tcBorders>
              <w:bottom w:val="nil"/>
            </w:tcBorders>
            <w:shd w:val="clear" w:color="auto" w:fill="auto"/>
          </w:tcPr>
          <w:p w14:paraId="5079A868" w14:textId="77777777" w:rsidR="008319D2" w:rsidRPr="00C6263E" w:rsidRDefault="008319D2" w:rsidP="006E5E26">
            <w:pPr>
              <w:spacing w:before="240" w:after="120"/>
              <w:ind w:left="255"/>
              <w:rPr>
                <w:i/>
                <w:sz w:val="24"/>
              </w:rPr>
            </w:pPr>
            <w:r w:rsidRPr="00C6263E">
              <w:rPr>
                <w:i/>
                <w:sz w:val="24"/>
              </w:rPr>
              <w:t xml:space="preserve">Résumé </w:t>
            </w:r>
          </w:p>
        </w:tc>
      </w:tr>
      <w:tr w:rsidR="008319D2" w14:paraId="599341C4" w14:textId="77777777" w:rsidTr="00D00C99">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E41641" w14:paraId="16F1F95E" w14:textId="77777777" w:rsidTr="00F4604C">
              <w:trPr>
                <w:jc w:val="center"/>
              </w:trPr>
              <w:tc>
                <w:tcPr>
                  <w:tcW w:w="9630" w:type="dxa"/>
                  <w:shd w:val="clear" w:color="auto" w:fill="FFFFFF"/>
                  <w:tcMar>
                    <w:top w:w="0" w:type="dxa"/>
                    <w:left w:w="113" w:type="dxa"/>
                    <w:bottom w:w="0" w:type="dxa"/>
                    <w:right w:w="108" w:type="dxa"/>
                  </w:tcMar>
                  <w:hideMark/>
                </w:tcPr>
                <w:p w14:paraId="308FC7D5" w14:textId="396F20C8" w:rsidR="00E41641" w:rsidRDefault="00E41641" w:rsidP="00E41641">
                  <w:pPr>
                    <w:pStyle w:val="SingleTxtG"/>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val="fr-FR" w:eastAsia="en-US"/>
                    </w:rPr>
                    <w:t xml:space="preserve">La présente proposition a pour but de proposer une correction et une ouverture dans </w:t>
                  </w:r>
                  <w:r>
                    <w:rPr>
                      <w:lang w:val="fr-FR"/>
                    </w:rPr>
                    <w:t>la procédure qui permet de remplacer les fluides frigorigènes par d’autres.</w:t>
                  </w:r>
                </w:p>
              </w:tc>
            </w:tr>
            <w:tr w:rsidR="00E41641" w14:paraId="5FC07830" w14:textId="77777777" w:rsidTr="00F4604C">
              <w:trPr>
                <w:jc w:val="center"/>
              </w:trPr>
              <w:tc>
                <w:tcPr>
                  <w:tcW w:w="9630" w:type="dxa"/>
                  <w:shd w:val="clear" w:color="auto" w:fill="FFFFFF"/>
                  <w:tcMar>
                    <w:top w:w="0" w:type="dxa"/>
                    <w:left w:w="113" w:type="dxa"/>
                    <w:bottom w:w="0" w:type="dxa"/>
                    <w:right w:w="108" w:type="dxa"/>
                  </w:tcMar>
                  <w:hideMark/>
                </w:tcPr>
                <w:p w14:paraId="5BF84D75" w14:textId="56335565" w:rsidR="00E41641" w:rsidRDefault="00E41641" w:rsidP="00E41641">
                  <w:pPr>
                    <w:pStyle w:val="SingleTxtG"/>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Modifier la partie concernée, partie 6.2.3 de l’annexe 1, Appendice 2 de l’Accord ATP</w:t>
                  </w:r>
                </w:p>
              </w:tc>
            </w:tr>
            <w:tr w:rsidR="00E41641" w14:paraId="3DD97CE0" w14:textId="77777777" w:rsidTr="00F4604C">
              <w:trPr>
                <w:jc w:val="center"/>
              </w:trPr>
              <w:tc>
                <w:tcPr>
                  <w:tcW w:w="9630" w:type="dxa"/>
                  <w:shd w:val="clear" w:color="auto" w:fill="FFFFFF"/>
                  <w:tcMar>
                    <w:top w:w="0" w:type="dxa"/>
                    <w:left w:w="113" w:type="dxa"/>
                    <w:bottom w:w="0" w:type="dxa"/>
                    <w:right w:w="108" w:type="dxa"/>
                  </w:tcMar>
                  <w:hideMark/>
                </w:tcPr>
                <w:p w14:paraId="75CFBED9" w14:textId="1E37D440" w:rsidR="00E41641" w:rsidRDefault="00E41641" w:rsidP="00E41641">
                  <w:pPr>
                    <w:pStyle w:val="SingleTxtG"/>
                    <w:ind w:left="2552" w:hanging="2268"/>
                    <w:jc w:val="left"/>
                  </w:pPr>
                  <w:r>
                    <w:rPr>
                      <w:rFonts w:eastAsia="Calibri"/>
                      <w:b/>
                      <w:lang w:eastAsia="en-US"/>
                    </w:rPr>
                    <w:t>Documents connexes </w:t>
                  </w:r>
                  <w:r>
                    <w:rPr>
                      <w:rFonts w:eastAsia="Calibri"/>
                      <w:lang w:eastAsia="en-US"/>
                    </w:rPr>
                    <w:t>:</w:t>
                  </w:r>
                  <w:r>
                    <w:rPr>
                      <w:rFonts w:eastAsia="Calibri"/>
                      <w:b/>
                      <w:lang w:eastAsia="en-US"/>
                    </w:rPr>
                    <w:tab/>
                  </w:r>
                  <w:r>
                    <w:t>Aucun</w:t>
                  </w:r>
                </w:p>
              </w:tc>
            </w:tr>
          </w:tbl>
          <w:p w14:paraId="284E294D" w14:textId="77777777" w:rsidR="008319D2" w:rsidRDefault="008319D2" w:rsidP="006E5E26"/>
        </w:tc>
      </w:tr>
    </w:tbl>
    <w:p w14:paraId="760FA164" w14:textId="19F44D56" w:rsidR="002A6DA4" w:rsidRDefault="002A6DA4" w:rsidP="00537110">
      <w:pPr>
        <w:pStyle w:val="HChG"/>
      </w:pPr>
      <w:r>
        <w:tab/>
      </w:r>
      <w:r w:rsidR="00537110">
        <w:tab/>
      </w:r>
      <w:r w:rsidR="00537110">
        <w:tab/>
      </w:r>
      <w:r w:rsidRPr="00537110">
        <w:t>Introduction</w:t>
      </w:r>
      <w:bookmarkStart w:id="0" w:name="OLE_LINK2"/>
      <w:bookmarkStart w:id="1" w:name="OLE_LINK1"/>
      <w:bookmarkEnd w:id="0"/>
      <w:bookmarkEnd w:id="1"/>
    </w:p>
    <w:p w14:paraId="2EB18992" w14:textId="77777777" w:rsidR="00340C26" w:rsidRPr="00340C26" w:rsidRDefault="00340C26" w:rsidP="00340C26">
      <w:pPr>
        <w:pStyle w:val="SingleTxtG"/>
      </w:pPr>
      <w:r>
        <w:t>1.</w:t>
      </w:r>
      <w:r>
        <w:tab/>
        <w:t xml:space="preserve">La partie 6.2.3 de l’annexe 1, Appendice 2 de l’accord ATP propose une méthodologie permettant le remplacement du fluide frigorigène d’origine d’un engin frigorifique en service par un autre – dit fluide frigorigène de substitution - listé dans un tableau qui dresse l’intégralité des substitutions possibles. Dans sa version du 6 </w:t>
      </w:r>
      <w:r w:rsidRPr="00340C26">
        <w:t>juillet 2021, l’accord ATP propose une unique substitution depuis le fluide frigorigène d’origine R404A vers le fluide frigorigène de substitution R452A. De fait, l’accord ATP limite les possibilités de substitution au seul couple présenté.</w:t>
      </w:r>
    </w:p>
    <w:p w14:paraId="6BF78199" w14:textId="77777777" w:rsidR="00340C26" w:rsidRPr="00340C26" w:rsidRDefault="00340C26" w:rsidP="00340C26">
      <w:pPr>
        <w:pStyle w:val="SingleTxtG"/>
      </w:pPr>
      <w:r w:rsidRPr="00340C26">
        <w:t>2.</w:t>
      </w:r>
      <w:r w:rsidRPr="00340C26">
        <w:tab/>
        <w:t xml:space="preserve">La limitation progressive de la mise sur le marché des HFC a déjà contraint le WP11 à adopter, en après de longs échanges et lourdes modifications effectués en séance, la proposition modifiée de l’Allemagne (ECE/TRANS/WP.11/2018/10). Pour répondre à </w:t>
      </w:r>
      <w:r w:rsidRPr="00340C26">
        <w:lastRenderedPageBreak/>
        <w:t>l’urgence de la situation, seule la substitution de fluide frigorigène R404A vers R452A a été listée ; il s’agissait de l’intégralité des demandes de substitution.</w:t>
      </w:r>
    </w:p>
    <w:p w14:paraId="1133C970" w14:textId="77777777" w:rsidR="00340C26" w:rsidRPr="00340C26" w:rsidRDefault="00340C26" w:rsidP="00340C26">
      <w:pPr>
        <w:pStyle w:val="SingleTxtG"/>
      </w:pPr>
      <w:r w:rsidRPr="00340C26">
        <w:t>3.</w:t>
      </w:r>
      <w:r w:rsidRPr="00340C26">
        <w:tab/>
        <w:t>Dans le cas où de nouveaux fluides frigorigènes émergent dans un futur plus ou moins lointain, il est sensé de vouloir disposer d’une procédure circonscrite par l’ATP qui encadre les substitutions de fluide frigorigène non encore maitrisés.</w:t>
      </w:r>
    </w:p>
    <w:p w14:paraId="4526420D" w14:textId="0AC39519" w:rsidR="002A6DA4" w:rsidRDefault="00340C26" w:rsidP="00340C26">
      <w:pPr>
        <w:pStyle w:val="SingleTxtG"/>
      </w:pPr>
      <w:r w:rsidRPr="00340C26">
        <w:t>4.</w:t>
      </w:r>
      <w:r w:rsidRPr="00340C26">
        <w:tab/>
        <w:t>Compte tenu des retours d’expérience en provenance des stations d’essais officielles ATP ainsi que des nombreux tests réalisés sur des groupes frigorifiques modifiés par la substitution du fluide frigorigène</w:t>
      </w:r>
      <w:r>
        <w:t xml:space="preserve"> depuis le R404A vers le R452A, il est proposé de réviser la partie 6.2.3 en augmentant sa portée tout en réduisant certains tests pour la substitution du fluide frigorigène R404A vers le R452A.</w:t>
      </w:r>
    </w:p>
    <w:p w14:paraId="67C0D8C4" w14:textId="226B897A" w:rsidR="002A6DA4" w:rsidRDefault="002A6DA4" w:rsidP="005E5CCF">
      <w:pPr>
        <w:pStyle w:val="HChG"/>
      </w:pPr>
      <w:r>
        <w:tab/>
      </w:r>
      <w:r w:rsidR="00F7366A">
        <w:t>I.</w:t>
      </w:r>
      <w:r>
        <w:tab/>
      </w:r>
      <w:r w:rsidRPr="005E5CCF">
        <w:t>Proposition</w:t>
      </w:r>
    </w:p>
    <w:p w14:paraId="28D0274C" w14:textId="555947D6" w:rsidR="003825DE" w:rsidRDefault="003825DE" w:rsidP="003825DE">
      <w:pPr>
        <w:pStyle w:val="SingleTxtG"/>
        <w:ind w:right="-1"/>
      </w:pPr>
      <w:r>
        <w:t xml:space="preserve">5. </w:t>
      </w:r>
      <w:r>
        <w:tab/>
        <w:t>Dans sa version actuelle, le point 6.2.3 de l’annexe 1, appendice 2 est ainsi rédigé :</w:t>
      </w:r>
    </w:p>
    <w:p w14:paraId="5D25CEB5" w14:textId="19261E4E" w:rsidR="009153D5" w:rsidRDefault="009153D5" w:rsidP="004C3A8A">
      <w:pPr>
        <w:pStyle w:val="SingleTxtG"/>
      </w:pPr>
      <w:r>
        <w:t>A la demande du fabrican</w:t>
      </w:r>
      <w:r w:rsidR="00DC43B7">
        <w:t>t</w:t>
      </w:r>
      <w:r>
        <w:t>, le re</w:t>
      </w:r>
      <w:r w:rsidR="00DC43B7">
        <w:t>mplacement du fluide frigorigène</w:t>
      </w:r>
      <w:r w:rsidR="00293E26">
        <w:t xml:space="preserve"> d'origine d'un </w:t>
      </w:r>
      <w:r w:rsidR="00293E26" w:rsidRPr="004C3A8A">
        <w:t>engin</w:t>
      </w:r>
      <w:r w:rsidR="00293E26">
        <w:t xml:space="preserve"> frigorifique en service est autorisé pour les fluides frigorigènes indiqués dans le tableau ci-dessous dans les conditions ci-après: </w:t>
      </w:r>
    </w:p>
    <w:tbl>
      <w:tblPr>
        <w:tblStyle w:val="Grilledutableau"/>
        <w:tblW w:w="0" w:type="auto"/>
        <w:tblInd w:w="1134" w:type="dxa"/>
        <w:tblLook w:val="04A0" w:firstRow="1" w:lastRow="0" w:firstColumn="1" w:lastColumn="0" w:noHBand="0" w:noVBand="1"/>
      </w:tblPr>
      <w:tblGrid>
        <w:gridCol w:w="3681"/>
        <w:gridCol w:w="3685"/>
      </w:tblGrid>
      <w:tr w:rsidR="00F54198" w:rsidRPr="00830E5B" w14:paraId="770BF5B4" w14:textId="77777777" w:rsidTr="00711BD5">
        <w:tc>
          <w:tcPr>
            <w:tcW w:w="3681" w:type="dxa"/>
            <w:tcBorders>
              <w:top w:val="single" w:sz="4" w:space="0" w:color="auto"/>
              <w:left w:val="single" w:sz="4" w:space="0" w:color="auto"/>
              <w:bottom w:val="single" w:sz="4" w:space="0" w:color="auto"/>
              <w:right w:val="single" w:sz="4" w:space="0" w:color="auto"/>
            </w:tcBorders>
            <w:hideMark/>
          </w:tcPr>
          <w:p w14:paraId="5B21DC56" w14:textId="77777777" w:rsidR="00F54198" w:rsidRPr="00730708" w:rsidRDefault="00F54198" w:rsidP="00CF69CA">
            <w:pPr>
              <w:pStyle w:val="HChG"/>
              <w:spacing w:before="0" w:after="0" w:line="240" w:lineRule="auto"/>
              <w:ind w:left="0" w:right="-1" w:firstLine="0"/>
              <w:jc w:val="center"/>
              <w:rPr>
                <w:b w:val="0"/>
                <w:sz w:val="20"/>
              </w:rPr>
            </w:pPr>
            <w:r w:rsidRPr="00730708">
              <w:rPr>
                <w:b w:val="0"/>
                <w:sz w:val="20"/>
              </w:rPr>
              <w:t>Fluide frigorigène d’origine</w:t>
            </w:r>
          </w:p>
        </w:tc>
        <w:tc>
          <w:tcPr>
            <w:tcW w:w="3685" w:type="dxa"/>
            <w:tcBorders>
              <w:top w:val="single" w:sz="4" w:space="0" w:color="auto"/>
              <w:left w:val="single" w:sz="4" w:space="0" w:color="auto"/>
              <w:bottom w:val="single" w:sz="4" w:space="0" w:color="auto"/>
              <w:right w:val="single" w:sz="4" w:space="0" w:color="auto"/>
            </w:tcBorders>
            <w:hideMark/>
          </w:tcPr>
          <w:p w14:paraId="3D0EACE7" w14:textId="77777777" w:rsidR="00F54198" w:rsidRPr="00730708" w:rsidRDefault="00F54198" w:rsidP="00CF69CA">
            <w:pPr>
              <w:pStyle w:val="HChG"/>
              <w:spacing w:before="0" w:after="0" w:line="240" w:lineRule="auto"/>
              <w:ind w:left="0" w:right="-1" w:firstLine="0"/>
              <w:jc w:val="center"/>
              <w:rPr>
                <w:b w:val="0"/>
                <w:sz w:val="20"/>
              </w:rPr>
            </w:pPr>
            <w:r w:rsidRPr="00730708">
              <w:rPr>
                <w:b w:val="0"/>
                <w:sz w:val="20"/>
              </w:rPr>
              <w:t>Fluide frigorigène de substitution</w:t>
            </w:r>
          </w:p>
        </w:tc>
      </w:tr>
      <w:tr w:rsidR="00F54198" w:rsidRPr="00830E5B" w14:paraId="567EB3A9" w14:textId="77777777" w:rsidTr="00711BD5">
        <w:tc>
          <w:tcPr>
            <w:tcW w:w="3681" w:type="dxa"/>
            <w:tcBorders>
              <w:top w:val="single" w:sz="4" w:space="0" w:color="auto"/>
              <w:left w:val="single" w:sz="4" w:space="0" w:color="auto"/>
              <w:bottom w:val="single" w:sz="4" w:space="0" w:color="auto"/>
              <w:right w:val="single" w:sz="4" w:space="0" w:color="auto"/>
            </w:tcBorders>
            <w:hideMark/>
          </w:tcPr>
          <w:p w14:paraId="20DDE7CA" w14:textId="77777777" w:rsidR="00F54198" w:rsidRPr="00730708" w:rsidRDefault="00F54198" w:rsidP="00CF69CA">
            <w:pPr>
              <w:pStyle w:val="HChG"/>
              <w:spacing w:before="0" w:after="0" w:line="240" w:lineRule="auto"/>
              <w:ind w:left="0" w:right="-1" w:firstLine="0"/>
              <w:jc w:val="center"/>
              <w:rPr>
                <w:b w:val="0"/>
                <w:sz w:val="20"/>
              </w:rPr>
            </w:pPr>
            <w:r w:rsidRPr="00730708">
              <w:rPr>
                <w:b w:val="0"/>
                <w:sz w:val="20"/>
              </w:rPr>
              <w:t>R 404 A</w:t>
            </w:r>
          </w:p>
        </w:tc>
        <w:tc>
          <w:tcPr>
            <w:tcW w:w="3685" w:type="dxa"/>
            <w:tcBorders>
              <w:top w:val="single" w:sz="4" w:space="0" w:color="auto"/>
              <w:left w:val="single" w:sz="4" w:space="0" w:color="auto"/>
              <w:bottom w:val="single" w:sz="4" w:space="0" w:color="auto"/>
              <w:right w:val="single" w:sz="4" w:space="0" w:color="auto"/>
            </w:tcBorders>
            <w:hideMark/>
          </w:tcPr>
          <w:p w14:paraId="7C11EB59" w14:textId="77777777" w:rsidR="00F54198" w:rsidRPr="00730708" w:rsidRDefault="00F54198" w:rsidP="00CF69CA">
            <w:pPr>
              <w:pStyle w:val="HChG"/>
              <w:spacing w:before="0" w:after="0" w:line="240" w:lineRule="auto"/>
              <w:ind w:left="0" w:right="-1" w:firstLine="0"/>
              <w:jc w:val="center"/>
              <w:rPr>
                <w:b w:val="0"/>
                <w:sz w:val="20"/>
              </w:rPr>
            </w:pPr>
            <w:r w:rsidRPr="00730708">
              <w:rPr>
                <w:b w:val="0"/>
                <w:sz w:val="20"/>
              </w:rPr>
              <w:t>R 452A</w:t>
            </w:r>
          </w:p>
        </w:tc>
      </w:tr>
    </w:tbl>
    <w:p w14:paraId="6665508E" w14:textId="6B90C283" w:rsidR="00F54198" w:rsidRDefault="00C65A97" w:rsidP="005C6C7A">
      <w:pPr>
        <w:pStyle w:val="SingleTxtG"/>
        <w:ind w:firstLine="567"/>
      </w:pPr>
      <w:r>
        <w:t xml:space="preserve">a) </w:t>
      </w:r>
      <w:r w:rsidR="004C3A8A">
        <w:tab/>
      </w:r>
      <w:r>
        <w:t xml:space="preserve">Il existe </w:t>
      </w:r>
      <w:r w:rsidR="00425775">
        <w:t>u</w:t>
      </w:r>
      <w:r w:rsidR="004A6C83">
        <w:t>n</w:t>
      </w:r>
      <w:r w:rsidR="00425775">
        <w:t xml:space="preserve"> procès-verbal d'essai, ou un additif à un tel procès-verbal, confirmant </w:t>
      </w:r>
      <w:r w:rsidR="000E10E3">
        <w:t>l'équivalence à un groupe frigorifique similaire avec le fluide frigorigène</w:t>
      </w:r>
      <w:r w:rsidR="00F9767A">
        <w:t xml:space="preserve"> de </w:t>
      </w:r>
      <w:r w:rsidR="00F9767A" w:rsidRPr="004C3A8A">
        <w:t>substitution</w:t>
      </w:r>
      <w:r w:rsidR="00F9767A">
        <w:t>; et</w:t>
      </w:r>
    </w:p>
    <w:p w14:paraId="44FC83FE" w14:textId="2B82FFC5" w:rsidR="00F9767A" w:rsidRDefault="00F9767A" w:rsidP="005C6C7A">
      <w:pPr>
        <w:pStyle w:val="SingleTxtG"/>
        <w:ind w:firstLine="567"/>
      </w:pPr>
      <w:r>
        <w:t xml:space="preserve">b) </w:t>
      </w:r>
      <w:r w:rsidR="004C3A8A">
        <w:tab/>
      </w:r>
      <w:r>
        <w:t xml:space="preserve">Un essai d'efficacité a été réalisé </w:t>
      </w:r>
      <w:r w:rsidR="002D19EE">
        <w:t xml:space="preserve">ave </w:t>
      </w:r>
      <w:r w:rsidR="004E181D">
        <w:t>succès</w:t>
      </w:r>
      <w:r w:rsidR="002D19EE">
        <w:t xml:space="preserve"> conformément </w:t>
      </w:r>
      <w:r w:rsidR="004E181D">
        <w:t xml:space="preserve">aux dispositions du </w:t>
      </w:r>
      <w:r w:rsidR="004E181D" w:rsidRPr="004C3A8A">
        <w:t>paragraphe</w:t>
      </w:r>
      <w:r w:rsidR="004E181D">
        <w:t xml:space="preserve"> 6.2.1</w:t>
      </w:r>
      <w:r w:rsidR="00F24B16">
        <w:t>.</w:t>
      </w:r>
    </w:p>
    <w:p w14:paraId="2A5FBE1A" w14:textId="36E245A7" w:rsidR="00F24B16" w:rsidRDefault="00F24B16" w:rsidP="004C3A8A">
      <w:pPr>
        <w:pStyle w:val="SingleTxtG"/>
      </w:pPr>
      <w:r>
        <w:t xml:space="preserve">La </w:t>
      </w:r>
      <w:r w:rsidR="00690098">
        <w:t>plaque</w:t>
      </w:r>
      <w:r w:rsidR="007A2300">
        <w:t xml:space="preserve"> du fabricant doit être corrigé</w:t>
      </w:r>
      <w:r w:rsidR="00FB0194">
        <w:t xml:space="preserve">e ou remplacée pour qu'il soit fait mention du fluide </w:t>
      </w:r>
      <w:r w:rsidR="00FB0194" w:rsidRPr="004C3A8A">
        <w:t>frigorigène</w:t>
      </w:r>
      <w:r w:rsidR="00FB0194">
        <w:t xml:space="preserve"> de substitution de la </w:t>
      </w:r>
      <w:r w:rsidR="000173EF">
        <w:t xml:space="preserve">charge requise. </w:t>
      </w:r>
    </w:p>
    <w:p w14:paraId="0F867FCF" w14:textId="32B9AB39" w:rsidR="000173EF" w:rsidRDefault="00D638F6" w:rsidP="004C3A8A">
      <w:pPr>
        <w:pStyle w:val="SingleTxtG"/>
      </w:pPr>
      <w:r>
        <w:t xml:space="preserve">Le numéro du procès-verbal d'essai initial doit être conservé dans l'attestation de conformité </w:t>
      </w:r>
      <w:r w:rsidRPr="004C3A8A">
        <w:t>ATP</w:t>
      </w:r>
      <w:r>
        <w:t xml:space="preserve"> et complété </w:t>
      </w:r>
      <w:r w:rsidR="00053866">
        <w:t xml:space="preserve">par un renvoi au procès-verbal d'essai ou à l'additif </w:t>
      </w:r>
      <w:r w:rsidR="00766FE0">
        <w:t xml:space="preserve">de référence pour le fluide de substitution. </w:t>
      </w:r>
    </w:p>
    <w:p w14:paraId="5D6A72FE" w14:textId="3A6A762A" w:rsidR="003825DE" w:rsidRDefault="003825DE" w:rsidP="005C6C7A">
      <w:pPr>
        <w:pStyle w:val="SingleTxtG"/>
        <w:rPr>
          <w:iCs/>
        </w:rPr>
      </w:pPr>
      <w:r>
        <w:rPr>
          <w:iCs/>
        </w:rPr>
        <w:t xml:space="preserve">6. </w:t>
      </w:r>
      <w:r>
        <w:rPr>
          <w:iCs/>
        </w:rPr>
        <w:tab/>
        <w:t>Il est proposé de remplacer ce point 6.2.3 par le texte suivant :</w:t>
      </w:r>
    </w:p>
    <w:p w14:paraId="57CA5217" w14:textId="1EBD9F30" w:rsidR="003825DE" w:rsidRPr="00730708" w:rsidRDefault="00830E5B" w:rsidP="007C3DF7">
      <w:pPr>
        <w:pStyle w:val="SingleTxtG"/>
      </w:pPr>
      <w:r>
        <w:t>«</w:t>
      </w:r>
      <w:r w:rsidR="003825DE" w:rsidRPr="00730708">
        <w:t>A la demande du fabricant, le remplacement du fluide frigorigène d’origine d’un engin frigorifique en service est autorisé selon les conditions ci-après :</w:t>
      </w:r>
    </w:p>
    <w:p w14:paraId="07BC11B4" w14:textId="2B4C7E44" w:rsidR="003825DE" w:rsidRPr="00730708" w:rsidRDefault="007C3DF7" w:rsidP="007C3DF7">
      <w:pPr>
        <w:pStyle w:val="SingleTxtG"/>
        <w:ind w:firstLine="567"/>
      </w:pPr>
      <w:r w:rsidRPr="00730708">
        <w:t>a)</w:t>
      </w:r>
      <w:r w:rsidRPr="00730708">
        <w:tab/>
      </w:r>
      <w:r w:rsidR="003825DE" w:rsidRPr="00730708">
        <w:t xml:space="preserve">Il existe un procès-verbal d’essai, ou un additif à un tel procès-verbal, confirmant l’équivalence à un groupe frigorifique similaire avec le fluide frigorigène de substitution conformément à la section 4.5 </w:t>
      </w:r>
      <w:r w:rsidR="003825DE" w:rsidRPr="00730708">
        <w:rPr>
          <w:rFonts w:eastAsia="Calibri"/>
          <w:lang w:eastAsia="en-US"/>
        </w:rPr>
        <w:t>de l’annexe 1, Appendice 2 de l’Accord ATP</w:t>
      </w:r>
      <w:r w:rsidR="003825DE" w:rsidRPr="00730708">
        <w:t xml:space="preserve"> et,</w:t>
      </w:r>
    </w:p>
    <w:p w14:paraId="54FFD598" w14:textId="3094B80B" w:rsidR="003825DE" w:rsidRPr="00730708" w:rsidRDefault="007C3DF7" w:rsidP="007C3DF7">
      <w:pPr>
        <w:pStyle w:val="SingleTxtG"/>
        <w:ind w:firstLine="567"/>
      </w:pPr>
      <w:r w:rsidRPr="00730708">
        <w:t>b)</w:t>
      </w:r>
      <w:r w:rsidRPr="00730708">
        <w:tab/>
      </w:r>
      <w:r w:rsidR="003825DE" w:rsidRPr="00730708">
        <w:t>Un essai d’efficacité a été réalisé avec succès conformément aux dispositions du paragraphe 6.2.1 ou 6.2.2.</w:t>
      </w:r>
    </w:p>
    <w:p w14:paraId="4B83EE69" w14:textId="77777777" w:rsidR="003825DE" w:rsidRPr="00730708" w:rsidRDefault="003825DE" w:rsidP="00473426">
      <w:pPr>
        <w:pStyle w:val="SingleTxtG"/>
      </w:pPr>
      <w:r w:rsidRPr="00730708">
        <w:t>En cas de demande favorable, la plaque du fabricant doit être corrigée en conséquence.</w:t>
      </w:r>
    </w:p>
    <w:p w14:paraId="76CD8AE7" w14:textId="77777777" w:rsidR="003825DE" w:rsidRPr="00730708" w:rsidRDefault="003825DE" w:rsidP="00473426">
      <w:pPr>
        <w:pStyle w:val="SingleTxtG"/>
      </w:pPr>
      <w:r w:rsidRPr="00730708">
        <w:t>Dans le cas particulier de remplacement de fluide frigorigène tels ceux mentionnés dans le tableau ci-dessous, le point (a) exige uniquement du fabricant qu'il demande à la station d’essai officielle l’émission d’un addenda sans aucun test supplémentaire.</w:t>
      </w:r>
    </w:p>
    <w:tbl>
      <w:tblPr>
        <w:tblStyle w:val="Grilledutableau"/>
        <w:tblW w:w="0" w:type="auto"/>
        <w:tblInd w:w="1134" w:type="dxa"/>
        <w:tblLook w:val="04A0" w:firstRow="1" w:lastRow="0" w:firstColumn="1" w:lastColumn="0" w:noHBand="0" w:noVBand="1"/>
      </w:tblPr>
      <w:tblGrid>
        <w:gridCol w:w="3681"/>
        <w:gridCol w:w="3685"/>
      </w:tblGrid>
      <w:tr w:rsidR="003825DE" w:rsidRPr="00830E5B" w14:paraId="0DADEDE0" w14:textId="77777777" w:rsidTr="00711BD5">
        <w:tc>
          <w:tcPr>
            <w:tcW w:w="3681" w:type="dxa"/>
            <w:tcBorders>
              <w:top w:val="single" w:sz="4" w:space="0" w:color="auto"/>
              <w:left w:val="single" w:sz="4" w:space="0" w:color="auto"/>
              <w:bottom w:val="single" w:sz="4" w:space="0" w:color="auto"/>
              <w:right w:val="single" w:sz="4" w:space="0" w:color="auto"/>
            </w:tcBorders>
            <w:hideMark/>
          </w:tcPr>
          <w:p w14:paraId="4656C9DC" w14:textId="77777777" w:rsidR="003825DE" w:rsidRPr="00730708" w:rsidRDefault="003825DE">
            <w:pPr>
              <w:pStyle w:val="HChG"/>
              <w:spacing w:before="0" w:after="0" w:line="240" w:lineRule="auto"/>
              <w:ind w:left="0" w:right="-1" w:firstLine="0"/>
              <w:jc w:val="center"/>
              <w:rPr>
                <w:b w:val="0"/>
                <w:sz w:val="20"/>
              </w:rPr>
            </w:pPr>
            <w:r w:rsidRPr="00730708">
              <w:rPr>
                <w:b w:val="0"/>
                <w:sz w:val="20"/>
              </w:rPr>
              <w:t>Fluide frigorigène d’origine</w:t>
            </w:r>
          </w:p>
        </w:tc>
        <w:tc>
          <w:tcPr>
            <w:tcW w:w="3685" w:type="dxa"/>
            <w:tcBorders>
              <w:top w:val="single" w:sz="4" w:space="0" w:color="auto"/>
              <w:left w:val="single" w:sz="4" w:space="0" w:color="auto"/>
              <w:bottom w:val="single" w:sz="4" w:space="0" w:color="auto"/>
              <w:right w:val="single" w:sz="4" w:space="0" w:color="auto"/>
            </w:tcBorders>
            <w:hideMark/>
          </w:tcPr>
          <w:p w14:paraId="0A8AE633" w14:textId="77777777" w:rsidR="003825DE" w:rsidRPr="00730708" w:rsidRDefault="003825DE">
            <w:pPr>
              <w:pStyle w:val="HChG"/>
              <w:spacing w:before="0" w:after="0" w:line="240" w:lineRule="auto"/>
              <w:ind w:left="0" w:right="-1" w:firstLine="0"/>
              <w:jc w:val="center"/>
              <w:rPr>
                <w:b w:val="0"/>
                <w:sz w:val="20"/>
              </w:rPr>
            </w:pPr>
            <w:r w:rsidRPr="00730708">
              <w:rPr>
                <w:b w:val="0"/>
                <w:sz w:val="20"/>
              </w:rPr>
              <w:t>Fluide frigorigène de substitution</w:t>
            </w:r>
          </w:p>
        </w:tc>
      </w:tr>
      <w:tr w:rsidR="003825DE" w:rsidRPr="00830E5B" w14:paraId="6F6366E8" w14:textId="77777777" w:rsidTr="00711BD5">
        <w:tc>
          <w:tcPr>
            <w:tcW w:w="3681" w:type="dxa"/>
            <w:tcBorders>
              <w:top w:val="single" w:sz="4" w:space="0" w:color="auto"/>
              <w:left w:val="single" w:sz="4" w:space="0" w:color="auto"/>
              <w:bottom w:val="single" w:sz="4" w:space="0" w:color="auto"/>
              <w:right w:val="single" w:sz="4" w:space="0" w:color="auto"/>
            </w:tcBorders>
            <w:hideMark/>
          </w:tcPr>
          <w:p w14:paraId="648B5874" w14:textId="77777777" w:rsidR="003825DE" w:rsidRPr="00730708" w:rsidRDefault="003825DE">
            <w:pPr>
              <w:pStyle w:val="HChG"/>
              <w:spacing w:before="0" w:after="0" w:line="240" w:lineRule="auto"/>
              <w:ind w:left="0" w:right="-1" w:firstLine="0"/>
              <w:jc w:val="center"/>
              <w:rPr>
                <w:b w:val="0"/>
                <w:sz w:val="20"/>
              </w:rPr>
            </w:pPr>
            <w:r w:rsidRPr="00730708">
              <w:rPr>
                <w:b w:val="0"/>
                <w:sz w:val="20"/>
              </w:rPr>
              <w:t>R 404 A</w:t>
            </w:r>
          </w:p>
        </w:tc>
        <w:tc>
          <w:tcPr>
            <w:tcW w:w="3685" w:type="dxa"/>
            <w:tcBorders>
              <w:top w:val="single" w:sz="4" w:space="0" w:color="auto"/>
              <w:left w:val="single" w:sz="4" w:space="0" w:color="auto"/>
              <w:bottom w:val="single" w:sz="4" w:space="0" w:color="auto"/>
              <w:right w:val="single" w:sz="4" w:space="0" w:color="auto"/>
            </w:tcBorders>
            <w:hideMark/>
          </w:tcPr>
          <w:p w14:paraId="50CD4F2E" w14:textId="77777777" w:rsidR="003825DE" w:rsidRPr="00730708" w:rsidRDefault="003825DE">
            <w:pPr>
              <w:pStyle w:val="HChG"/>
              <w:spacing w:before="0" w:after="0" w:line="240" w:lineRule="auto"/>
              <w:ind w:left="0" w:right="-1" w:firstLine="0"/>
              <w:jc w:val="center"/>
              <w:rPr>
                <w:b w:val="0"/>
                <w:sz w:val="20"/>
              </w:rPr>
            </w:pPr>
            <w:r w:rsidRPr="00730708">
              <w:rPr>
                <w:b w:val="0"/>
                <w:sz w:val="20"/>
              </w:rPr>
              <w:t>R 452A</w:t>
            </w:r>
          </w:p>
        </w:tc>
      </w:tr>
    </w:tbl>
    <w:p w14:paraId="6362D82B" w14:textId="7F5C7405" w:rsidR="00D764FF" w:rsidRPr="00730708" w:rsidRDefault="002B21F8" w:rsidP="00F54198">
      <w:pPr>
        <w:pStyle w:val="HChG"/>
        <w:spacing w:before="0"/>
        <w:jc w:val="right"/>
        <w:rPr>
          <w:b w:val="0"/>
          <w:sz w:val="20"/>
        </w:rPr>
      </w:pPr>
      <w:r w:rsidRPr="00730708">
        <w:rPr>
          <w:b w:val="0"/>
          <w:sz w:val="20"/>
        </w:rPr>
        <w:t> »</w:t>
      </w:r>
    </w:p>
    <w:p w14:paraId="536FD242" w14:textId="73E64145" w:rsidR="003825DE" w:rsidRDefault="003825DE" w:rsidP="00473426">
      <w:pPr>
        <w:pStyle w:val="HChG"/>
        <w:rPr>
          <w:kern w:val="3"/>
        </w:rPr>
      </w:pPr>
      <w:r>
        <w:tab/>
        <w:t xml:space="preserve">II. </w:t>
      </w:r>
      <w:r>
        <w:tab/>
      </w:r>
      <w:r w:rsidRPr="00473426">
        <w:t>Justification</w:t>
      </w:r>
    </w:p>
    <w:p w14:paraId="03E2111C" w14:textId="77777777" w:rsidR="003825DE" w:rsidRDefault="003825DE" w:rsidP="003825DE">
      <w:pPr>
        <w:pStyle w:val="SingleTxtG"/>
      </w:pPr>
      <w:r>
        <w:t>7.</w:t>
      </w:r>
      <w:r>
        <w:rPr>
          <w:lang w:val="fr-FR"/>
        </w:rPr>
        <w:tab/>
      </w:r>
      <w:r>
        <w:t>Il est utile de proposer une méthodologie d’essais qui garantisse l’adoption facilitée de fluides frigorigènes de substitution tout en facilitant les substitutions dont l’effet est maintenant connu.</w:t>
      </w:r>
    </w:p>
    <w:p w14:paraId="12B71E90" w14:textId="77777777" w:rsidR="003825DE" w:rsidRDefault="003825DE" w:rsidP="00473426">
      <w:pPr>
        <w:pStyle w:val="HChG"/>
      </w:pPr>
      <w:r>
        <w:lastRenderedPageBreak/>
        <w:tab/>
        <w:t>III.</w:t>
      </w:r>
      <w:r>
        <w:tab/>
      </w:r>
      <w:r w:rsidRPr="00473426">
        <w:t>Coûts</w:t>
      </w:r>
    </w:p>
    <w:p w14:paraId="161C476B" w14:textId="77777777" w:rsidR="003825DE" w:rsidRDefault="003825DE" w:rsidP="003825DE">
      <w:pPr>
        <w:pStyle w:val="SingleTxtG"/>
      </w:pPr>
      <w:r>
        <w:rPr>
          <w:lang w:val="fr-FR"/>
        </w:rPr>
        <w:t>8.</w:t>
      </w:r>
      <w:r>
        <w:rPr>
          <w:lang w:val="fr-FR"/>
        </w:rPr>
        <w:tab/>
      </w:r>
      <w:r>
        <w:t>Il n’y a pas de coûts supplémentaires à prévoir pour les stations d’essais officielles ATP ni même pour les constructeurs.</w:t>
      </w:r>
    </w:p>
    <w:p w14:paraId="55EC83D3" w14:textId="1468D89B" w:rsidR="003825DE" w:rsidRPr="00473426" w:rsidRDefault="003825DE" w:rsidP="00473426">
      <w:pPr>
        <w:pStyle w:val="HChG"/>
      </w:pPr>
      <w:r>
        <w:tab/>
        <w:t>I</w:t>
      </w:r>
      <w:r w:rsidR="002620E5">
        <w:t>V</w:t>
      </w:r>
      <w:r>
        <w:t xml:space="preserve">. </w:t>
      </w:r>
      <w:r>
        <w:tab/>
        <w:t>Faisabilité</w:t>
      </w:r>
    </w:p>
    <w:p w14:paraId="6D8A1914" w14:textId="77777777" w:rsidR="003825DE" w:rsidRDefault="003825DE" w:rsidP="003825DE">
      <w:pPr>
        <w:pStyle w:val="SingleTxtG"/>
      </w:pPr>
      <w:r>
        <w:t>9.</w:t>
      </w:r>
      <w:r>
        <w:tab/>
        <w:t>Pas de contrainte supplémentaire pour les stations d’essais officielles ATP.</w:t>
      </w:r>
    </w:p>
    <w:p w14:paraId="65F115E4" w14:textId="154A7F30" w:rsidR="003825DE" w:rsidRDefault="003825DE" w:rsidP="00473426">
      <w:pPr>
        <w:pStyle w:val="HChG"/>
      </w:pPr>
      <w:r>
        <w:tab/>
        <w:t>V.</w:t>
      </w:r>
      <w:r>
        <w:tab/>
      </w:r>
      <w:r w:rsidRPr="00473426">
        <w:t>Applicabilité</w:t>
      </w:r>
    </w:p>
    <w:p w14:paraId="526D91A7" w14:textId="6BF7135A" w:rsidR="008319D2" w:rsidRPr="008319D2" w:rsidRDefault="003825DE" w:rsidP="00473426">
      <w:pPr>
        <w:pStyle w:val="SingleTxtG"/>
        <w:rPr>
          <w:lang w:val="fr-FR"/>
        </w:rPr>
      </w:pPr>
      <w:r>
        <w:t>10.</w:t>
      </w:r>
      <w:r>
        <w:tab/>
        <w:t>Aucun problème n’est à prévoir en ce qui concerne l’application de la présente proposition.</w:t>
      </w:r>
    </w:p>
    <w:p w14:paraId="76A7FD48" w14:textId="4E5E6D2E" w:rsidR="001D7A3E" w:rsidRPr="00DC3AE9" w:rsidRDefault="00DC3AE9" w:rsidP="00DC3AE9">
      <w:pPr>
        <w:spacing w:before="240"/>
        <w:jc w:val="center"/>
        <w:rPr>
          <w:u w:val="single"/>
          <w:lang w:val="fr-FR"/>
        </w:rPr>
      </w:pPr>
      <w:r>
        <w:rPr>
          <w:u w:val="single"/>
          <w:lang w:val="fr-FR"/>
        </w:rPr>
        <w:tab/>
      </w:r>
      <w:r>
        <w:rPr>
          <w:u w:val="single"/>
          <w:lang w:val="fr-FR"/>
        </w:rPr>
        <w:tab/>
      </w:r>
      <w:r>
        <w:rPr>
          <w:u w:val="single"/>
          <w:lang w:val="fr-FR"/>
        </w:rPr>
        <w:tab/>
      </w:r>
    </w:p>
    <w:sectPr w:rsidR="001D7A3E" w:rsidRPr="00DC3AE9" w:rsidSect="002009E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9969" w14:textId="77777777" w:rsidR="006E2E25" w:rsidRDefault="006E2E25" w:rsidP="00F95C08">
      <w:pPr>
        <w:spacing w:line="240" w:lineRule="auto"/>
      </w:pPr>
    </w:p>
  </w:endnote>
  <w:endnote w:type="continuationSeparator" w:id="0">
    <w:p w14:paraId="5949C0A5" w14:textId="77777777" w:rsidR="006E2E25" w:rsidRPr="00AC3823" w:rsidRDefault="006E2E25" w:rsidP="00AC3823">
      <w:pPr>
        <w:pStyle w:val="Pieddepage"/>
      </w:pPr>
    </w:p>
  </w:endnote>
  <w:endnote w:type="continuationNotice" w:id="1">
    <w:p w14:paraId="5DE85C2C" w14:textId="77777777" w:rsidR="006E2E25" w:rsidRDefault="006E2E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8FFC" w14:textId="77777777" w:rsidR="002009EC" w:rsidRPr="002009EC" w:rsidRDefault="002009EC" w:rsidP="002009EC">
    <w:pPr>
      <w:pStyle w:val="Pieddepage"/>
      <w:tabs>
        <w:tab w:val="right" w:pos="9638"/>
      </w:tabs>
      <w:rPr>
        <w:sz w:val="18"/>
      </w:rPr>
    </w:pP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2</w:t>
    </w:r>
    <w:r w:rsidRPr="002009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8D3" w14:textId="77777777" w:rsidR="002009EC" w:rsidRPr="002009EC" w:rsidRDefault="002009EC" w:rsidP="002009EC">
    <w:pPr>
      <w:pStyle w:val="Pieddepage"/>
      <w:tabs>
        <w:tab w:val="right" w:pos="9638"/>
      </w:tabs>
      <w:rPr>
        <w:b/>
        <w:sz w:val="18"/>
      </w:rPr>
    </w:pPr>
    <w:r>
      <w:tab/>
    </w: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3</w:t>
    </w:r>
    <w:r w:rsidRPr="002009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CAFC" w14:textId="0BB7EC6B" w:rsidR="000D3EE9" w:rsidRPr="00E7363C" w:rsidRDefault="00E7363C" w:rsidP="00E7363C">
    <w:pPr>
      <w:pStyle w:val="Pieddepage"/>
      <w:tabs>
        <w:tab w:val="left" w:pos="6520"/>
        <w:tab w:val="right" w:pos="9638"/>
      </w:tabs>
      <w:spacing w:before="120"/>
      <w:rPr>
        <w:sz w:val="20"/>
      </w:rPr>
    </w:pPr>
    <w:r>
      <w:rPr>
        <w:sz w:val="20"/>
      </w:rPr>
      <w:t>GE.21-10903  (F)</w:t>
    </w:r>
    <w:bookmarkStart w:id="2" w:name="_GoBack"/>
    <w:bookmarkEnd w:id="2"/>
    <w:r>
      <w:rPr>
        <w:sz w:val="20"/>
      </w:rPr>
      <w:tab/>
    </w:r>
    <w:r w:rsidRPr="00E7363C">
      <w:rPr>
        <w:noProof/>
        <w:sz w:val="20"/>
        <w:lang w:eastAsia="fr-CH"/>
      </w:rPr>
      <w:drawing>
        <wp:inline distT="0" distB="0" distL="0" distR="0" wp14:anchorId="152A9352" wp14:editId="1D62694A">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8734E83" wp14:editId="279D587C">
          <wp:extent cx="637540" cy="6375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3FD8" w14:textId="77777777" w:rsidR="006E2E25" w:rsidRPr="00AC3823" w:rsidRDefault="006E2E25" w:rsidP="00AC3823">
      <w:pPr>
        <w:pStyle w:val="Pieddepage"/>
        <w:tabs>
          <w:tab w:val="right" w:pos="2155"/>
        </w:tabs>
        <w:spacing w:after="80" w:line="240" w:lineRule="atLeast"/>
        <w:ind w:left="680"/>
        <w:rPr>
          <w:u w:val="single"/>
        </w:rPr>
      </w:pPr>
      <w:r>
        <w:rPr>
          <w:u w:val="single"/>
        </w:rPr>
        <w:tab/>
      </w:r>
    </w:p>
  </w:footnote>
  <w:footnote w:type="continuationSeparator" w:id="0">
    <w:p w14:paraId="441C0794" w14:textId="77777777" w:rsidR="006E2E25" w:rsidRPr="00AC3823" w:rsidRDefault="006E2E25" w:rsidP="00AC3823">
      <w:pPr>
        <w:pStyle w:val="Pieddepage"/>
        <w:tabs>
          <w:tab w:val="right" w:pos="2155"/>
        </w:tabs>
        <w:spacing w:after="80" w:line="240" w:lineRule="atLeast"/>
        <w:ind w:left="680"/>
        <w:rPr>
          <w:u w:val="single"/>
        </w:rPr>
      </w:pPr>
      <w:r>
        <w:rPr>
          <w:u w:val="single"/>
        </w:rPr>
        <w:tab/>
      </w:r>
    </w:p>
  </w:footnote>
  <w:footnote w:type="continuationNotice" w:id="1">
    <w:p w14:paraId="0C67C941" w14:textId="77777777" w:rsidR="006E2E25" w:rsidRPr="00AC3823" w:rsidRDefault="006E2E2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239E" w14:textId="16E837C1" w:rsidR="002009EC" w:rsidRPr="002009EC" w:rsidRDefault="002009EC">
    <w:pPr>
      <w:pStyle w:val="En-tte"/>
    </w:pPr>
    <w:r>
      <w:t>ECE/TRANS/WP.11/2021/</w:t>
    </w:r>
    <w:r w:rsidR="00473426">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28F" w14:textId="1F5F86C9" w:rsidR="002009EC" w:rsidRPr="002009EC" w:rsidRDefault="002009EC" w:rsidP="002009EC">
    <w:pPr>
      <w:pStyle w:val="En-tte"/>
      <w:jc w:val="right"/>
    </w:pPr>
    <w:r>
      <w:t>ECE/TRANS/WP.11/2021/</w:t>
    </w:r>
    <w:r w:rsidR="0047342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2"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3"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6" w15:restartNumberingAfterBreak="0">
    <w:nsid w:val="617C307C"/>
    <w:multiLevelType w:val="multilevel"/>
    <w:tmpl w:val="6630B7BC"/>
    <w:styleLink w:val="WWNum19"/>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09EC"/>
    <w:rsid w:val="0001207F"/>
    <w:rsid w:val="000173EF"/>
    <w:rsid w:val="00017F94"/>
    <w:rsid w:val="00023842"/>
    <w:rsid w:val="000334F9"/>
    <w:rsid w:val="0004639C"/>
    <w:rsid w:val="00053866"/>
    <w:rsid w:val="0007796D"/>
    <w:rsid w:val="00081100"/>
    <w:rsid w:val="000914B9"/>
    <w:rsid w:val="000942EE"/>
    <w:rsid w:val="000A52BF"/>
    <w:rsid w:val="000B7790"/>
    <w:rsid w:val="000D3EE9"/>
    <w:rsid w:val="000D62F3"/>
    <w:rsid w:val="000E10E3"/>
    <w:rsid w:val="00111F2F"/>
    <w:rsid w:val="001433FD"/>
    <w:rsid w:val="0014365E"/>
    <w:rsid w:val="001541D3"/>
    <w:rsid w:val="00156B77"/>
    <w:rsid w:val="00176178"/>
    <w:rsid w:val="00177140"/>
    <w:rsid w:val="001D400F"/>
    <w:rsid w:val="001D7A3E"/>
    <w:rsid w:val="001F525A"/>
    <w:rsid w:val="002009EC"/>
    <w:rsid w:val="00223272"/>
    <w:rsid w:val="00240333"/>
    <w:rsid w:val="0024779E"/>
    <w:rsid w:val="00260B65"/>
    <w:rsid w:val="002620E5"/>
    <w:rsid w:val="002832AC"/>
    <w:rsid w:val="00293E26"/>
    <w:rsid w:val="002A6DA4"/>
    <w:rsid w:val="002B21F8"/>
    <w:rsid w:val="002D19EE"/>
    <w:rsid w:val="002D7C93"/>
    <w:rsid w:val="00340C26"/>
    <w:rsid w:val="0037241C"/>
    <w:rsid w:val="003819FF"/>
    <w:rsid w:val="003825DE"/>
    <w:rsid w:val="00421FAF"/>
    <w:rsid w:val="00425775"/>
    <w:rsid w:val="00441C3B"/>
    <w:rsid w:val="00446B0A"/>
    <w:rsid w:val="00446FE5"/>
    <w:rsid w:val="00452396"/>
    <w:rsid w:val="00454E57"/>
    <w:rsid w:val="00471288"/>
    <w:rsid w:val="00473426"/>
    <w:rsid w:val="0049687C"/>
    <w:rsid w:val="004A6C83"/>
    <w:rsid w:val="004C3A8A"/>
    <w:rsid w:val="004E181D"/>
    <w:rsid w:val="004E468C"/>
    <w:rsid w:val="005316B0"/>
    <w:rsid w:val="00537110"/>
    <w:rsid w:val="005505B7"/>
    <w:rsid w:val="00573BE5"/>
    <w:rsid w:val="00586ED3"/>
    <w:rsid w:val="00596AA9"/>
    <w:rsid w:val="005B4D0F"/>
    <w:rsid w:val="005C6C7A"/>
    <w:rsid w:val="005E5CCF"/>
    <w:rsid w:val="006531E6"/>
    <w:rsid w:val="00690098"/>
    <w:rsid w:val="006962EC"/>
    <w:rsid w:val="006E2E25"/>
    <w:rsid w:val="00703D0F"/>
    <w:rsid w:val="00706363"/>
    <w:rsid w:val="00711BD5"/>
    <w:rsid w:val="007158BB"/>
    <w:rsid w:val="0071601D"/>
    <w:rsid w:val="00730708"/>
    <w:rsid w:val="0075410D"/>
    <w:rsid w:val="00766028"/>
    <w:rsid w:val="00766FE0"/>
    <w:rsid w:val="007A2300"/>
    <w:rsid w:val="007A62E6"/>
    <w:rsid w:val="007C3DF7"/>
    <w:rsid w:val="0080684C"/>
    <w:rsid w:val="008204DA"/>
    <w:rsid w:val="00830E5B"/>
    <w:rsid w:val="008319D2"/>
    <w:rsid w:val="00837711"/>
    <w:rsid w:val="008535AD"/>
    <w:rsid w:val="0085458A"/>
    <w:rsid w:val="00871C75"/>
    <w:rsid w:val="008767E8"/>
    <w:rsid w:val="008776DC"/>
    <w:rsid w:val="00883605"/>
    <w:rsid w:val="008E6043"/>
    <w:rsid w:val="008F647A"/>
    <w:rsid w:val="009153D5"/>
    <w:rsid w:val="00961E7B"/>
    <w:rsid w:val="009705C8"/>
    <w:rsid w:val="009A4280"/>
    <w:rsid w:val="009C1CF4"/>
    <w:rsid w:val="009F02C9"/>
    <w:rsid w:val="00A078DA"/>
    <w:rsid w:val="00A30353"/>
    <w:rsid w:val="00A55913"/>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5A97"/>
    <w:rsid w:val="00C66A47"/>
    <w:rsid w:val="00C7616F"/>
    <w:rsid w:val="00CB16B5"/>
    <w:rsid w:val="00CC4BFD"/>
    <w:rsid w:val="00CE0608"/>
    <w:rsid w:val="00CF79E4"/>
    <w:rsid w:val="00D00C99"/>
    <w:rsid w:val="00D12851"/>
    <w:rsid w:val="00D3439C"/>
    <w:rsid w:val="00D44CF3"/>
    <w:rsid w:val="00D46C8C"/>
    <w:rsid w:val="00D638F6"/>
    <w:rsid w:val="00D764FF"/>
    <w:rsid w:val="00D933A9"/>
    <w:rsid w:val="00D950C2"/>
    <w:rsid w:val="00DB1831"/>
    <w:rsid w:val="00DC3AE9"/>
    <w:rsid w:val="00DC43B7"/>
    <w:rsid w:val="00DD3BFD"/>
    <w:rsid w:val="00DE1050"/>
    <w:rsid w:val="00DE239D"/>
    <w:rsid w:val="00DF2DA2"/>
    <w:rsid w:val="00DF431C"/>
    <w:rsid w:val="00DF6678"/>
    <w:rsid w:val="00E41641"/>
    <w:rsid w:val="00E428C8"/>
    <w:rsid w:val="00E7363C"/>
    <w:rsid w:val="00EC5539"/>
    <w:rsid w:val="00ED377C"/>
    <w:rsid w:val="00EF2E22"/>
    <w:rsid w:val="00F0592C"/>
    <w:rsid w:val="00F06ED4"/>
    <w:rsid w:val="00F24B16"/>
    <w:rsid w:val="00F43289"/>
    <w:rsid w:val="00F4604C"/>
    <w:rsid w:val="00F54198"/>
    <w:rsid w:val="00F660DF"/>
    <w:rsid w:val="00F7366A"/>
    <w:rsid w:val="00F91E81"/>
    <w:rsid w:val="00F95C08"/>
    <w:rsid w:val="00F9767A"/>
    <w:rsid w:val="00FB0194"/>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A3A46"/>
  <w15:docId w15:val="{F1CE2803-335B-4D01-9D66-BFDFEAC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766028"/>
  </w:style>
  <w:style w:type="paragraph" w:customStyle="1" w:styleId="Standard">
    <w:name w:val="Standard"/>
    <w:rsid w:val="00E41641"/>
    <w:pPr>
      <w:suppressAutoHyphens/>
      <w:autoSpaceDN w:val="0"/>
      <w:snapToGrid w:val="0"/>
      <w:spacing w:after="0" w:line="240" w:lineRule="atLeast"/>
    </w:pPr>
    <w:rPr>
      <w:kern w:val="3"/>
    </w:rPr>
  </w:style>
  <w:style w:type="paragraph" w:styleId="Paragraphedeliste">
    <w:name w:val="List Paragraph"/>
    <w:basedOn w:val="Normal"/>
    <w:qFormat/>
    <w:rsid w:val="003825DE"/>
    <w:pPr>
      <w:kinsoku/>
      <w:overflowPunct/>
      <w:autoSpaceDE/>
      <w:adjustRightInd/>
      <w:ind w:left="720"/>
    </w:pPr>
    <w:rPr>
      <w:kern w:val="3"/>
    </w:rPr>
  </w:style>
  <w:style w:type="numbering" w:customStyle="1" w:styleId="WWNum19">
    <w:name w:val="WWNum19"/>
    <w:rsid w:val="003825DE"/>
    <w:pPr>
      <w:numPr>
        <w:numId w:val="18"/>
      </w:numPr>
    </w:pPr>
  </w:style>
  <w:style w:type="character" w:styleId="Marquedecommentaire">
    <w:name w:val="annotation reference"/>
    <w:basedOn w:val="Policepardfaut"/>
    <w:uiPriority w:val="99"/>
    <w:semiHidden/>
    <w:unhideWhenUsed/>
    <w:rsid w:val="00DF2DA2"/>
    <w:rPr>
      <w:sz w:val="16"/>
      <w:szCs w:val="16"/>
    </w:rPr>
  </w:style>
  <w:style w:type="paragraph" w:styleId="Commentaire">
    <w:name w:val="annotation text"/>
    <w:basedOn w:val="Normal"/>
    <w:link w:val="CommentaireCar"/>
    <w:uiPriority w:val="99"/>
    <w:semiHidden/>
    <w:unhideWhenUsed/>
    <w:rsid w:val="00DF2DA2"/>
    <w:pPr>
      <w:spacing w:line="240" w:lineRule="auto"/>
    </w:pPr>
  </w:style>
  <w:style w:type="character" w:customStyle="1" w:styleId="CommentaireCar">
    <w:name w:val="Commentaire Car"/>
    <w:basedOn w:val="Policepardfaut"/>
    <w:link w:val="Commentaire"/>
    <w:uiPriority w:val="99"/>
    <w:semiHidden/>
    <w:rsid w:val="00DF2DA2"/>
  </w:style>
  <w:style w:type="paragraph" w:styleId="Objetducommentaire">
    <w:name w:val="annotation subject"/>
    <w:basedOn w:val="Commentaire"/>
    <w:next w:val="Commentaire"/>
    <w:link w:val="ObjetducommentaireCar"/>
    <w:uiPriority w:val="99"/>
    <w:semiHidden/>
    <w:unhideWhenUsed/>
    <w:rsid w:val="00DF2DA2"/>
    <w:rPr>
      <w:b/>
      <w:bCs/>
    </w:rPr>
  </w:style>
  <w:style w:type="character" w:customStyle="1" w:styleId="ObjetducommentaireCar">
    <w:name w:val="Objet du commentaire Car"/>
    <w:basedOn w:val="CommentaireCar"/>
    <w:link w:val="Objetducommentaire"/>
    <w:uiPriority w:val="99"/>
    <w:semiHidden/>
    <w:rsid w:val="00DF2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31276">
      <w:bodyDiv w:val="1"/>
      <w:marLeft w:val="0"/>
      <w:marRight w:val="0"/>
      <w:marTop w:val="0"/>
      <w:marBottom w:val="0"/>
      <w:divBdr>
        <w:top w:val="none" w:sz="0" w:space="0" w:color="auto"/>
        <w:left w:val="none" w:sz="0" w:space="0" w:color="auto"/>
        <w:bottom w:val="none" w:sz="0" w:space="0" w:color="auto"/>
        <w:right w:val="none" w:sz="0" w:space="0" w:color="auto"/>
      </w:divBdr>
    </w:div>
    <w:div w:id="402794973">
      <w:bodyDiv w:val="1"/>
      <w:marLeft w:val="0"/>
      <w:marRight w:val="0"/>
      <w:marTop w:val="0"/>
      <w:marBottom w:val="0"/>
      <w:divBdr>
        <w:top w:val="none" w:sz="0" w:space="0" w:color="auto"/>
        <w:left w:val="none" w:sz="0" w:space="0" w:color="auto"/>
        <w:bottom w:val="none" w:sz="0" w:space="0" w:color="auto"/>
        <w:right w:val="none" w:sz="0" w:space="0" w:color="auto"/>
      </w:divBdr>
    </w:div>
    <w:div w:id="498927669">
      <w:bodyDiv w:val="1"/>
      <w:marLeft w:val="0"/>
      <w:marRight w:val="0"/>
      <w:marTop w:val="0"/>
      <w:marBottom w:val="0"/>
      <w:divBdr>
        <w:top w:val="none" w:sz="0" w:space="0" w:color="auto"/>
        <w:left w:val="none" w:sz="0" w:space="0" w:color="auto"/>
        <w:bottom w:val="none" w:sz="0" w:space="0" w:color="auto"/>
        <w:right w:val="none" w:sz="0" w:space="0" w:color="auto"/>
      </w:divBdr>
    </w:div>
    <w:div w:id="621884485">
      <w:bodyDiv w:val="1"/>
      <w:marLeft w:val="0"/>
      <w:marRight w:val="0"/>
      <w:marTop w:val="0"/>
      <w:marBottom w:val="0"/>
      <w:divBdr>
        <w:top w:val="none" w:sz="0" w:space="0" w:color="auto"/>
        <w:left w:val="none" w:sz="0" w:space="0" w:color="auto"/>
        <w:bottom w:val="none" w:sz="0" w:space="0" w:color="auto"/>
        <w:right w:val="none" w:sz="0" w:space="0" w:color="auto"/>
      </w:divBdr>
    </w:div>
    <w:div w:id="815955302">
      <w:bodyDiv w:val="1"/>
      <w:marLeft w:val="0"/>
      <w:marRight w:val="0"/>
      <w:marTop w:val="0"/>
      <w:marBottom w:val="0"/>
      <w:divBdr>
        <w:top w:val="none" w:sz="0" w:space="0" w:color="auto"/>
        <w:left w:val="none" w:sz="0" w:space="0" w:color="auto"/>
        <w:bottom w:val="none" w:sz="0" w:space="0" w:color="auto"/>
        <w:right w:val="none" w:sz="0" w:space="0" w:color="auto"/>
      </w:divBdr>
    </w:div>
    <w:div w:id="830952341">
      <w:bodyDiv w:val="1"/>
      <w:marLeft w:val="0"/>
      <w:marRight w:val="0"/>
      <w:marTop w:val="0"/>
      <w:marBottom w:val="0"/>
      <w:divBdr>
        <w:top w:val="none" w:sz="0" w:space="0" w:color="auto"/>
        <w:left w:val="none" w:sz="0" w:space="0" w:color="auto"/>
        <w:bottom w:val="none" w:sz="0" w:space="0" w:color="auto"/>
        <w:right w:val="none" w:sz="0" w:space="0" w:color="auto"/>
      </w:divBdr>
    </w:div>
    <w:div w:id="915435668">
      <w:bodyDiv w:val="1"/>
      <w:marLeft w:val="0"/>
      <w:marRight w:val="0"/>
      <w:marTop w:val="0"/>
      <w:marBottom w:val="0"/>
      <w:divBdr>
        <w:top w:val="none" w:sz="0" w:space="0" w:color="auto"/>
        <w:left w:val="none" w:sz="0" w:space="0" w:color="auto"/>
        <w:bottom w:val="none" w:sz="0" w:space="0" w:color="auto"/>
        <w:right w:val="none" w:sz="0" w:space="0" w:color="auto"/>
      </w:divBdr>
    </w:div>
    <w:div w:id="1264805480">
      <w:bodyDiv w:val="1"/>
      <w:marLeft w:val="0"/>
      <w:marRight w:val="0"/>
      <w:marTop w:val="0"/>
      <w:marBottom w:val="0"/>
      <w:divBdr>
        <w:top w:val="none" w:sz="0" w:space="0" w:color="auto"/>
        <w:left w:val="none" w:sz="0" w:space="0" w:color="auto"/>
        <w:bottom w:val="none" w:sz="0" w:space="0" w:color="auto"/>
        <w:right w:val="none" w:sz="0" w:space="0" w:color="auto"/>
      </w:divBdr>
    </w:div>
    <w:div w:id="1440682229">
      <w:bodyDiv w:val="1"/>
      <w:marLeft w:val="0"/>
      <w:marRight w:val="0"/>
      <w:marTop w:val="0"/>
      <w:marBottom w:val="0"/>
      <w:divBdr>
        <w:top w:val="none" w:sz="0" w:space="0" w:color="auto"/>
        <w:left w:val="none" w:sz="0" w:space="0" w:color="auto"/>
        <w:bottom w:val="none" w:sz="0" w:space="0" w:color="auto"/>
        <w:right w:val="none" w:sz="0" w:space="0" w:color="auto"/>
      </w:divBdr>
    </w:div>
    <w:div w:id="165152391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7705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90FCD-C8C4-4553-8CC8-AD222465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06AD-C1C5-475E-A860-BF7ED93316B8}">
  <ds:schemaRefs>
    <ds:schemaRef ds:uri="http://schemas.microsoft.com/sharepoint/v3/contenttype/forms"/>
  </ds:schemaRefs>
</ds:datastoreItem>
</file>

<file path=customXml/itemProps3.xml><?xml version="1.0" encoding="utf-8"?>
<ds:datastoreItem xmlns:ds="http://schemas.openxmlformats.org/officeDocument/2006/customXml" ds:itemID="{2BE77BE7-3816-469F-8358-6DD3395285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4429</Characters>
  <Application>Microsoft Office Word</Application>
  <DocSecurity>0</DocSecurity>
  <Lines>100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ECE/TRANS/WP.11/2021/5</vt:lpstr>
      <vt:lpstr>ECE/EX/22</vt:lpstr>
    </vt:vector>
  </TitlesOfParts>
  <Company>DCM</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ECE/TRANS/WP.11/2021/7</dc:title>
  <dc:subject>FINAL</dc:subject>
  <dc:creator>June 2021 amend</dc:creator>
  <cp:keywords/>
  <dc:description/>
  <cp:lastModifiedBy>Christine Chautagnat</cp:lastModifiedBy>
  <cp:revision>2</cp:revision>
  <cp:lastPrinted>2014-05-14T10:59:00Z</cp:lastPrinted>
  <dcterms:created xsi:type="dcterms:W3CDTF">2021-08-10T08:00:00Z</dcterms:created>
  <dcterms:modified xsi:type="dcterms:W3CDTF">2021-08-10T08:00:00Z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