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B89A56" w14:textId="77777777" w:rsidTr="00C97039">
        <w:trPr>
          <w:trHeight w:hRule="exact" w:val="851"/>
        </w:trPr>
        <w:tc>
          <w:tcPr>
            <w:tcW w:w="1276" w:type="dxa"/>
            <w:tcBorders>
              <w:bottom w:val="single" w:sz="4" w:space="0" w:color="auto"/>
            </w:tcBorders>
          </w:tcPr>
          <w:p w14:paraId="12AD286A" w14:textId="77777777" w:rsidR="00F35BAF" w:rsidRPr="00DB58B5" w:rsidRDefault="00F35BAF" w:rsidP="00E95996"/>
        </w:tc>
        <w:tc>
          <w:tcPr>
            <w:tcW w:w="2268" w:type="dxa"/>
            <w:tcBorders>
              <w:bottom w:val="single" w:sz="4" w:space="0" w:color="auto"/>
            </w:tcBorders>
            <w:vAlign w:val="bottom"/>
          </w:tcPr>
          <w:p w14:paraId="17F437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0631FE" w14:textId="300D61F8" w:rsidR="00F35BAF" w:rsidRPr="00DB58B5" w:rsidRDefault="00E95996" w:rsidP="00E95996">
            <w:pPr>
              <w:jc w:val="right"/>
            </w:pPr>
            <w:r w:rsidRPr="00E95996">
              <w:rPr>
                <w:sz w:val="40"/>
              </w:rPr>
              <w:t>ECE</w:t>
            </w:r>
            <w:r>
              <w:t>/TRANS/WP.11/2021/4</w:t>
            </w:r>
          </w:p>
        </w:tc>
      </w:tr>
      <w:tr w:rsidR="00F35BAF" w:rsidRPr="00DB58B5" w14:paraId="093B1E56" w14:textId="77777777" w:rsidTr="00C97039">
        <w:trPr>
          <w:trHeight w:hRule="exact" w:val="2835"/>
        </w:trPr>
        <w:tc>
          <w:tcPr>
            <w:tcW w:w="1276" w:type="dxa"/>
            <w:tcBorders>
              <w:top w:val="single" w:sz="4" w:space="0" w:color="auto"/>
              <w:bottom w:val="single" w:sz="12" w:space="0" w:color="auto"/>
            </w:tcBorders>
          </w:tcPr>
          <w:p w14:paraId="7405D6DE" w14:textId="77777777" w:rsidR="00F35BAF" w:rsidRPr="00DB58B5" w:rsidRDefault="00F35BAF" w:rsidP="00C97039">
            <w:pPr>
              <w:spacing w:before="120"/>
              <w:jc w:val="center"/>
            </w:pPr>
            <w:r>
              <w:rPr>
                <w:noProof/>
                <w:lang w:eastAsia="fr-CH"/>
              </w:rPr>
              <w:drawing>
                <wp:inline distT="0" distB="0" distL="0" distR="0" wp14:anchorId="77027682" wp14:editId="348959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0E5C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5092F6" w14:textId="77777777" w:rsidR="00F35BAF" w:rsidRDefault="00E95996" w:rsidP="00C97039">
            <w:pPr>
              <w:spacing w:before="240"/>
            </w:pPr>
            <w:proofErr w:type="spellStart"/>
            <w:r>
              <w:t>Distr</w:t>
            </w:r>
            <w:proofErr w:type="spellEnd"/>
            <w:r>
              <w:t>. générale</w:t>
            </w:r>
          </w:p>
          <w:p w14:paraId="1130732B" w14:textId="77777777" w:rsidR="00E95996" w:rsidRDefault="00E95996" w:rsidP="00E95996">
            <w:pPr>
              <w:spacing w:line="240" w:lineRule="exact"/>
            </w:pPr>
            <w:r>
              <w:t>9 août 2021</w:t>
            </w:r>
          </w:p>
          <w:p w14:paraId="37F9F9E6" w14:textId="77777777" w:rsidR="00E95996" w:rsidRDefault="00E95996" w:rsidP="00E95996">
            <w:pPr>
              <w:spacing w:line="240" w:lineRule="exact"/>
            </w:pPr>
            <w:r>
              <w:t>Français</w:t>
            </w:r>
          </w:p>
          <w:p w14:paraId="664BE91E" w14:textId="17A661A7" w:rsidR="00E95996" w:rsidRPr="00DB58B5" w:rsidRDefault="00E95996" w:rsidP="00E95996">
            <w:pPr>
              <w:spacing w:line="240" w:lineRule="exact"/>
            </w:pPr>
            <w:r>
              <w:t>Original</w:t>
            </w:r>
            <w:r w:rsidR="009B0B78">
              <w:t> :</w:t>
            </w:r>
            <w:r>
              <w:t xml:space="preserve"> anglais</w:t>
            </w:r>
          </w:p>
        </w:tc>
      </w:tr>
    </w:tbl>
    <w:p w14:paraId="3C077513" w14:textId="77777777" w:rsidR="007F20FA" w:rsidRPr="000312C0" w:rsidRDefault="007F20FA" w:rsidP="007F20FA">
      <w:pPr>
        <w:spacing w:before="120"/>
        <w:rPr>
          <w:b/>
          <w:sz w:val="28"/>
          <w:szCs w:val="28"/>
        </w:rPr>
      </w:pPr>
      <w:r w:rsidRPr="000312C0">
        <w:rPr>
          <w:b/>
          <w:sz w:val="28"/>
          <w:szCs w:val="28"/>
        </w:rPr>
        <w:t>Commission économique pour l’Europe</w:t>
      </w:r>
    </w:p>
    <w:p w14:paraId="7726DFEC" w14:textId="77777777" w:rsidR="00395D3B" w:rsidRPr="006C76ED" w:rsidRDefault="00395D3B" w:rsidP="00395D3B">
      <w:pPr>
        <w:spacing w:before="120"/>
        <w:rPr>
          <w:sz w:val="28"/>
          <w:szCs w:val="28"/>
        </w:rPr>
      </w:pPr>
      <w:r w:rsidRPr="00A534DC">
        <w:rPr>
          <w:sz w:val="28"/>
          <w:szCs w:val="28"/>
          <w:lang w:val="fr-FR"/>
        </w:rPr>
        <w:t>Comité des transports intérieurs</w:t>
      </w:r>
    </w:p>
    <w:p w14:paraId="29695DB7" w14:textId="216BD100" w:rsidR="00395D3B" w:rsidRPr="006C76ED" w:rsidRDefault="00395D3B" w:rsidP="00395D3B">
      <w:pPr>
        <w:spacing w:before="120"/>
        <w:rPr>
          <w:b/>
          <w:sz w:val="32"/>
          <w:szCs w:val="32"/>
        </w:rPr>
      </w:pPr>
      <w:r w:rsidRPr="00A534DC">
        <w:rPr>
          <w:b/>
          <w:bCs/>
          <w:sz w:val="24"/>
          <w:szCs w:val="24"/>
          <w:lang w:val="fr-FR"/>
        </w:rPr>
        <w:t>Groupe de travail du transport des</w:t>
      </w:r>
      <w:r>
        <w:rPr>
          <w:b/>
          <w:bCs/>
          <w:sz w:val="24"/>
          <w:szCs w:val="24"/>
          <w:lang w:val="fr-FR"/>
        </w:rPr>
        <w:t xml:space="preserve"> </w:t>
      </w:r>
      <w:r w:rsidRPr="00A534DC">
        <w:rPr>
          <w:b/>
          <w:bCs/>
          <w:sz w:val="24"/>
          <w:szCs w:val="24"/>
          <w:lang w:val="fr-FR"/>
        </w:rPr>
        <w:t>denrées périssables</w:t>
      </w:r>
    </w:p>
    <w:p w14:paraId="4A3D0E6C" w14:textId="77777777" w:rsidR="00395D3B" w:rsidRPr="006C76ED" w:rsidRDefault="00395D3B" w:rsidP="00395D3B">
      <w:pPr>
        <w:spacing w:before="120"/>
        <w:rPr>
          <w:b/>
        </w:rPr>
      </w:pPr>
      <w:r>
        <w:rPr>
          <w:b/>
          <w:bCs/>
          <w:lang w:val="fr-FR"/>
        </w:rPr>
        <w:t>Soixante-dix-septième session</w:t>
      </w:r>
    </w:p>
    <w:p w14:paraId="235F1004" w14:textId="77777777" w:rsidR="00395D3B" w:rsidRPr="006C76ED" w:rsidRDefault="00395D3B" w:rsidP="00395D3B">
      <w:r>
        <w:rPr>
          <w:lang w:val="fr-FR"/>
        </w:rPr>
        <w:t>Genève, 26-29 octobre 2021</w:t>
      </w:r>
    </w:p>
    <w:p w14:paraId="10F62792" w14:textId="77777777" w:rsidR="00395D3B" w:rsidRPr="006C76ED" w:rsidRDefault="00395D3B" w:rsidP="00395D3B">
      <w:r>
        <w:rPr>
          <w:lang w:val="fr-FR"/>
        </w:rPr>
        <w:t>Point 5 b) de l’ordre du jour provisoire</w:t>
      </w:r>
    </w:p>
    <w:p w14:paraId="4E58D5C5" w14:textId="52A71FF8" w:rsidR="00395D3B" w:rsidRPr="006C76ED" w:rsidRDefault="00395D3B" w:rsidP="00395D3B">
      <w:pPr>
        <w:rPr>
          <w:b/>
        </w:rPr>
      </w:pPr>
      <w:r>
        <w:rPr>
          <w:b/>
          <w:bCs/>
          <w:lang w:val="fr-FR"/>
        </w:rPr>
        <w:t>Propositions d’amendements à l’ATP</w:t>
      </w:r>
      <w:r w:rsidR="009B0B78">
        <w:rPr>
          <w:b/>
          <w:bCs/>
          <w:lang w:val="fr-FR"/>
        </w:rPr>
        <w:t> :</w:t>
      </w:r>
      <w:r>
        <w:rPr>
          <w:b/>
          <w:bCs/>
          <w:lang w:val="fr-FR"/>
        </w:rPr>
        <w:t xml:space="preserve"> </w:t>
      </w:r>
      <w:r w:rsidR="00D422D7">
        <w:rPr>
          <w:b/>
          <w:bCs/>
          <w:lang w:val="fr-FR"/>
        </w:rPr>
        <w:br/>
      </w:r>
      <w:r>
        <w:rPr>
          <w:b/>
          <w:bCs/>
          <w:lang w:val="fr-FR"/>
        </w:rPr>
        <w:t>Nouvelles propositions</w:t>
      </w:r>
    </w:p>
    <w:p w14:paraId="410DB637" w14:textId="5C01F456" w:rsidR="00395D3B" w:rsidRPr="006C76ED" w:rsidRDefault="00395D3B" w:rsidP="00395D3B">
      <w:pPr>
        <w:pStyle w:val="HChG"/>
      </w:pPr>
      <w:r>
        <w:rPr>
          <w:lang w:val="fr-FR"/>
        </w:rPr>
        <w:tab/>
      </w:r>
      <w:r>
        <w:rPr>
          <w:lang w:val="fr-FR"/>
        </w:rPr>
        <w:tab/>
        <w:t>Ajout</w:t>
      </w:r>
      <w:r w:rsidRPr="00764E62">
        <w:rPr>
          <w:lang w:val="fr-FR"/>
        </w:rPr>
        <w:t xml:space="preserve"> </w:t>
      </w:r>
      <w:r>
        <w:rPr>
          <w:lang w:val="fr-FR"/>
        </w:rPr>
        <w:t>d’une méthode</w:t>
      </w:r>
      <w:r w:rsidRPr="00764E62">
        <w:rPr>
          <w:lang w:val="fr-FR"/>
        </w:rPr>
        <w:t xml:space="preserve"> </w:t>
      </w:r>
      <w:r>
        <w:rPr>
          <w:lang w:val="fr-FR"/>
        </w:rPr>
        <w:t xml:space="preserve">supplémentaire </w:t>
      </w:r>
      <w:r w:rsidRPr="00764E62">
        <w:rPr>
          <w:lang w:val="fr-FR"/>
        </w:rPr>
        <w:t xml:space="preserve">par itérations successives </w:t>
      </w:r>
      <w:r>
        <w:rPr>
          <w:lang w:val="fr-FR"/>
        </w:rPr>
        <w:t>pour les citernes au paragraphe</w:t>
      </w:r>
      <w:r w:rsidR="00D422D7">
        <w:rPr>
          <w:lang w:val="fr-FR"/>
        </w:rPr>
        <w:t> </w:t>
      </w:r>
      <w:r>
        <w:rPr>
          <w:lang w:val="fr-FR"/>
        </w:rPr>
        <w:t xml:space="preserve">1.2 </w:t>
      </w:r>
      <w:r w:rsidR="00D422D7">
        <w:rPr>
          <w:lang w:val="fr-FR"/>
        </w:rPr>
        <w:br/>
      </w:r>
      <w:r>
        <w:rPr>
          <w:lang w:val="fr-FR"/>
        </w:rPr>
        <w:t>de</w:t>
      </w:r>
      <w:r w:rsidR="00D422D7">
        <w:rPr>
          <w:lang w:val="fr-FR"/>
        </w:rPr>
        <w:t xml:space="preserve"> </w:t>
      </w:r>
      <w:r>
        <w:rPr>
          <w:lang w:val="fr-FR"/>
        </w:rPr>
        <w:t>l’appendice</w:t>
      </w:r>
      <w:r w:rsidR="00D422D7">
        <w:rPr>
          <w:lang w:val="fr-FR"/>
        </w:rPr>
        <w:t> </w:t>
      </w:r>
      <w:r>
        <w:rPr>
          <w:lang w:val="fr-FR"/>
        </w:rPr>
        <w:t>2 de l’annexe</w:t>
      </w:r>
      <w:r w:rsidR="00D422D7">
        <w:rPr>
          <w:lang w:val="fr-FR"/>
        </w:rPr>
        <w:t> </w:t>
      </w:r>
      <w:r>
        <w:rPr>
          <w:lang w:val="fr-FR"/>
        </w:rPr>
        <w:t>1</w:t>
      </w:r>
    </w:p>
    <w:p w14:paraId="4614390B" w14:textId="77777777" w:rsidR="00395D3B" w:rsidRPr="006C76ED" w:rsidRDefault="00395D3B" w:rsidP="00395D3B">
      <w:pPr>
        <w:pStyle w:val="H1G"/>
      </w:pPr>
      <w:r>
        <w:rPr>
          <w:lang w:val="fr-FR"/>
        </w:rPr>
        <w:tab/>
      </w:r>
      <w:r>
        <w:rPr>
          <w:lang w:val="fr-FR"/>
        </w:rPr>
        <w:tab/>
        <w:t>Communication du Gouvernement espagnol</w:t>
      </w:r>
    </w:p>
    <w:p w14:paraId="10DD2567" w14:textId="77777777" w:rsidR="00395D3B" w:rsidRPr="006C76ED" w:rsidRDefault="00395D3B" w:rsidP="00395D3B">
      <w:pPr>
        <w:pStyle w:val="HChG"/>
      </w:pPr>
      <w:r>
        <w:rPr>
          <w:lang w:val="fr-FR"/>
        </w:rPr>
        <w:tab/>
      </w:r>
      <w:r>
        <w:rPr>
          <w:lang w:val="fr-FR"/>
        </w:rPr>
        <w:tab/>
        <w:t>Introduction</w:t>
      </w:r>
    </w:p>
    <w:p w14:paraId="0EF0A20F" w14:textId="548AA456" w:rsidR="00395D3B" w:rsidRPr="006C76ED" w:rsidRDefault="00395D3B" w:rsidP="00395D3B">
      <w:pPr>
        <w:pStyle w:val="SingleTxtG"/>
      </w:pPr>
      <w:r>
        <w:rPr>
          <w:lang w:val="fr-FR"/>
        </w:rPr>
        <w:t>1.</w:t>
      </w:r>
      <w:r>
        <w:rPr>
          <w:lang w:val="fr-FR"/>
        </w:rPr>
        <w:tab/>
        <w:t>La détermination de la surface à utiliser dans le calcul du coefficient</w:t>
      </w:r>
      <w:r w:rsidR="00D422D7">
        <w:rPr>
          <w:lang w:val="fr-FR"/>
        </w:rPr>
        <w:t> </w:t>
      </w:r>
      <w:r>
        <w:rPr>
          <w:lang w:val="fr-FR"/>
        </w:rPr>
        <w:t>K peut être très complexe et faire intervenir des parties physiques mal définies par la géométrie de l’enveloppe du matériel concerné. La méthode</w:t>
      </w:r>
      <w:r w:rsidR="00D422D7">
        <w:rPr>
          <w:lang w:val="fr-FR"/>
        </w:rPr>
        <w:t> </w:t>
      </w:r>
      <w:r>
        <w:rPr>
          <w:lang w:val="fr-FR"/>
        </w:rPr>
        <w:t xml:space="preserve">C a été introduite dans le texte actuel de l’Accord relatif aux transports internationaux de denrées périssables et aux engins spéciaux à utiliser pour ces transports (ATP) pour les cas où la surface interne peut être mesurée avec précision, mais non la surface externe. </w:t>
      </w:r>
    </w:p>
    <w:p w14:paraId="4085D16C" w14:textId="1E98852B" w:rsidR="00395D3B" w:rsidRPr="006C76ED" w:rsidRDefault="00395D3B" w:rsidP="00395D3B">
      <w:pPr>
        <w:pStyle w:val="SingleTxtG"/>
      </w:pPr>
      <w:r>
        <w:rPr>
          <w:lang w:val="fr-FR"/>
        </w:rPr>
        <w:t>2.</w:t>
      </w:r>
      <w:r>
        <w:rPr>
          <w:lang w:val="fr-FR"/>
        </w:rPr>
        <w:tab/>
        <w:t xml:space="preserve">Il peut également exister des cas, notamment pour les citernes, dans lesquels on se trouve dans la situation inverse, à savoir qu’il est facile d’en mesurer la surface extérieure, mais très difficile </w:t>
      </w:r>
      <w:r w:rsidR="005C0824">
        <w:rPr>
          <w:lang w:val="fr-FR"/>
        </w:rPr>
        <w:t>− </w:t>
      </w:r>
      <w:r>
        <w:rPr>
          <w:lang w:val="fr-FR"/>
        </w:rPr>
        <w:t>et même dangereux</w:t>
      </w:r>
      <w:r w:rsidR="005C0824">
        <w:rPr>
          <w:lang w:val="fr-FR"/>
        </w:rPr>
        <w:t> −</w:t>
      </w:r>
      <w:r>
        <w:rPr>
          <w:lang w:val="fr-FR"/>
        </w:rPr>
        <w:t xml:space="preserve"> d’en mesurer la surface intérieure. </w:t>
      </w:r>
    </w:p>
    <w:p w14:paraId="68BFEA02" w14:textId="15833A91" w:rsidR="00395D3B" w:rsidRPr="006C76ED" w:rsidRDefault="00395D3B" w:rsidP="00395D3B">
      <w:pPr>
        <w:pStyle w:val="SingleTxtG"/>
      </w:pPr>
      <w:r>
        <w:rPr>
          <w:lang w:val="fr-FR"/>
        </w:rPr>
        <w:t>3.</w:t>
      </w:r>
      <w:r>
        <w:rPr>
          <w:lang w:val="fr-FR"/>
        </w:rPr>
        <w:tab/>
        <w:t xml:space="preserve">Pour de tels cas, il est proposé d’utiliser le même principe que pour la procédure </w:t>
      </w:r>
      <w:r w:rsidRPr="00764E62">
        <w:rPr>
          <w:lang w:val="fr-FR"/>
        </w:rPr>
        <w:t>par itératio</w:t>
      </w:r>
      <w:r>
        <w:rPr>
          <w:lang w:val="fr-FR"/>
        </w:rPr>
        <w:t>ns</w:t>
      </w:r>
      <w:r w:rsidRPr="00764E62">
        <w:rPr>
          <w:lang w:val="fr-FR"/>
        </w:rPr>
        <w:t xml:space="preserve"> successives </w:t>
      </w:r>
      <w:r>
        <w:rPr>
          <w:lang w:val="fr-FR"/>
        </w:rPr>
        <w:t>utilisée dans la méthode</w:t>
      </w:r>
      <w:r w:rsidR="0030674C">
        <w:rPr>
          <w:lang w:val="fr-FR"/>
        </w:rPr>
        <w:t> </w:t>
      </w:r>
      <w:r>
        <w:rPr>
          <w:lang w:val="fr-FR"/>
        </w:rPr>
        <w:t>C, mais en commençant par l’enveloppe extérieure et en procédant vers l’intérieur pour calculer par étapes la surface interne en utilisant une procédure itérative, et en l’incluant en tant que nouvelle méthode</w:t>
      </w:r>
      <w:r w:rsidR="0030674C">
        <w:rPr>
          <w:lang w:val="fr-FR"/>
        </w:rPr>
        <w:t> </w:t>
      </w:r>
      <w:r>
        <w:rPr>
          <w:lang w:val="fr-FR"/>
        </w:rPr>
        <w:t>D.</w:t>
      </w:r>
    </w:p>
    <w:p w14:paraId="25813D66" w14:textId="33F41775" w:rsidR="00395D3B" w:rsidRPr="006C76ED" w:rsidRDefault="00395D3B" w:rsidP="00395D3B">
      <w:pPr>
        <w:pStyle w:val="SingleTxtG"/>
      </w:pPr>
      <w:r>
        <w:rPr>
          <w:lang w:val="fr-FR"/>
        </w:rPr>
        <w:t>4.</w:t>
      </w:r>
      <w:r>
        <w:rPr>
          <w:lang w:val="fr-FR"/>
        </w:rPr>
        <w:tab/>
        <w:t xml:space="preserve">On trouvera dans le document informel INF.2, intitulé « A </w:t>
      </w:r>
      <w:proofErr w:type="spellStart"/>
      <w:r>
        <w:rPr>
          <w:lang w:val="fr-FR"/>
        </w:rPr>
        <w:t>scientific</w:t>
      </w:r>
      <w:proofErr w:type="spellEnd"/>
      <w:r>
        <w:rPr>
          <w:lang w:val="fr-FR"/>
        </w:rPr>
        <w:t xml:space="preserve"> background on the </w:t>
      </w:r>
      <w:proofErr w:type="spellStart"/>
      <w:r>
        <w:rPr>
          <w:lang w:val="fr-FR"/>
        </w:rPr>
        <w:t>iterative</w:t>
      </w:r>
      <w:proofErr w:type="spellEnd"/>
      <w:r>
        <w:rPr>
          <w:lang w:val="fr-FR"/>
        </w:rPr>
        <w:t xml:space="preserve"> </w:t>
      </w:r>
      <w:proofErr w:type="spellStart"/>
      <w:r>
        <w:rPr>
          <w:lang w:val="fr-FR"/>
        </w:rPr>
        <w:t>methods</w:t>
      </w:r>
      <w:proofErr w:type="spellEnd"/>
      <w:r>
        <w:rPr>
          <w:lang w:val="fr-FR"/>
        </w:rPr>
        <w:t xml:space="preserve"> </w:t>
      </w:r>
      <w:proofErr w:type="spellStart"/>
      <w:r>
        <w:rPr>
          <w:lang w:val="fr-FR"/>
        </w:rPr>
        <w:t>used</w:t>
      </w:r>
      <w:proofErr w:type="spellEnd"/>
      <w:r>
        <w:rPr>
          <w:lang w:val="fr-FR"/>
        </w:rPr>
        <w:t xml:space="preserve"> in Annex 1, Appendix 2, section 1.2 to </w:t>
      </w:r>
      <w:proofErr w:type="spellStart"/>
      <w:r>
        <w:rPr>
          <w:lang w:val="fr-FR"/>
        </w:rPr>
        <w:t>determine</w:t>
      </w:r>
      <w:proofErr w:type="spellEnd"/>
      <w:r>
        <w:rPr>
          <w:lang w:val="fr-FR"/>
        </w:rPr>
        <w:t xml:space="preserve"> the value of the surface to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in the </w:t>
      </w:r>
      <w:proofErr w:type="spellStart"/>
      <w:r>
        <w:rPr>
          <w:lang w:val="fr-FR"/>
        </w:rPr>
        <w:t>determination</w:t>
      </w:r>
      <w:proofErr w:type="spellEnd"/>
      <w:r>
        <w:rPr>
          <w:lang w:val="fr-FR"/>
        </w:rPr>
        <w:t xml:space="preserve"> of coefficient K in ATP </w:t>
      </w:r>
      <w:proofErr w:type="spellStart"/>
      <w:r>
        <w:rPr>
          <w:lang w:val="fr-FR"/>
        </w:rPr>
        <w:t>isothermal</w:t>
      </w:r>
      <w:proofErr w:type="spellEnd"/>
      <w:r>
        <w:rPr>
          <w:lang w:val="fr-FR"/>
        </w:rPr>
        <w:t xml:space="preserve"> tests » et soumis à la présente session, une analyse topologique de la méthode itérative utilisée dans la méthode C, complétée par la même analyse appliquée à ce cas supplémentaire (voir</w:t>
      </w:r>
      <w:r w:rsidR="0097595C">
        <w:rPr>
          <w:lang w:val="fr-FR"/>
        </w:rPr>
        <w:t> </w:t>
      </w:r>
      <w:r>
        <w:rPr>
          <w:lang w:val="fr-FR"/>
        </w:rPr>
        <w:t>document informel INF.2 de la soixante-dix-septième session, 2</w:t>
      </w:r>
      <w:r>
        <w:rPr>
          <w:vertAlign w:val="superscript"/>
          <w:lang w:val="fr-FR"/>
        </w:rPr>
        <w:t>e</w:t>
      </w:r>
      <w:r>
        <w:rPr>
          <w:lang w:val="fr-FR"/>
        </w:rPr>
        <w:t> partie, sect</w:t>
      </w:r>
      <w:r w:rsidR="0097595C">
        <w:rPr>
          <w:lang w:val="fr-FR"/>
        </w:rPr>
        <w:t>. </w:t>
      </w:r>
      <w:r>
        <w:rPr>
          <w:lang w:val="fr-FR"/>
        </w:rPr>
        <w:t xml:space="preserve">3). </w:t>
      </w:r>
    </w:p>
    <w:p w14:paraId="6A1D3065" w14:textId="20988769" w:rsidR="00395D3B" w:rsidRPr="006C76ED" w:rsidRDefault="00395D3B" w:rsidP="00395D3B">
      <w:pPr>
        <w:pStyle w:val="SingleTxtG"/>
      </w:pPr>
      <w:r>
        <w:rPr>
          <w:lang w:val="fr-FR"/>
        </w:rPr>
        <w:t>5.</w:t>
      </w:r>
      <w:r>
        <w:rPr>
          <w:lang w:val="fr-FR"/>
        </w:rPr>
        <w:tab/>
        <w:t>L’application de la méthode itérative en partant de la surface extérieure permet un traitement plus simple des citernes car</w:t>
      </w:r>
      <w:r w:rsidR="0097595C">
        <w:rPr>
          <w:lang w:val="fr-FR"/>
        </w:rPr>
        <w:t>,</w:t>
      </w:r>
      <w:r>
        <w:rPr>
          <w:lang w:val="fr-FR"/>
        </w:rPr>
        <w:t xml:space="preserve"> dans de nombreux cas, la mesure de leur surface intérieure présente de nombreux risques du point de vue de la sécurité du travail. </w:t>
      </w:r>
    </w:p>
    <w:p w14:paraId="7CD67153" w14:textId="7812F66C" w:rsidR="00395D3B" w:rsidRPr="006C76ED" w:rsidRDefault="00395D3B" w:rsidP="00395D3B">
      <w:pPr>
        <w:pStyle w:val="SingleTxtG"/>
        <w:keepLines/>
      </w:pPr>
      <w:r>
        <w:rPr>
          <w:lang w:val="fr-FR"/>
        </w:rPr>
        <w:lastRenderedPageBreak/>
        <w:t>6.</w:t>
      </w:r>
      <w:r>
        <w:rPr>
          <w:lang w:val="fr-FR"/>
        </w:rPr>
        <w:tab/>
        <w:t>Étant donné que, dans le cas qui nous intéresse, l’itération va de l’extérieur vers l’intérieur, le paramètre λ doit être adapté à ce fait et une valeur initiale λ</w:t>
      </w:r>
      <w:r w:rsidR="0097595C">
        <w:rPr>
          <w:lang w:val="fr-FR"/>
        </w:rPr>
        <w:t> </w:t>
      </w:r>
      <w:r>
        <w:rPr>
          <w:lang w:val="fr-FR"/>
        </w:rPr>
        <w:t>=</w:t>
      </w:r>
      <w:r w:rsidR="0097595C">
        <w:rPr>
          <w:lang w:val="fr-FR"/>
        </w:rPr>
        <w:t> </w:t>
      </w:r>
      <w:r>
        <w:rPr>
          <w:lang w:val="fr-FR"/>
        </w:rPr>
        <w:t>0,035 W/m</w:t>
      </w:r>
      <w:r w:rsidR="0097595C">
        <w:rPr>
          <w:lang w:val="fr-FR"/>
        </w:rPr>
        <w:t> </w:t>
      </w:r>
      <w:r w:rsidR="00CB19BA">
        <w:rPr>
          <w:lang w:val="fr-FR"/>
        </w:rPr>
        <w:t>°</w:t>
      </w:r>
      <w:r>
        <w:rPr>
          <w:lang w:val="fr-FR"/>
        </w:rPr>
        <w:t>C est proposée (voir la justification de cette valeur dans le document informel INF.2 de la soixante</w:t>
      </w:r>
      <w:r w:rsidR="0073098B">
        <w:rPr>
          <w:lang w:val="fr-FR"/>
        </w:rPr>
        <w:noBreakHyphen/>
      </w:r>
      <w:r>
        <w:rPr>
          <w:lang w:val="fr-FR"/>
        </w:rPr>
        <w:t>dix</w:t>
      </w:r>
      <w:r w:rsidR="0073098B">
        <w:rPr>
          <w:lang w:val="fr-FR"/>
        </w:rPr>
        <w:noBreakHyphen/>
      </w:r>
      <w:r>
        <w:rPr>
          <w:lang w:val="fr-FR"/>
        </w:rPr>
        <w:t>septième session), à moins qu’il soit possible d’estimer plus précisément la conductivité de l’isolant, soit par mesure physique, soit au moyen d’études statistiques de matériels similaires.</w:t>
      </w:r>
    </w:p>
    <w:p w14:paraId="49C666CD" w14:textId="77777777" w:rsidR="00395D3B" w:rsidRPr="006C76ED" w:rsidRDefault="00395D3B" w:rsidP="00395D3B">
      <w:pPr>
        <w:pStyle w:val="HChG"/>
      </w:pPr>
      <w:r>
        <w:rPr>
          <w:lang w:val="fr-FR"/>
        </w:rPr>
        <w:tab/>
      </w:r>
      <w:r>
        <w:rPr>
          <w:lang w:val="fr-FR"/>
        </w:rPr>
        <w:tab/>
        <w:t>Méthode de calcul proposée</w:t>
      </w:r>
    </w:p>
    <w:p w14:paraId="5B62A4CE" w14:textId="77777777" w:rsidR="00395D3B" w:rsidRPr="006C76ED" w:rsidRDefault="00395D3B" w:rsidP="00395D3B">
      <w:pPr>
        <w:pStyle w:val="SingleTxtG"/>
      </w:pPr>
      <w:r>
        <w:rPr>
          <w:lang w:val="fr-FR"/>
        </w:rPr>
        <w:t>7.</w:t>
      </w:r>
      <w:r>
        <w:rPr>
          <w:lang w:val="fr-FR"/>
        </w:rPr>
        <w:tab/>
        <w:t xml:space="preserve">La méthode itérative proposée est une manière autocohérente de déterminer à la fois la surface interne de la citerne (ou de la caisse, ou du conteneur) et la valeur </w:t>
      </w:r>
      <w:r w:rsidRPr="00B43F84">
        <w:rPr>
          <w:lang w:val="fr-FR"/>
        </w:rPr>
        <w:t>K</w:t>
      </w:r>
      <w:r>
        <w:rPr>
          <w:lang w:val="fr-FR"/>
        </w:rPr>
        <w:t xml:space="preserve"> pour les cas où la surface externe est connue, mais non la surface interne. </w:t>
      </w:r>
    </w:p>
    <w:p w14:paraId="725966F9" w14:textId="5E718781" w:rsidR="00395D3B" w:rsidRPr="001F639D" w:rsidRDefault="00395D3B" w:rsidP="00CB19BA">
      <w:pPr>
        <w:pStyle w:val="SingleTxtG"/>
        <w:keepNext/>
      </w:pPr>
      <w:r>
        <w:rPr>
          <w:lang w:val="fr-FR"/>
        </w:rPr>
        <w:t>8.</w:t>
      </w:r>
      <w:r>
        <w:rPr>
          <w:lang w:val="fr-FR"/>
        </w:rPr>
        <w:tab/>
        <w:t xml:space="preserve">Pour l’appliquer, il faut connaître la surface externe </w:t>
      </w:r>
      <w:r w:rsidRPr="00B43F84">
        <w:rPr>
          <w:lang w:val="fr-FR"/>
        </w:rPr>
        <w:t>S</w:t>
      </w:r>
      <w:r>
        <w:rPr>
          <w:vertAlign w:val="subscript"/>
          <w:lang w:val="fr-FR"/>
        </w:rPr>
        <w:t>e</w:t>
      </w:r>
      <w:r>
        <w:rPr>
          <w:lang w:val="fr-FR"/>
        </w:rPr>
        <w:t xml:space="preserve">. Un essai doit être réalisé pour obtenir la valeur de la puissance de chauffe W et la différence de température ΔT entre l’air intérieur et l’air extérieur pendant l’essai. Un coefficient initial </w:t>
      </w:r>
      <w:r w:rsidRPr="0073098B">
        <w:rPr>
          <w:lang w:val="fr-FR"/>
        </w:rPr>
        <w:t>K</w:t>
      </w:r>
      <w:r>
        <w:rPr>
          <w:vertAlign w:val="subscript"/>
          <w:lang w:val="fr-FR"/>
        </w:rPr>
        <w:t>1</w:t>
      </w:r>
      <w:r>
        <w:rPr>
          <w:lang w:val="fr-FR"/>
        </w:rPr>
        <w:t xml:space="preserve"> est obtenu comme suit</w:t>
      </w:r>
      <w:r w:rsidR="009B0B78">
        <w:rPr>
          <w:lang w:val="fr-FR"/>
        </w:rPr>
        <w:t> :</w:t>
      </w:r>
    </w:p>
    <w:p w14:paraId="6AD04D20" w14:textId="2BD129CF" w:rsidR="00395D3B" w:rsidRPr="00CB19BA" w:rsidRDefault="00395D3B" w:rsidP="00395D3B">
      <w:pPr>
        <w:pStyle w:val="SingleTxtG"/>
        <w:rPr>
          <w:bCs/>
          <w:iCs/>
          <w:lang w:val="en-US"/>
        </w:rPr>
      </w:pPr>
      <m:oMathPara>
        <m:oMathParaPr>
          <m:jc m:val="left"/>
        </m:oMathParaPr>
        <m:oMath>
          <m:sSub>
            <m:sSubPr>
              <m:ctrlPr>
                <w:rPr>
                  <w:rFonts w:ascii="Cambria Math" w:hAnsi="Cambria Math"/>
                  <w:iCs/>
                  <w:lang w:val="en-US"/>
                </w:rPr>
              </m:ctrlPr>
            </m:sSubPr>
            <m:e>
              <m:r>
                <m:rPr>
                  <m:sty m:val="p"/>
                </m:rPr>
                <w:rPr>
                  <w:rFonts w:ascii="Cambria Math" w:hAnsi="Cambria Math"/>
                  <w:lang w:val="en-US"/>
                </w:rPr>
                <m:t>K</m:t>
              </m:r>
            </m:e>
            <m:sub>
              <m:r>
                <m:rPr>
                  <m:sty m:val="p"/>
                </m:rPr>
                <w:rPr>
                  <w:rFonts w:ascii="Cambria Math" w:hAnsi="Cambria Math"/>
                  <w:lang w:val="en-US"/>
                </w:rPr>
                <m:t>1</m:t>
              </m:r>
            </m:sub>
          </m:sSub>
          <m:r>
            <m:rPr>
              <m:sty m:val="p"/>
            </m:rPr>
            <w:rPr>
              <w:rFonts w:ascii="Cambria Math" w:hAnsi="Cambria Math"/>
              <w:lang w:val="en-US"/>
            </w:rPr>
            <m:t>=</m:t>
          </m:r>
          <m:f>
            <m:fPr>
              <m:ctrlPr>
                <w:rPr>
                  <w:rFonts w:ascii="Cambria Math" w:hAnsi="Cambria Math"/>
                  <w:bCs/>
                  <w:iCs/>
                  <w:lang w:val="en-US"/>
                </w:rPr>
              </m:ctrlPr>
            </m:fPr>
            <m:num>
              <m:r>
                <m:rPr>
                  <m:sty m:val="p"/>
                </m:rPr>
                <w:rPr>
                  <w:rFonts w:ascii="Cambria Math" w:hAnsi="Cambria Math"/>
                  <w:lang w:val="en-US"/>
                </w:rPr>
                <m:t>W</m:t>
              </m:r>
            </m:num>
            <m:den>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e</m:t>
                  </m:r>
                </m:sub>
              </m:sSub>
              <m:r>
                <m:rPr>
                  <m:sty m:val="p"/>
                </m:rPr>
                <w:rPr>
                  <w:rFonts w:ascii="Cambria Math" w:hAnsi="Cambria Math"/>
                  <w:lang w:val="en-US"/>
                </w:rPr>
                <m:t xml:space="preserve"> ∆T</m:t>
              </m:r>
            </m:den>
          </m:f>
        </m:oMath>
      </m:oMathPara>
    </w:p>
    <w:p w14:paraId="542BA967" w14:textId="72098B8E" w:rsidR="00395D3B" w:rsidRPr="006C76ED" w:rsidRDefault="00395D3B" w:rsidP="00CB19BA">
      <w:pPr>
        <w:pStyle w:val="SingleTxtG"/>
        <w:keepNext/>
      </w:pPr>
      <w:r>
        <w:rPr>
          <w:lang w:val="fr-FR"/>
        </w:rPr>
        <w:t>9.</w:t>
      </w:r>
      <w:r>
        <w:rPr>
          <w:lang w:val="fr-FR"/>
        </w:rPr>
        <w:tab/>
        <w:t xml:space="preserve">L’itération commence par le calcul d’une épaisseur initiale </w:t>
      </w:r>
      <w:r w:rsidRPr="00CB19BA">
        <w:rPr>
          <w:lang w:val="fr-FR"/>
        </w:rPr>
        <w:t>d</w:t>
      </w:r>
      <w:r w:rsidRPr="00CB19BA">
        <w:rPr>
          <w:vertAlign w:val="subscript"/>
          <w:lang w:val="fr-FR"/>
        </w:rPr>
        <w:t>1</w:t>
      </w:r>
      <w:r>
        <w:rPr>
          <w:lang w:val="fr-FR"/>
        </w:rPr>
        <w:t>, obtenue comme suit</w:t>
      </w:r>
      <w:r w:rsidR="009B0B78">
        <w:rPr>
          <w:lang w:val="fr-FR"/>
        </w:rPr>
        <w:t> :</w:t>
      </w:r>
    </w:p>
    <w:p w14:paraId="2A0EBA19" w14:textId="4FAEFFE7" w:rsidR="00395D3B" w:rsidRPr="00CB19BA" w:rsidRDefault="00E5207A" w:rsidP="00395D3B">
      <w:pPr>
        <w:pStyle w:val="SingleTxtG"/>
        <w:rPr>
          <w:bCs/>
          <w:iCs/>
          <w:lang w:val="en-US"/>
        </w:rPr>
      </w:pPr>
      <m:oMathPara>
        <m:oMathParaPr>
          <m:jc m:val="left"/>
        </m:oMathParaPr>
        <m:oMath>
          <m:sSub>
            <m:sSubPr>
              <m:ctrlPr>
                <w:rPr>
                  <w:rFonts w:ascii="Cambria Math" w:hAnsi="Cambria Math"/>
                  <w:iCs/>
                  <w:lang w:val="en-US"/>
                </w:rPr>
              </m:ctrlPr>
            </m:sSubPr>
            <m:e>
              <m:r>
                <m:rPr>
                  <m:sty m:val="p"/>
                </m:rPr>
                <w:rPr>
                  <w:rFonts w:ascii="Cambria Math" w:hAnsi="Cambria Math"/>
                  <w:lang w:val="en-US"/>
                </w:rPr>
                <m:t>d</m:t>
              </m:r>
            </m:e>
            <m:sub>
              <m:r>
                <m:rPr>
                  <m:sty m:val="p"/>
                </m:rPr>
                <w:rPr>
                  <w:rFonts w:ascii="Cambria Math" w:hAnsi="Cambria Math"/>
                  <w:lang w:val="en-US"/>
                </w:rPr>
                <m:t>1</m:t>
              </m:r>
            </m:sub>
          </m:sSub>
          <m:r>
            <m:rPr>
              <m:sty m:val="p"/>
            </m:rPr>
            <w:rPr>
              <w:rFonts w:ascii="Cambria Math" w:hAnsi="Cambria Math"/>
              <w:lang w:val="en-US"/>
            </w:rPr>
            <m:t>=</m:t>
          </m:r>
          <m:f>
            <m:fPr>
              <m:ctrlPr>
                <w:rPr>
                  <w:rFonts w:ascii="Cambria Math" w:hAnsi="Cambria Math"/>
                  <w:iCs/>
                  <w:lang w:val="en-US"/>
                </w:rPr>
              </m:ctrlPr>
            </m:fPr>
            <m:num>
              <m:r>
                <m:rPr>
                  <m:sty m:val="p"/>
                </m:rPr>
                <w:rPr>
                  <w:rFonts w:ascii="Cambria Math" w:hAnsi="Cambria Math"/>
                  <w:lang w:val="en-US"/>
                </w:rPr>
                <m:t>λ∆T</m:t>
              </m:r>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e</m:t>
                  </m:r>
                </m:sub>
              </m:sSub>
            </m:num>
            <m:den>
              <m:r>
                <m:rPr>
                  <m:sty m:val="p"/>
                </m:rPr>
                <w:rPr>
                  <w:rFonts w:ascii="Cambria Math" w:hAnsi="Cambria Math"/>
                  <w:lang w:val="en-US"/>
                </w:rPr>
                <m:t>W</m:t>
              </m:r>
            </m:den>
          </m:f>
        </m:oMath>
      </m:oMathPara>
    </w:p>
    <w:p w14:paraId="12061738" w14:textId="762CE774" w:rsidR="00395D3B" w:rsidRPr="006C76ED" w:rsidRDefault="00395D3B" w:rsidP="00395D3B">
      <w:pPr>
        <w:pStyle w:val="SingleTxtG"/>
      </w:pPr>
      <w:r>
        <w:rPr>
          <w:lang w:val="fr-FR"/>
        </w:rPr>
        <w:t>10.</w:t>
      </w:r>
      <w:r>
        <w:rPr>
          <w:lang w:val="fr-FR"/>
        </w:rPr>
        <w:tab/>
        <w:t>Une valeur de λ</w:t>
      </w:r>
      <w:r w:rsidR="00CB19BA">
        <w:rPr>
          <w:lang w:val="fr-FR"/>
        </w:rPr>
        <w:t> </w:t>
      </w:r>
      <w:r>
        <w:rPr>
          <w:lang w:val="fr-FR"/>
        </w:rPr>
        <w:t>=</w:t>
      </w:r>
      <w:r w:rsidR="00CB19BA">
        <w:rPr>
          <w:lang w:val="fr-FR"/>
        </w:rPr>
        <w:t> </w:t>
      </w:r>
      <w:r>
        <w:rPr>
          <w:lang w:val="fr-FR"/>
        </w:rPr>
        <w:t>0,035 W/m</w:t>
      </w:r>
      <w:r w:rsidR="00CB19BA">
        <w:t> </w:t>
      </w:r>
      <w:r w:rsidR="00CB19BA">
        <w:rPr>
          <w:lang w:val="fr-FR"/>
        </w:rPr>
        <w:t>°</w:t>
      </w:r>
      <w:r>
        <w:rPr>
          <w:lang w:val="fr-FR"/>
        </w:rPr>
        <w:t>C est recommandée pour cette méthode, à moins que le demandeur ne dispose d’une estimation précise de la conductivité de l’isolant, soit par</w:t>
      </w:r>
      <w:r w:rsidR="001D65F2">
        <w:rPr>
          <w:lang w:val="fr-FR"/>
        </w:rPr>
        <w:t> </w:t>
      </w:r>
      <w:r>
        <w:rPr>
          <w:lang w:val="fr-FR"/>
        </w:rPr>
        <w:t>mesure physique, soit au moyen d’études statistiques de matériels similaires (voir aussi le document ECE/TRANS/WP.11/2021/03 et le document informel INF.2 de la soixante</w:t>
      </w:r>
      <w:r w:rsidR="001D65F2">
        <w:rPr>
          <w:lang w:val="fr-FR"/>
        </w:rPr>
        <w:noBreakHyphen/>
      </w:r>
      <w:r>
        <w:rPr>
          <w:lang w:val="fr-FR"/>
        </w:rPr>
        <w:t>dix</w:t>
      </w:r>
      <w:r w:rsidR="001D65F2">
        <w:rPr>
          <w:lang w:val="fr-FR"/>
        </w:rPr>
        <w:noBreakHyphen/>
      </w:r>
      <w:r>
        <w:rPr>
          <w:lang w:val="fr-FR"/>
        </w:rPr>
        <w:t>septième session).</w:t>
      </w:r>
    </w:p>
    <w:p w14:paraId="0EB5736C" w14:textId="680CC64B" w:rsidR="00395D3B" w:rsidRPr="001F639D" w:rsidRDefault="00395D3B" w:rsidP="00395D3B">
      <w:pPr>
        <w:pStyle w:val="SingleTxtG"/>
      </w:pPr>
      <w:r>
        <w:rPr>
          <w:lang w:val="fr-FR"/>
        </w:rPr>
        <w:t>11.</w:t>
      </w:r>
      <w:r>
        <w:rPr>
          <w:lang w:val="fr-FR"/>
        </w:rPr>
        <w:tab/>
        <w:t xml:space="preserve">L’épaisseur </w:t>
      </w:r>
      <w:r w:rsidRPr="001D65F2">
        <w:rPr>
          <w:lang w:val="fr-FR"/>
        </w:rPr>
        <w:t>d</w:t>
      </w:r>
      <w:r>
        <w:rPr>
          <w:vertAlign w:val="subscript"/>
          <w:lang w:val="fr-FR"/>
        </w:rPr>
        <w:t>1</w:t>
      </w:r>
      <w:r>
        <w:rPr>
          <w:lang w:val="fr-FR"/>
        </w:rPr>
        <w:t xml:space="preserve"> est appliquée pour déduire la surface intérieure, à partir de la surface extérieure connue. Pour déduire la surface intérieure </w:t>
      </w:r>
      <w:r w:rsidRPr="001D65F2">
        <w:rPr>
          <w:lang w:val="fr-FR"/>
        </w:rPr>
        <w:t>S</w:t>
      </w:r>
      <w:r w:rsidRPr="001D65F2">
        <w:rPr>
          <w:vertAlign w:val="subscript"/>
          <w:lang w:val="fr-FR"/>
        </w:rPr>
        <w:t>i</w:t>
      </w:r>
      <w:r>
        <w:rPr>
          <w:vertAlign w:val="subscript"/>
          <w:lang w:val="fr-FR"/>
        </w:rPr>
        <w:t>1</w:t>
      </w:r>
      <w:r>
        <w:rPr>
          <w:lang w:val="fr-FR"/>
        </w:rPr>
        <w:t xml:space="preserve"> à partir de la surface extérieure et de l’épaisseur, il faut connaître la forme géométrique générale de la citerne (par exemple, la citerne est cylindrique) et effectuer les calculs géométriques appropriés. Par conséquent, cette méthode ne peut être appliquée que si la personne responsable de l’essai peut résoudre les calculs géométriques nécessaires. L’étape suivante consiste à calculer </w:t>
      </w:r>
      <w:r>
        <w:rPr>
          <w:i/>
          <w:iCs/>
          <w:lang w:val="fr-FR"/>
        </w:rPr>
        <w:t>S</w:t>
      </w:r>
      <w:r>
        <w:rPr>
          <w:vertAlign w:val="subscript"/>
          <w:lang w:val="fr-FR"/>
        </w:rPr>
        <w:t>1</w:t>
      </w:r>
      <w:r>
        <w:rPr>
          <w:lang w:val="fr-FR"/>
        </w:rPr>
        <w:t>, comme suit</w:t>
      </w:r>
      <w:r w:rsidR="009B0B78">
        <w:rPr>
          <w:lang w:val="fr-FR"/>
        </w:rPr>
        <w:t> :</w:t>
      </w:r>
    </w:p>
    <w:p w14:paraId="6219B2ED" w14:textId="6E3DF526" w:rsidR="00395D3B" w:rsidRPr="00BE097C" w:rsidRDefault="00395D3B" w:rsidP="00395D3B">
      <w:pPr>
        <w:pStyle w:val="SingleTxtG"/>
        <w:rPr>
          <w:bCs/>
          <w:iCs/>
          <w:lang w:val="en-US"/>
        </w:rPr>
      </w:pPr>
      <m:oMathPara>
        <m:oMathParaPr>
          <m:jc m:val="left"/>
        </m:oMathParaPr>
        <m:oMath>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1</m:t>
              </m:r>
            </m:sub>
          </m:sSub>
          <m:r>
            <m:rPr>
              <m:sty m:val="p"/>
            </m:rPr>
            <w:rPr>
              <w:rFonts w:ascii="Cambria Math" w:hAnsi="Cambria Math"/>
              <w:lang w:val="en-US"/>
            </w:rPr>
            <m:t xml:space="preserve">= </m:t>
          </m:r>
          <m:rad>
            <m:radPr>
              <m:ctrlPr>
                <w:rPr>
                  <w:rFonts w:ascii="Cambria Math" w:hAnsi="Cambria Math"/>
                  <w:bCs/>
                  <w:iCs/>
                  <w:lang w:val="en-US"/>
                </w:rPr>
              </m:ctrlPr>
            </m:radPr>
            <m:deg>
              <m:r>
                <m:rPr>
                  <m:sty m:val="p"/>
                </m:rPr>
                <w:rPr>
                  <w:rFonts w:ascii="Cambria Math" w:hAnsi="Cambria Math"/>
                  <w:lang w:val="en-US"/>
                </w:rPr>
                <m:t>2</m:t>
              </m:r>
            </m:deg>
            <m:e>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i1</m:t>
                  </m:r>
                </m:sub>
              </m:sSub>
              <m:r>
                <m:rPr>
                  <m:sty m:val="p"/>
                </m:rPr>
                <w:rPr>
                  <w:rFonts w:ascii="Cambria Math" w:hAnsi="Cambria Math"/>
                  <w:lang w:val="en-US"/>
                </w:rPr>
                <m:t xml:space="preserve"> </m:t>
              </m:r>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e</m:t>
                  </m:r>
                </m:sub>
              </m:sSub>
            </m:e>
          </m:rad>
        </m:oMath>
      </m:oMathPara>
    </w:p>
    <w:p w14:paraId="0EF20CE3" w14:textId="6908F66B" w:rsidR="00395D3B" w:rsidRPr="006C76ED" w:rsidRDefault="00395D3B" w:rsidP="00BE097C">
      <w:pPr>
        <w:pStyle w:val="SingleTxtG"/>
        <w:keepNext/>
      </w:pPr>
      <w:r>
        <w:rPr>
          <w:lang w:val="fr-FR"/>
        </w:rPr>
        <w:t>12.</w:t>
      </w:r>
      <w:r>
        <w:rPr>
          <w:lang w:val="fr-FR"/>
        </w:rPr>
        <w:tab/>
        <w:t xml:space="preserve">Cette nouvelle valeur de surface conduit à une nouvelle estimation de </w:t>
      </w:r>
      <w:r w:rsidRPr="00B43F84">
        <w:rPr>
          <w:lang w:val="fr-FR"/>
        </w:rPr>
        <w:t>K</w:t>
      </w:r>
      <w:r>
        <w:rPr>
          <w:lang w:val="fr-FR"/>
        </w:rPr>
        <w:t>, comme suit</w:t>
      </w:r>
      <w:r w:rsidR="009B0B78">
        <w:rPr>
          <w:lang w:val="fr-FR"/>
        </w:rPr>
        <w:t> :</w:t>
      </w:r>
    </w:p>
    <w:p w14:paraId="76E50B52" w14:textId="320CC203" w:rsidR="00395D3B" w:rsidRPr="00BE097C" w:rsidRDefault="00395D3B" w:rsidP="00395D3B">
      <w:pPr>
        <w:pStyle w:val="SingleTxtG"/>
        <w:rPr>
          <w:bCs/>
          <w:iCs/>
          <w:lang w:val="en-US"/>
        </w:rPr>
      </w:pPr>
      <m:oMathPara>
        <m:oMathParaPr>
          <m:jc m:val="left"/>
        </m:oMathParaPr>
        <m:oMath>
          <m:sSub>
            <m:sSubPr>
              <m:ctrlPr>
                <w:rPr>
                  <w:rFonts w:ascii="Cambria Math" w:hAnsi="Cambria Math"/>
                  <w:iCs/>
                  <w:lang w:val="en-US"/>
                </w:rPr>
              </m:ctrlPr>
            </m:sSubPr>
            <m:e>
              <m:r>
                <m:rPr>
                  <m:sty m:val="p"/>
                </m:rPr>
                <w:rPr>
                  <w:rFonts w:ascii="Cambria Math" w:hAnsi="Cambria Math"/>
                  <w:lang w:val="en-US"/>
                </w:rPr>
                <m:t>K</m:t>
              </m:r>
            </m:e>
            <m:sub>
              <m:r>
                <m:rPr>
                  <m:sty m:val="p"/>
                </m:rPr>
                <w:rPr>
                  <w:rFonts w:ascii="Cambria Math" w:hAnsi="Cambria Math"/>
                  <w:lang w:val="en-US"/>
                </w:rPr>
                <m:t>2</m:t>
              </m:r>
            </m:sub>
          </m:sSub>
          <m:r>
            <m:rPr>
              <m:sty m:val="p"/>
            </m:rPr>
            <w:rPr>
              <w:rFonts w:ascii="Cambria Math" w:hAnsi="Cambria Math"/>
              <w:lang w:val="en-US"/>
            </w:rPr>
            <m:t xml:space="preserve">= </m:t>
          </m:r>
          <m:f>
            <m:fPr>
              <m:ctrlPr>
                <w:rPr>
                  <w:rFonts w:ascii="Cambria Math" w:hAnsi="Cambria Math"/>
                  <w:bCs/>
                  <w:iCs/>
                  <w:lang w:val="en-US"/>
                </w:rPr>
              </m:ctrlPr>
            </m:fPr>
            <m:num>
              <m:r>
                <m:rPr>
                  <m:sty m:val="p"/>
                </m:rPr>
                <w:rPr>
                  <w:rFonts w:ascii="Cambria Math" w:hAnsi="Cambria Math"/>
                  <w:lang w:val="en-US"/>
                </w:rPr>
                <m:t>W</m:t>
              </m:r>
            </m:num>
            <m:den>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1</m:t>
                  </m:r>
                </m:sub>
              </m:sSub>
              <m:r>
                <m:rPr>
                  <m:sty m:val="p"/>
                </m:rPr>
                <w:rPr>
                  <w:rFonts w:ascii="Cambria Math" w:hAnsi="Cambria Math"/>
                  <w:lang w:val="en-US"/>
                </w:rPr>
                <m:t xml:space="preserve"> ∆T</m:t>
              </m:r>
            </m:den>
          </m:f>
        </m:oMath>
      </m:oMathPara>
    </w:p>
    <w:p w14:paraId="4BF04518" w14:textId="6314DB85" w:rsidR="00395D3B" w:rsidRPr="006C76ED" w:rsidRDefault="00395D3B" w:rsidP="00BE097C">
      <w:pPr>
        <w:pStyle w:val="SingleTxtG"/>
        <w:keepNext/>
      </w:pPr>
      <w:r>
        <w:rPr>
          <w:lang w:val="fr-FR"/>
        </w:rPr>
        <w:t>13.</w:t>
      </w:r>
      <w:r>
        <w:rPr>
          <w:lang w:val="fr-FR"/>
        </w:rPr>
        <w:tab/>
        <w:t xml:space="preserve">Et une nouvelle épaisseur </w:t>
      </w:r>
      <w:r w:rsidRPr="00BE097C">
        <w:rPr>
          <w:lang w:val="fr-FR"/>
        </w:rPr>
        <w:t>d</w:t>
      </w:r>
      <w:r>
        <w:rPr>
          <w:vertAlign w:val="subscript"/>
          <w:lang w:val="fr-FR"/>
        </w:rPr>
        <w:t>2</w:t>
      </w:r>
      <w:r>
        <w:rPr>
          <w:lang w:val="fr-FR"/>
        </w:rPr>
        <w:t xml:space="preserve"> est calculée comme suit</w:t>
      </w:r>
      <w:r w:rsidR="009B0B78">
        <w:rPr>
          <w:lang w:val="fr-FR"/>
        </w:rPr>
        <w:t> :</w:t>
      </w:r>
    </w:p>
    <w:p w14:paraId="5B9790BE" w14:textId="744FAB3F" w:rsidR="00395D3B" w:rsidRPr="00BE097C" w:rsidRDefault="00E5207A" w:rsidP="00395D3B">
      <w:pPr>
        <w:pStyle w:val="SingleTxtG"/>
        <w:rPr>
          <w:bCs/>
          <w:iCs/>
          <w:lang w:val="en-US"/>
        </w:rPr>
      </w:pPr>
      <m:oMathPara>
        <m:oMathParaPr>
          <m:jc m:val="left"/>
        </m:oMathParaPr>
        <m:oMath>
          <m:sSub>
            <m:sSubPr>
              <m:ctrlPr>
                <w:rPr>
                  <w:rFonts w:ascii="Cambria Math" w:hAnsi="Cambria Math"/>
                  <w:iCs/>
                  <w:lang w:val="en-US"/>
                </w:rPr>
              </m:ctrlPr>
            </m:sSubPr>
            <m:e>
              <m:r>
                <m:rPr>
                  <m:sty m:val="p"/>
                </m:rPr>
                <w:rPr>
                  <w:rFonts w:ascii="Cambria Math" w:hAnsi="Cambria Math"/>
                  <w:lang w:val="en-US"/>
                </w:rPr>
                <m:t>d</m:t>
              </m:r>
            </m:e>
            <m:sub>
              <m:r>
                <m:rPr>
                  <m:sty m:val="p"/>
                </m:rPr>
                <w:rPr>
                  <w:rFonts w:ascii="Cambria Math" w:hAnsi="Cambria Math"/>
                  <w:lang w:val="en-US"/>
                </w:rPr>
                <m:t>2</m:t>
              </m:r>
            </m:sub>
          </m:sSub>
          <m:r>
            <m:rPr>
              <m:sty m:val="p"/>
            </m:rPr>
            <w:rPr>
              <w:rFonts w:ascii="Cambria Math" w:hAnsi="Cambria Math"/>
              <w:lang w:val="en-US"/>
            </w:rPr>
            <m:t>=</m:t>
          </m:r>
          <m:f>
            <m:fPr>
              <m:ctrlPr>
                <w:rPr>
                  <w:rFonts w:ascii="Cambria Math" w:hAnsi="Cambria Math"/>
                  <w:iCs/>
                  <w:lang w:val="en-US"/>
                </w:rPr>
              </m:ctrlPr>
            </m:fPr>
            <m:num>
              <m:r>
                <m:rPr>
                  <m:sty m:val="p"/>
                </m:rPr>
                <w:rPr>
                  <w:rFonts w:ascii="Cambria Math" w:hAnsi="Cambria Math"/>
                  <w:lang w:val="en-US"/>
                </w:rPr>
                <m:t>λ∆T</m:t>
              </m:r>
              <m:sSub>
                <m:sSubPr>
                  <m:ctrlPr>
                    <w:rPr>
                      <w:rFonts w:ascii="Cambria Math" w:hAnsi="Cambria Math"/>
                      <w:iCs/>
                      <w:lang w:val="en-US"/>
                    </w:rPr>
                  </m:ctrlPr>
                </m:sSubPr>
                <m:e>
                  <m:r>
                    <m:rPr>
                      <m:sty m:val="p"/>
                    </m:rPr>
                    <w:rPr>
                      <w:rFonts w:ascii="Cambria Math" w:hAnsi="Cambria Math"/>
                      <w:lang w:val="en-US"/>
                    </w:rPr>
                    <m:t>S</m:t>
                  </m:r>
                </m:e>
                <m:sub>
                  <m:r>
                    <m:rPr>
                      <m:sty m:val="p"/>
                    </m:rPr>
                    <w:rPr>
                      <w:rFonts w:ascii="Cambria Math" w:hAnsi="Cambria Math"/>
                      <w:lang w:val="en-US"/>
                    </w:rPr>
                    <m:t>1</m:t>
                  </m:r>
                </m:sub>
              </m:sSub>
            </m:num>
            <m:den>
              <m:r>
                <m:rPr>
                  <m:sty m:val="p"/>
                </m:rPr>
                <w:rPr>
                  <w:rFonts w:ascii="Cambria Math" w:hAnsi="Cambria Math"/>
                  <w:lang w:val="en-US"/>
                </w:rPr>
                <m:t>W</m:t>
              </m:r>
            </m:den>
          </m:f>
        </m:oMath>
      </m:oMathPara>
    </w:p>
    <w:p w14:paraId="6098BFDC" w14:textId="77777777" w:rsidR="00395D3B" w:rsidRPr="006C76ED" w:rsidRDefault="00395D3B" w:rsidP="00395D3B">
      <w:pPr>
        <w:pStyle w:val="SingleTxtG"/>
      </w:pPr>
      <w:r>
        <w:rPr>
          <w:lang w:val="fr-FR"/>
        </w:rPr>
        <w:t>14.</w:t>
      </w:r>
      <w:r>
        <w:rPr>
          <w:lang w:val="fr-FR"/>
        </w:rPr>
        <w:tab/>
        <w:t xml:space="preserve">L’itération se poursuit jusqu’à parvenir à la convergence sur </w:t>
      </w:r>
      <w:r w:rsidRPr="00BE097C">
        <w:rPr>
          <w:lang w:val="fr-FR"/>
        </w:rPr>
        <w:t>K</w:t>
      </w:r>
      <w:r>
        <w:rPr>
          <w:lang w:val="fr-FR"/>
        </w:rPr>
        <w:t xml:space="preserve">, en même temps que la convergence sur </w:t>
      </w:r>
      <w:r w:rsidRPr="00B43F84">
        <w:rPr>
          <w:lang w:val="fr-FR"/>
        </w:rPr>
        <w:t>S et sur d</w:t>
      </w:r>
      <w:r>
        <w:rPr>
          <w:lang w:val="fr-FR"/>
        </w:rPr>
        <w:t>.</w:t>
      </w:r>
    </w:p>
    <w:p w14:paraId="5F0537E8" w14:textId="05AC1ACD" w:rsidR="00395D3B" w:rsidRDefault="00395D3B" w:rsidP="00395D3B">
      <w:pPr>
        <w:pStyle w:val="SingleTxtG"/>
        <w:rPr>
          <w:lang w:val="fr-FR"/>
        </w:rPr>
      </w:pPr>
      <w:r>
        <w:rPr>
          <w:lang w:val="fr-FR"/>
        </w:rPr>
        <w:t>15.</w:t>
      </w:r>
      <w:r>
        <w:rPr>
          <w:lang w:val="fr-FR"/>
        </w:rPr>
        <w:tab/>
        <w:t>À titre d’application pratique de cette méthode au cas d’un réservoir cylindrique de rayon extérieur R et de longueur L, les équations correspondant à la surface extérieure ainsi que la surface intérieure qui en découle en considérant la surface extérieure et l’épaisseur sont les suivantes</w:t>
      </w:r>
      <w:r w:rsidR="009B0B78">
        <w:rPr>
          <w:lang w:val="fr-FR"/>
        </w:rPr>
        <w:t> :</w:t>
      </w:r>
    </w:p>
    <w:p w14:paraId="368CEF55" w14:textId="065CEE90" w:rsidR="002E62AE" w:rsidRPr="00220AB7" w:rsidRDefault="002E62AE" w:rsidP="00395D3B">
      <w:pPr>
        <w:pStyle w:val="SingleTxtG"/>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S</m:t>
              </m:r>
            </m:e>
            <m:sub>
              <m:r>
                <m:rPr>
                  <m:sty m:val="p"/>
                </m:rPr>
                <w:rPr>
                  <w:rFonts w:ascii="Cambria Math" w:hAnsi="Cambria Math"/>
                  <w:lang w:val="fr-FR"/>
                </w:rPr>
                <m:t>e</m:t>
              </m:r>
            </m:sub>
          </m:sSub>
          <m:r>
            <m:rPr>
              <m:sty m:val="p"/>
            </m:rPr>
            <w:rPr>
              <w:rFonts w:ascii="Cambria Math" w:hAnsi="Cambria Math"/>
              <w:lang w:val="fr-FR"/>
            </w:rPr>
            <m:t>=2π</m:t>
          </m:r>
          <m:sSup>
            <m:sSupPr>
              <m:ctrlPr>
                <w:rPr>
                  <w:rFonts w:ascii="Cambria Math" w:hAnsi="Cambria Math"/>
                  <w:iCs/>
                  <w:lang w:val="fr-FR"/>
                </w:rPr>
              </m:ctrlPr>
            </m:sSupPr>
            <m:e>
              <m:r>
                <m:rPr>
                  <m:sty m:val="p"/>
                </m:rPr>
                <w:rPr>
                  <w:rFonts w:ascii="Cambria Math" w:hAnsi="Cambria Math"/>
                  <w:lang w:val="fr-FR"/>
                </w:rPr>
                <m:t>R</m:t>
              </m:r>
            </m:e>
            <m:sup>
              <m:r>
                <m:rPr>
                  <m:sty m:val="p"/>
                </m:rPr>
                <w:rPr>
                  <w:rFonts w:ascii="Cambria Math" w:hAnsi="Cambria Math"/>
                  <w:lang w:val="fr-FR"/>
                </w:rPr>
                <m:t>2</m:t>
              </m:r>
            </m:sup>
          </m:sSup>
          <m:r>
            <m:rPr>
              <m:sty m:val="p"/>
            </m:rPr>
            <w:rPr>
              <w:rFonts w:ascii="Cambria Math" w:hAnsi="Cambria Math"/>
              <w:lang w:val="fr-FR"/>
            </w:rPr>
            <m:t>+2πRL</m:t>
          </m:r>
          <m:r>
            <m:rPr>
              <m:sty m:val="p"/>
            </m:rPr>
            <w:rPr>
              <w:rFonts w:ascii="Cambria Math" w:hAnsi="Cambria Math"/>
              <w:lang w:val="fr-FR"/>
            </w:rPr>
            <m:t xml:space="preserve"> </m:t>
          </m:r>
        </m:oMath>
      </m:oMathPara>
    </w:p>
    <w:p w14:paraId="0CE95064" w14:textId="27C5C268" w:rsidR="00395D3B" w:rsidRPr="00BB2028" w:rsidRDefault="00395D3B" w:rsidP="00BE097C">
      <w:pPr>
        <w:pStyle w:val="SingleTxtG"/>
        <w:jc w:val="left"/>
        <w:rPr>
          <w:bCs/>
          <w:lang w:val="fr-FR"/>
        </w:rPr>
      </w:pPr>
      <m:oMath>
        <m:sSub>
          <m:sSubPr>
            <m:ctrlPr>
              <w:rPr>
                <w:rFonts w:ascii="Cambria Math" w:hAnsi="Cambria Math"/>
                <w:lang w:val="en-US"/>
              </w:rPr>
            </m:ctrlPr>
          </m:sSubPr>
          <m:e>
            <m:r>
              <m:rPr>
                <m:sty m:val="p"/>
              </m:rPr>
              <w:rPr>
                <w:rFonts w:ascii="Cambria Math" w:hAnsi="Cambria Math"/>
                <w:lang w:val="fr-FR"/>
              </w:rPr>
              <m:t>S</m:t>
            </m:r>
          </m:e>
          <m:sub>
            <m:r>
              <m:rPr>
                <m:sty m:val="p"/>
              </m:rPr>
              <w:rPr>
                <w:rFonts w:ascii="Cambria Math" w:hAnsi="Cambria Math"/>
                <w:lang w:val="fr-FR"/>
              </w:rPr>
              <m:t>i1</m:t>
            </m:r>
          </m:sub>
        </m:sSub>
        <m:r>
          <m:rPr>
            <m:sty m:val="p"/>
          </m:rPr>
          <w:rPr>
            <w:rFonts w:ascii="Cambria Math" w:hAnsi="Cambria Math"/>
            <w:lang w:val="fr-FR"/>
          </w:rPr>
          <m:t>=2</m:t>
        </m:r>
        <m:r>
          <m:rPr>
            <m:sty m:val="p"/>
          </m:rPr>
          <w:rPr>
            <w:rFonts w:ascii="Cambria Math" w:hAnsi="Cambria Math"/>
            <w:lang w:val="en-US"/>
          </w:rPr>
          <m:t>π</m:t>
        </m:r>
        <m:r>
          <m:rPr>
            <m:sty m:val="p"/>
          </m:rPr>
          <w:rPr>
            <w:rFonts w:ascii="Cambria Math" w:hAnsi="Cambria Math"/>
            <w:lang w:val="fr-FR"/>
          </w:rPr>
          <m:t>(R-</m:t>
        </m:r>
        <m:sSub>
          <m:sSubPr>
            <m:ctrlPr>
              <w:rPr>
                <w:rFonts w:ascii="Cambria Math" w:hAnsi="Cambria Math"/>
                <w:bCs/>
                <w:lang w:val="en-US"/>
              </w:rPr>
            </m:ctrlPr>
          </m:sSubPr>
          <m:e>
            <m:r>
              <m:rPr>
                <m:sty m:val="p"/>
              </m:rPr>
              <w:rPr>
                <w:rFonts w:ascii="Cambria Math" w:hAnsi="Cambria Math"/>
                <w:lang w:val="fr-FR"/>
              </w:rPr>
              <m:t>d</m:t>
            </m:r>
          </m:e>
          <m:sub>
            <m:r>
              <m:rPr>
                <m:sty m:val="p"/>
              </m:rPr>
              <w:rPr>
                <w:rFonts w:ascii="Cambria Math" w:hAnsi="Cambria Math"/>
                <w:lang w:val="fr-FR"/>
              </w:rPr>
              <m:t>1</m:t>
            </m:r>
          </m:sub>
        </m:sSub>
        <m:sSup>
          <m:sSupPr>
            <m:ctrlPr>
              <w:rPr>
                <w:rFonts w:ascii="Cambria Math" w:hAnsi="Cambria Math"/>
                <w:lang w:val="en-US"/>
              </w:rPr>
            </m:ctrlPr>
          </m:sSupPr>
          <m:e>
            <m:r>
              <m:rPr>
                <m:sty m:val="p"/>
              </m:rPr>
              <w:rPr>
                <w:rFonts w:ascii="Cambria Math" w:hAnsi="Cambria Math"/>
                <w:lang w:val="fr-FR"/>
              </w:rPr>
              <m:t>)</m:t>
            </m:r>
          </m:e>
          <m:sup>
            <m:r>
              <m:rPr>
                <m:sty m:val="p"/>
              </m:rPr>
              <w:rPr>
                <w:rFonts w:ascii="Cambria Math" w:hAnsi="Cambria Math"/>
                <w:lang w:val="fr-FR"/>
              </w:rPr>
              <m:t>2</m:t>
            </m:r>
          </m:sup>
        </m:sSup>
        <m:r>
          <m:rPr>
            <m:sty m:val="p"/>
          </m:rPr>
          <w:rPr>
            <w:rFonts w:ascii="Cambria Math" w:hAnsi="Cambria Math"/>
            <w:lang w:val="fr-FR"/>
          </w:rPr>
          <m:t>+2</m:t>
        </m:r>
        <m:r>
          <m:rPr>
            <m:sty m:val="p"/>
          </m:rPr>
          <w:rPr>
            <w:rFonts w:ascii="Cambria Math" w:hAnsi="Cambria Math"/>
            <w:lang w:val="en-US"/>
          </w:rPr>
          <m:t>π</m:t>
        </m:r>
        <m:r>
          <m:rPr>
            <m:sty m:val="p"/>
          </m:rPr>
          <w:rPr>
            <w:rFonts w:ascii="Cambria Math" w:hAnsi="Cambria Math"/>
            <w:lang w:val="fr-FR"/>
          </w:rPr>
          <m:t>(R –</m:t>
        </m:r>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1</m:t>
            </m:r>
          </m:sub>
        </m:sSub>
        <m:r>
          <m:rPr>
            <m:sty m:val="p"/>
          </m:rPr>
          <w:rPr>
            <w:rFonts w:ascii="Cambria Math" w:hAnsi="Cambria Math"/>
            <w:lang w:val="fr-FR"/>
          </w:rPr>
          <m:t xml:space="preserve">) (L –2 </m:t>
        </m:r>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1</m:t>
            </m:r>
          </m:sub>
        </m:sSub>
        <m:r>
          <m:rPr>
            <m:sty m:val="p"/>
          </m:rPr>
          <w:rPr>
            <w:rFonts w:ascii="Cambria Math" w:hAnsi="Cambria Math"/>
            <w:lang w:val="fr-FR"/>
          </w:rPr>
          <m:t>)</m:t>
        </m:r>
      </m:oMath>
      <w:r w:rsidRPr="00BB2028">
        <w:rPr>
          <w:lang w:val="fr-FR"/>
        </w:rPr>
        <w:t xml:space="preserve"> </w:t>
      </w:r>
    </w:p>
    <w:p w14:paraId="6DBDC3EC" w14:textId="77777777" w:rsidR="00395D3B" w:rsidRPr="006C76ED" w:rsidRDefault="00395D3B" w:rsidP="00D805BC">
      <w:pPr>
        <w:pStyle w:val="SingleTxtG"/>
      </w:pPr>
      <w:r>
        <w:rPr>
          <w:lang w:val="fr-FR"/>
        </w:rPr>
        <w:t>16.</w:t>
      </w:r>
      <w:r>
        <w:rPr>
          <w:lang w:val="fr-FR"/>
        </w:rPr>
        <w:tab/>
        <w:t>Pour mieux exposer cette méthode, il est proposé de l’inclure en tant que nouvelle méthode D à la suite de la méthode</w:t>
      </w:r>
      <w:r w:rsidRPr="0011508D">
        <w:rPr>
          <w:lang w:val="fr-FR"/>
        </w:rPr>
        <w:t xml:space="preserve"> </w:t>
      </w:r>
      <w:r>
        <w:rPr>
          <w:lang w:val="fr-FR"/>
        </w:rPr>
        <w:t xml:space="preserve">C actuelle. En outre, un texte doit être ajouté dans la partie initiale du point 1.2 pour garantir que cette méthode soit utilisée uniquement dans les cas appropriés (pour les citernes, et non pour les fourgons). Afin de préciser davantage les </w:t>
      </w:r>
      <w:r>
        <w:rPr>
          <w:lang w:val="fr-FR"/>
        </w:rPr>
        <w:lastRenderedPageBreak/>
        <w:t>utilisations respectives de la méthode D et de la méthode C, de petites modifications rédactionnelles sont proposées pour la méthode C.</w:t>
      </w:r>
    </w:p>
    <w:p w14:paraId="24122C66" w14:textId="08AA41ED" w:rsidR="00395D3B" w:rsidRDefault="00395D3B" w:rsidP="003E194B">
      <w:pPr>
        <w:pStyle w:val="SingleTxtG"/>
        <w:rPr>
          <w:lang w:val="fr-FR"/>
        </w:rPr>
      </w:pPr>
      <w:r>
        <w:rPr>
          <w:lang w:val="fr-FR"/>
        </w:rPr>
        <w:t>17.</w:t>
      </w:r>
      <w:r>
        <w:rPr>
          <w:lang w:val="fr-FR"/>
        </w:rPr>
        <w:tab/>
        <w:t>Les modifications proposées dans le document ECE/TRANS/WP.11/2021/3 pour la méthode</w:t>
      </w:r>
      <w:r w:rsidR="00A73B3D">
        <w:rPr>
          <w:lang w:val="fr-FR"/>
        </w:rPr>
        <w:t> </w:t>
      </w:r>
      <w:r>
        <w:rPr>
          <w:lang w:val="fr-FR"/>
        </w:rPr>
        <w:t>C s’ajoutent à celles proposées ici pour ladite méthode C.</w:t>
      </w:r>
    </w:p>
    <w:p w14:paraId="2CED05A6" w14:textId="01A1FE2B" w:rsidR="00395D3B" w:rsidRPr="006C76ED" w:rsidRDefault="00395D3B" w:rsidP="003E194B">
      <w:pPr>
        <w:pStyle w:val="SingleTxtG"/>
      </w:pPr>
      <w:r>
        <w:rPr>
          <w:lang w:val="fr-FR"/>
        </w:rPr>
        <w:t>18.</w:t>
      </w:r>
      <w:r>
        <w:rPr>
          <w:lang w:val="fr-FR"/>
        </w:rPr>
        <w:tab/>
        <w:t>Ces modifications devraient s’appliquer aux citernes construites après la date d’entrée en vigueur de la disposition, en ce qui concerne l’essai visant à déterminer la valeur de</w:t>
      </w:r>
      <w:r w:rsidR="00A73B3D">
        <w:rPr>
          <w:lang w:val="fr-FR"/>
        </w:rPr>
        <w:t> </w:t>
      </w:r>
      <w:r w:rsidRPr="001B7FB7">
        <w:rPr>
          <w:lang w:val="fr-FR"/>
        </w:rPr>
        <w:t>K.</w:t>
      </w:r>
      <w:r>
        <w:rPr>
          <w:lang w:val="fr-FR"/>
        </w:rPr>
        <w:t xml:space="preserve"> La</w:t>
      </w:r>
      <w:r w:rsidR="00A73B3D">
        <w:rPr>
          <w:lang w:val="fr-FR"/>
        </w:rPr>
        <w:t> </w:t>
      </w:r>
      <w:r>
        <w:rPr>
          <w:lang w:val="fr-FR"/>
        </w:rPr>
        <w:t>nouvelle méthode pourrait être utilisée lors des essais de vérification des citernes déjà en service. Aucune période transitoire ne serait nécessaire pour sa mise en œuvre.</w:t>
      </w:r>
    </w:p>
    <w:p w14:paraId="1BFE7711" w14:textId="77777777" w:rsidR="00395D3B" w:rsidRPr="006C76ED" w:rsidRDefault="00395D3B" w:rsidP="00A73B3D">
      <w:pPr>
        <w:pStyle w:val="HChG"/>
      </w:pPr>
      <w:r>
        <w:rPr>
          <w:lang w:val="fr-FR"/>
        </w:rPr>
        <w:tab/>
      </w:r>
      <w:r>
        <w:rPr>
          <w:lang w:val="fr-FR"/>
        </w:rPr>
        <w:tab/>
        <w:t>Amendements proposés</w:t>
      </w:r>
    </w:p>
    <w:p w14:paraId="0C2A7EC7" w14:textId="77777777" w:rsidR="00395D3B" w:rsidRDefault="00395D3B" w:rsidP="00A73B3D">
      <w:pPr>
        <w:pStyle w:val="SingleTxtG"/>
        <w:keepNext/>
        <w:rPr>
          <w:lang w:val="fr-FR"/>
        </w:rPr>
      </w:pPr>
      <w:r>
        <w:rPr>
          <w:lang w:val="fr-FR"/>
        </w:rPr>
        <w:t>19.</w:t>
      </w:r>
      <w:r>
        <w:rPr>
          <w:lang w:val="fr-FR"/>
        </w:rPr>
        <w:tab/>
      </w:r>
      <w:r w:rsidRPr="0011508D">
        <w:rPr>
          <w:b/>
          <w:bCs/>
          <w:lang w:val="fr-FR"/>
        </w:rPr>
        <w:t>Proposition 1</w:t>
      </w:r>
    </w:p>
    <w:p w14:paraId="554E433A" w14:textId="1D314FFA" w:rsidR="00395D3B" w:rsidRPr="006C76ED" w:rsidRDefault="00395D3B" w:rsidP="00916C1E">
      <w:pPr>
        <w:pStyle w:val="SingleTxtG"/>
        <w:keepNext/>
      </w:pPr>
      <w:r>
        <w:rPr>
          <w:i/>
          <w:iCs/>
          <w:lang w:val="fr-FR"/>
        </w:rPr>
        <w:t>Section 1.2 de l’appendice 2 de l’annexe 1</w:t>
      </w:r>
      <w:r>
        <w:rPr>
          <w:lang w:val="fr-FR"/>
        </w:rPr>
        <w:t>, lire (les ajouts sont soulignés, les suppressions sont biffées)</w:t>
      </w:r>
      <w:r w:rsidR="009B0B78">
        <w:rPr>
          <w:lang w:val="fr-FR"/>
        </w:rPr>
        <w:t> :</w:t>
      </w:r>
    </w:p>
    <w:p w14:paraId="3675E4FB" w14:textId="78D0EB26" w:rsidR="00395D3B" w:rsidRDefault="00395D3B" w:rsidP="002A0BB9">
      <w:pPr>
        <w:pStyle w:val="SingleTxtG"/>
        <w:keepNext/>
        <w:ind w:left="1701"/>
        <w:rPr>
          <w:lang w:val="fr-FR"/>
        </w:rPr>
      </w:pPr>
      <w:r>
        <w:rPr>
          <w:lang w:val="fr-FR"/>
        </w:rPr>
        <w:t>1.2</w:t>
      </w:r>
      <w:r>
        <w:rPr>
          <w:lang w:val="fr-FR"/>
        </w:rPr>
        <w:tab/>
        <w:t xml:space="preserve">La surface moyenne </w:t>
      </w:r>
      <w:r w:rsidRPr="0011508D">
        <w:rPr>
          <w:lang w:val="fr-FR"/>
        </w:rPr>
        <w:t>S</w:t>
      </w:r>
      <w:r>
        <w:rPr>
          <w:lang w:val="fr-FR"/>
        </w:rPr>
        <w:t xml:space="preserve"> de la caisse est la moyenne géométrique de la surface intérieure </w:t>
      </w:r>
      <w:r w:rsidRPr="0011508D">
        <w:rPr>
          <w:lang w:val="fr-FR"/>
        </w:rPr>
        <w:t>S</w:t>
      </w:r>
      <w:r>
        <w:rPr>
          <w:vertAlign w:val="subscript"/>
          <w:lang w:val="fr-FR"/>
        </w:rPr>
        <w:t xml:space="preserve">i </w:t>
      </w:r>
      <w:r>
        <w:rPr>
          <w:lang w:val="fr-FR"/>
        </w:rPr>
        <w:t xml:space="preserve">et de la surface extérieure </w:t>
      </w:r>
      <w:r w:rsidRPr="0011508D">
        <w:rPr>
          <w:lang w:val="fr-FR"/>
        </w:rPr>
        <w:t>S</w:t>
      </w:r>
      <w:r>
        <w:rPr>
          <w:vertAlign w:val="subscript"/>
          <w:lang w:val="fr-FR"/>
        </w:rPr>
        <w:t>e</w:t>
      </w:r>
      <w:r>
        <w:rPr>
          <w:lang w:val="fr-FR"/>
        </w:rPr>
        <w:t xml:space="preserve"> de la caisse</w:t>
      </w:r>
      <w:r w:rsidR="009B0B78">
        <w:rPr>
          <w:lang w:val="fr-FR"/>
        </w:rPr>
        <w:t> :</w:t>
      </w:r>
    </w:p>
    <w:p w14:paraId="740FF3A1" w14:textId="4A4BD9C9" w:rsidR="00916C1E" w:rsidRPr="002A0BB9" w:rsidRDefault="002A0BB9" w:rsidP="00E5207A">
      <w:pPr>
        <w:pStyle w:val="SingleTxtG"/>
        <w:keepLines/>
        <w:ind w:left="1701"/>
        <w:rPr>
          <w:iCs/>
          <w:lang w:val="fr-FR"/>
        </w:rPr>
      </w:pPr>
      <m:oMathPara>
        <m:oMathParaPr>
          <m:jc m:val="left"/>
        </m:oMathParaPr>
        <m:oMath>
          <m:r>
            <m:rPr>
              <m:sty m:val="p"/>
            </m:rPr>
            <w:rPr>
              <w:rFonts w:ascii="Cambria Math" w:hAnsi="Cambria Math"/>
              <w:lang w:val="fr-FR"/>
            </w:rPr>
            <m:t xml:space="preserve">S= </m:t>
          </m:r>
          <m:rad>
            <m:radPr>
              <m:degHide m:val="1"/>
              <m:ctrlPr>
                <w:rPr>
                  <w:rFonts w:ascii="Cambria Math" w:hAnsi="Cambria Math"/>
                  <w:iCs/>
                  <w:lang w:val="fr-FR"/>
                </w:rPr>
              </m:ctrlPr>
            </m:radPr>
            <m:deg/>
            <m:e>
              <m:sSub>
                <m:sSubPr>
                  <m:ctrlPr>
                    <w:rPr>
                      <w:rFonts w:ascii="Cambria Math" w:hAnsi="Cambria Math"/>
                      <w:iCs/>
                      <w:lang w:val="fr-FR"/>
                    </w:rPr>
                  </m:ctrlPr>
                </m:sSubPr>
                <m:e>
                  <m:r>
                    <m:rPr>
                      <m:sty m:val="p"/>
                    </m:rPr>
                    <w:rPr>
                      <w:rFonts w:ascii="Cambria Math" w:hAnsi="Cambria Math"/>
                      <w:lang w:val="fr-FR"/>
                    </w:rPr>
                    <m:t>S</m:t>
                  </m:r>
                </m:e>
                <m:sub>
                  <m:r>
                    <m:rPr>
                      <m:sty m:val="p"/>
                    </m:rPr>
                    <w:rPr>
                      <w:rFonts w:ascii="Cambria Math" w:hAnsi="Cambria Math"/>
                      <w:lang w:val="fr-FR"/>
                    </w:rPr>
                    <m:t xml:space="preserve">i  ⋅ </m:t>
                  </m:r>
                </m:sub>
              </m:sSub>
            </m:e>
          </m:rad>
          <m:sSub>
            <m:sSubPr>
              <m:ctrlPr>
                <w:rPr>
                  <w:rFonts w:ascii="Cambria Math" w:hAnsi="Cambria Math"/>
                  <w:iCs/>
                  <w:lang w:val="fr-FR"/>
                </w:rPr>
              </m:ctrlPr>
            </m:sSubPr>
            <m:e>
              <m:r>
                <m:rPr>
                  <m:sty m:val="p"/>
                </m:rPr>
                <w:rPr>
                  <w:rFonts w:ascii="Cambria Math" w:hAnsi="Cambria Math"/>
                  <w:lang w:val="fr-FR"/>
                </w:rPr>
                <m:t>S</m:t>
              </m:r>
            </m:e>
            <m:sub>
              <m:r>
                <m:rPr>
                  <m:sty m:val="p"/>
                </m:rPr>
                <w:rPr>
                  <w:rFonts w:ascii="Cambria Math" w:hAnsi="Cambria Math"/>
                  <w:lang w:val="fr-FR"/>
                </w:rPr>
                <m:t>e</m:t>
              </m:r>
            </m:sub>
          </m:sSub>
        </m:oMath>
      </m:oMathPara>
    </w:p>
    <w:p w14:paraId="6349E755" w14:textId="66FF35E9" w:rsidR="00395D3B" w:rsidRPr="006C76ED" w:rsidRDefault="00395D3B" w:rsidP="008445A8">
      <w:pPr>
        <w:pStyle w:val="SingleTxtG"/>
        <w:ind w:left="1701"/>
      </w:pPr>
      <w:r>
        <w:rPr>
          <w:lang w:val="fr-FR"/>
        </w:rPr>
        <w:t xml:space="preserve">La détermination des deux surfaces </w:t>
      </w:r>
      <w:r w:rsidRPr="00B21992">
        <w:rPr>
          <w:lang w:val="fr-FR"/>
        </w:rPr>
        <w:t>S</w:t>
      </w:r>
      <w:r w:rsidRPr="00B21992">
        <w:rPr>
          <w:vertAlign w:val="subscript"/>
          <w:lang w:val="fr-FR"/>
        </w:rPr>
        <w:t>i</w:t>
      </w:r>
      <w:r w:rsidR="002A0BB9">
        <w:rPr>
          <w:lang w:val="fr-FR"/>
        </w:rPr>
        <w:t xml:space="preserve"> </w:t>
      </w:r>
      <w:r w:rsidRPr="00B21992">
        <w:rPr>
          <w:lang w:val="fr-FR"/>
        </w:rPr>
        <w:t>et S</w:t>
      </w:r>
      <w:r>
        <w:rPr>
          <w:vertAlign w:val="subscript"/>
          <w:lang w:val="fr-FR"/>
        </w:rPr>
        <w:t>e</w:t>
      </w:r>
      <w:r>
        <w:rPr>
          <w:lang w:val="fr-FR"/>
        </w:rPr>
        <w:t xml:space="preserve"> est effectuée en tenant compte des singularités de structure de la caisse ou des irrégularités de la surface, telles que chanfreins, décrochements pour passage des roues, autres particularités, et il est fait mention de ces singularités ou irrégularités à la rubrique appropriée des procès</w:t>
      </w:r>
      <w:r w:rsidR="002A0BB9">
        <w:rPr>
          <w:lang w:val="fr-FR"/>
        </w:rPr>
        <w:noBreakHyphen/>
      </w:r>
      <w:r>
        <w:rPr>
          <w:lang w:val="fr-FR"/>
        </w:rPr>
        <w:t>verbaux d’essai</w:t>
      </w:r>
      <w:r w:rsidR="009B0B78">
        <w:rPr>
          <w:lang w:val="fr-FR"/>
        </w:rPr>
        <w:t> ;</w:t>
      </w:r>
      <w:r>
        <w:rPr>
          <w:lang w:val="fr-FR"/>
        </w:rPr>
        <w:t xml:space="preserve"> toutefois, si la caisse comporte un revêtement du type tôle ondulée, la surface à considérer est la surface droite de ce revêtement et non la surface développée.</w:t>
      </w:r>
    </w:p>
    <w:p w14:paraId="253C8577" w14:textId="188F76EA" w:rsidR="00395D3B" w:rsidRPr="006C76ED" w:rsidRDefault="00395D3B" w:rsidP="00395D3B">
      <w:pPr>
        <w:pStyle w:val="SingleTxtG"/>
        <w:ind w:left="1701"/>
        <w:rPr>
          <w:u w:val="single"/>
        </w:rPr>
      </w:pPr>
      <w:r>
        <w:rPr>
          <w:lang w:val="fr-FR"/>
        </w:rPr>
        <w:t xml:space="preserve">Pour calculer la surface moyenne de la caisse d’un fourgon, les stations d’essai désignées par les autorités compétentes doivent choisir une des trois méthodes </w:t>
      </w:r>
      <w:r w:rsidRPr="00B21992">
        <w:rPr>
          <w:strike/>
          <w:lang w:val="fr-FR"/>
        </w:rPr>
        <w:t>suivantes</w:t>
      </w:r>
      <w:r w:rsidRPr="004C146A">
        <w:rPr>
          <w:strike/>
          <w:lang w:val="fr-FR"/>
        </w:rPr>
        <w:t xml:space="preserve"> </w:t>
      </w:r>
      <w:r w:rsidRPr="00B21992">
        <w:rPr>
          <w:u w:val="single"/>
          <w:lang w:val="fr-FR"/>
        </w:rPr>
        <w:t>A à C</w:t>
      </w:r>
      <w:r>
        <w:rPr>
          <w:u w:val="single"/>
          <w:lang w:val="fr-FR"/>
        </w:rPr>
        <w:t xml:space="preserve"> ci-après</w:t>
      </w:r>
      <w:r w:rsidRPr="00B21992">
        <w:rPr>
          <w:u w:val="single"/>
          <w:lang w:val="fr-FR"/>
        </w:rPr>
        <w:t>. Pour le calcul de la surface moyenne de la carrosserie d</w:t>
      </w:r>
      <w:r>
        <w:rPr>
          <w:u w:val="single"/>
          <w:lang w:val="fr-FR"/>
        </w:rPr>
        <w:t>’</w:t>
      </w:r>
      <w:r w:rsidRPr="00B21992">
        <w:rPr>
          <w:u w:val="single"/>
          <w:lang w:val="fr-FR"/>
        </w:rPr>
        <w:t>un véhicule</w:t>
      </w:r>
      <w:r w:rsidR="004C146A">
        <w:rPr>
          <w:u w:val="single"/>
          <w:lang w:val="fr-FR"/>
        </w:rPr>
        <w:noBreakHyphen/>
      </w:r>
      <w:r w:rsidRPr="00B21992">
        <w:rPr>
          <w:u w:val="single"/>
          <w:lang w:val="fr-FR"/>
        </w:rPr>
        <w:t>citerne, la station d</w:t>
      </w:r>
      <w:r>
        <w:rPr>
          <w:u w:val="single"/>
          <w:lang w:val="fr-FR"/>
        </w:rPr>
        <w:t>’</w:t>
      </w:r>
      <w:r w:rsidRPr="00B21992">
        <w:rPr>
          <w:u w:val="single"/>
          <w:lang w:val="fr-FR"/>
        </w:rPr>
        <w:t>essai désignée par l</w:t>
      </w:r>
      <w:r>
        <w:rPr>
          <w:u w:val="single"/>
          <w:lang w:val="fr-FR"/>
        </w:rPr>
        <w:t>’</w:t>
      </w:r>
      <w:r w:rsidRPr="00B21992">
        <w:rPr>
          <w:u w:val="single"/>
          <w:lang w:val="fr-FR"/>
        </w:rPr>
        <w:t>autorité compétente peut utiliser la méthode</w:t>
      </w:r>
      <w:r w:rsidR="004C146A">
        <w:rPr>
          <w:u w:val="single"/>
          <w:lang w:val="fr-FR"/>
        </w:rPr>
        <w:t> </w:t>
      </w:r>
      <w:r w:rsidRPr="00B21992">
        <w:rPr>
          <w:u w:val="single"/>
          <w:lang w:val="fr-FR"/>
        </w:rPr>
        <w:t>A ou la méthode D.</w:t>
      </w:r>
    </w:p>
    <w:p w14:paraId="1DD8FB0D" w14:textId="77777777" w:rsidR="00395D3B" w:rsidRDefault="00395D3B" w:rsidP="004C146A">
      <w:pPr>
        <w:pStyle w:val="SingleTxtG"/>
        <w:keepNext/>
        <w:rPr>
          <w:lang w:val="fr-FR"/>
        </w:rPr>
      </w:pPr>
      <w:r>
        <w:rPr>
          <w:lang w:val="fr-FR"/>
        </w:rPr>
        <w:t>20.</w:t>
      </w:r>
      <w:r>
        <w:rPr>
          <w:lang w:val="fr-FR"/>
        </w:rPr>
        <w:tab/>
      </w:r>
      <w:r w:rsidRPr="0011508D">
        <w:rPr>
          <w:b/>
          <w:bCs/>
          <w:lang w:val="fr-FR"/>
        </w:rPr>
        <w:t>Proposition 2</w:t>
      </w:r>
      <w:r>
        <w:rPr>
          <w:lang w:val="fr-FR"/>
        </w:rPr>
        <w:t xml:space="preserve"> </w:t>
      </w:r>
    </w:p>
    <w:p w14:paraId="2823ECE1" w14:textId="51110A74" w:rsidR="00395D3B" w:rsidRPr="006C76ED" w:rsidRDefault="00395D3B" w:rsidP="00295EE5">
      <w:pPr>
        <w:pStyle w:val="SingleTxtG"/>
        <w:keepNext/>
      </w:pPr>
      <w:r>
        <w:rPr>
          <w:i/>
          <w:iCs/>
          <w:lang w:val="fr-FR"/>
        </w:rPr>
        <w:t>Section 1.2 de l’appendice 2 de l’annexe 1</w:t>
      </w:r>
      <w:r w:rsidRPr="00B21992">
        <w:rPr>
          <w:i/>
          <w:iCs/>
          <w:lang w:val="fr-FR"/>
        </w:rPr>
        <w:t>, méthode C</w:t>
      </w:r>
      <w:r>
        <w:rPr>
          <w:lang w:val="fr-FR"/>
        </w:rPr>
        <w:t>, lire (les ajouts sont soulignés, les suppressions sont biffées)</w:t>
      </w:r>
      <w:r w:rsidR="009B0B78">
        <w:rPr>
          <w:lang w:val="fr-FR"/>
        </w:rPr>
        <w:t> :</w:t>
      </w:r>
    </w:p>
    <w:p w14:paraId="05432E56" w14:textId="77777777" w:rsidR="00395D3B" w:rsidRPr="006C76ED" w:rsidRDefault="00395D3B" w:rsidP="008445A8">
      <w:pPr>
        <w:pStyle w:val="SingleTxtG"/>
        <w:ind w:left="1701"/>
      </w:pPr>
      <w:r>
        <w:rPr>
          <w:lang w:val="fr-FR"/>
        </w:rPr>
        <w:t>Méthode C.</w:t>
      </w:r>
      <w:r>
        <w:rPr>
          <w:lang w:val="fr-FR"/>
        </w:rPr>
        <w:tab/>
        <w:t xml:space="preserve">Si aucune des solutions </w:t>
      </w:r>
      <w:r>
        <w:rPr>
          <w:u w:val="single"/>
          <w:lang w:val="fr-FR"/>
        </w:rPr>
        <w:t>A ou B</w:t>
      </w:r>
      <w:r>
        <w:rPr>
          <w:lang w:val="fr-FR"/>
        </w:rPr>
        <w:t xml:space="preserve"> ci-dessus n’est jugée acceptable par les experts, la surface intérieure </w:t>
      </w:r>
      <w:r>
        <w:rPr>
          <w:u w:val="single"/>
          <w:lang w:val="fr-FR"/>
        </w:rPr>
        <w:t>du fourgon</w:t>
      </w:r>
      <w:r>
        <w:rPr>
          <w:lang w:val="fr-FR"/>
        </w:rPr>
        <w:t xml:space="preserve"> doit être mesurée au moyen des figures et formules de la méthode B.</w:t>
      </w:r>
    </w:p>
    <w:p w14:paraId="7D554E5D" w14:textId="11548AD7" w:rsidR="00395D3B" w:rsidRDefault="00395D3B" w:rsidP="00395D3B">
      <w:pPr>
        <w:pStyle w:val="SingleTxtG"/>
        <w:ind w:left="1701"/>
        <w:rPr>
          <w:lang w:val="fr-FR"/>
        </w:rPr>
      </w:pPr>
      <w:r>
        <w:rPr>
          <w:lang w:val="fr-FR"/>
        </w:rPr>
        <w:t>Le coefficient</w:t>
      </w:r>
      <w:r w:rsidRPr="00B21992">
        <w:rPr>
          <w:lang w:val="fr-FR"/>
        </w:rPr>
        <w:t xml:space="preserve"> K</w:t>
      </w:r>
      <w:r>
        <w:rPr>
          <w:lang w:val="fr-FR"/>
        </w:rPr>
        <w:t xml:space="preserve"> </w:t>
      </w:r>
      <w:r>
        <w:rPr>
          <w:u w:val="single"/>
          <w:lang w:val="fr-FR"/>
        </w:rPr>
        <w:t>initial</w:t>
      </w:r>
      <w:r>
        <w:rPr>
          <w:lang w:val="fr-FR"/>
        </w:rPr>
        <w:t xml:space="preserve"> doit ensuite être calculé sur la base de la surface intérieure, en prenant l’épaisseur de l’isolant comme égale à zéro</w:t>
      </w:r>
      <w:r>
        <w:rPr>
          <w:u w:val="single"/>
          <w:lang w:val="fr-FR"/>
        </w:rPr>
        <w:t xml:space="preserve"> au début de l’itération</w:t>
      </w:r>
      <w:r>
        <w:rPr>
          <w:lang w:val="fr-FR"/>
        </w:rPr>
        <w:t xml:space="preserve">. À partir de ce coefficient </w:t>
      </w:r>
      <w:r w:rsidRPr="00B21992">
        <w:rPr>
          <w:lang w:val="fr-FR"/>
        </w:rPr>
        <w:t>K</w:t>
      </w:r>
      <w:r>
        <w:rPr>
          <w:lang w:val="fr-FR"/>
        </w:rPr>
        <w:t>, l’épaisseur moyenne de l’isolant est calculée en partant de l’hypothèse que λ pour l’isolant a une valeur égale à 0,025 W/m</w:t>
      </w:r>
      <w:r w:rsidR="00295EE5">
        <w:rPr>
          <w:lang w:val="fr-FR"/>
        </w:rPr>
        <w:t> </w:t>
      </w:r>
      <w:r>
        <w:rPr>
          <w:lang w:val="fr-FR"/>
        </w:rPr>
        <w:t>°C.</w:t>
      </w:r>
    </w:p>
    <w:p w14:paraId="735F16CB" w14:textId="4CA00C48" w:rsidR="00B53189" w:rsidRPr="00033827" w:rsidRDefault="00033827" w:rsidP="00395D3B">
      <w:pPr>
        <w:pStyle w:val="SingleTxtG"/>
        <w:ind w:left="1701"/>
        <w:rPr>
          <w:iCs/>
          <w:lang w:val="fr-FR"/>
        </w:rPr>
      </w:pPr>
      <m:oMathPara>
        <m:oMathParaPr>
          <m:jc m:val="left"/>
        </m:oMathParaPr>
        <m:oMath>
          <m:r>
            <m:rPr>
              <m:sty m:val="p"/>
            </m:rPr>
            <w:rPr>
              <w:rFonts w:ascii="Cambria Math" w:hAnsi="Cambria Math"/>
              <w:lang w:val="fr-FR"/>
            </w:rPr>
            <m:t xml:space="preserve">d= </m:t>
          </m:r>
          <m:sSub>
            <m:sSubPr>
              <m:ctrlPr>
                <w:rPr>
                  <w:rFonts w:ascii="Cambria Math" w:hAnsi="Cambria Math"/>
                  <w:iCs/>
                  <w:lang w:val="fr-FR"/>
                </w:rPr>
              </m:ctrlPr>
            </m:sSubPr>
            <m:e>
              <m:r>
                <m:rPr>
                  <m:sty m:val="p"/>
                </m:rPr>
                <w:rPr>
                  <w:rFonts w:ascii="Cambria Math" w:hAnsi="Cambria Math"/>
                  <w:lang w:val="fr-FR"/>
                </w:rPr>
                <m:t>S</m:t>
              </m:r>
            </m:e>
            <m:sub>
              <m:r>
                <m:rPr>
                  <m:sty m:val="p"/>
                </m:rPr>
                <w:rPr>
                  <w:rFonts w:ascii="Cambria Math" w:hAnsi="Cambria Math"/>
                  <w:lang w:val="fr-FR"/>
                </w:rPr>
                <m:t>i</m:t>
              </m:r>
            </m:sub>
          </m:sSub>
          <m:r>
            <m:rPr>
              <m:sty m:val="p"/>
            </m:rPr>
            <w:rPr>
              <w:rFonts w:ascii="Cambria Math" w:hAnsi="Cambria Math"/>
              <w:lang w:val="fr-FR"/>
            </w:rPr>
            <m:t xml:space="preserve"> × ΔT × </m:t>
          </m:r>
          <m:f>
            <m:fPr>
              <m:type m:val="skw"/>
              <m:ctrlPr>
                <w:rPr>
                  <w:rFonts w:ascii="Cambria Math" w:hAnsi="Cambria Math"/>
                  <w:iCs/>
                  <w:lang w:val="fr-FR"/>
                </w:rPr>
              </m:ctrlPr>
            </m:fPr>
            <m:num>
              <m:r>
                <m:rPr>
                  <m:sty m:val="p"/>
                </m:rPr>
                <w:rPr>
                  <w:rFonts w:ascii="Cambria Math" w:hAnsi="Cambria Math"/>
                  <w:lang w:val="fr-FR"/>
                </w:rPr>
                <m:t>λ</m:t>
              </m:r>
            </m:num>
            <m:den>
              <m:r>
                <m:rPr>
                  <m:sty m:val="p"/>
                </m:rPr>
                <w:rPr>
                  <w:rFonts w:ascii="Cambria Math" w:hAnsi="Cambria Math"/>
                  <w:lang w:val="fr-FR"/>
                </w:rPr>
                <m:t>W</m:t>
              </m:r>
            </m:den>
          </m:f>
        </m:oMath>
      </m:oMathPara>
    </w:p>
    <w:p w14:paraId="10FE5FA8" w14:textId="77777777" w:rsidR="00395D3B" w:rsidRPr="006C76ED" w:rsidRDefault="00395D3B" w:rsidP="00395D3B">
      <w:pPr>
        <w:pStyle w:val="SingleTxtG"/>
        <w:ind w:left="1701"/>
      </w:pPr>
      <w:r>
        <w:rPr>
          <w:lang w:val="fr-FR"/>
        </w:rPr>
        <w:t>Une fois déterminée l’épaisseur de l’isolant, on calcule la surface extérieure et on détermine la surface moyenne. Le coefficient K final est déduit par itération</w:t>
      </w:r>
      <w:r>
        <w:rPr>
          <w:u w:val="single"/>
          <w:lang w:val="fr-FR"/>
        </w:rPr>
        <w:t>s successives</w:t>
      </w:r>
      <w:r>
        <w:rPr>
          <w:lang w:val="fr-FR"/>
        </w:rPr>
        <w:t>.</w:t>
      </w:r>
    </w:p>
    <w:p w14:paraId="09A87B0A" w14:textId="77777777" w:rsidR="00395D3B" w:rsidRDefault="00395D3B" w:rsidP="00584784">
      <w:pPr>
        <w:pStyle w:val="SingleTxtG"/>
        <w:keepNext/>
        <w:rPr>
          <w:lang w:val="fr-FR"/>
        </w:rPr>
      </w:pPr>
      <w:r>
        <w:rPr>
          <w:lang w:val="fr-FR"/>
        </w:rPr>
        <w:t>21.</w:t>
      </w:r>
      <w:r>
        <w:rPr>
          <w:lang w:val="fr-FR"/>
        </w:rPr>
        <w:tab/>
      </w:r>
      <w:r w:rsidRPr="00584784">
        <w:rPr>
          <w:b/>
          <w:bCs/>
          <w:lang w:val="fr-FR"/>
        </w:rPr>
        <w:t>Proposition 3</w:t>
      </w:r>
    </w:p>
    <w:p w14:paraId="1F84DB4B" w14:textId="22E395A9" w:rsidR="00395D3B" w:rsidRPr="006C76ED" w:rsidRDefault="00395D3B" w:rsidP="00395D3B">
      <w:pPr>
        <w:pStyle w:val="SingleTxtG"/>
      </w:pPr>
      <w:r w:rsidRPr="00FA2AB2">
        <w:rPr>
          <w:i/>
          <w:iCs/>
          <w:lang w:val="fr-FR"/>
        </w:rPr>
        <w:t>Après le dernier paragraphe de la section 1.2 de l</w:t>
      </w:r>
      <w:r>
        <w:rPr>
          <w:i/>
          <w:iCs/>
          <w:lang w:val="fr-FR"/>
        </w:rPr>
        <w:t>’</w:t>
      </w:r>
      <w:r w:rsidRPr="00FA2AB2">
        <w:rPr>
          <w:i/>
          <w:iCs/>
          <w:lang w:val="fr-FR"/>
        </w:rPr>
        <w:t>appendice 2 de l</w:t>
      </w:r>
      <w:r>
        <w:rPr>
          <w:i/>
          <w:iCs/>
          <w:lang w:val="fr-FR"/>
        </w:rPr>
        <w:t>’</w:t>
      </w:r>
      <w:r w:rsidRPr="00FA2AB2">
        <w:rPr>
          <w:i/>
          <w:iCs/>
          <w:lang w:val="fr-FR"/>
        </w:rPr>
        <w:t>annexe 1</w:t>
      </w:r>
      <w:r>
        <w:rPr>
          <w:lang w:val="fr-FR"/>
        </w:rPr>
        <w:t>, ajouter le texte suivant (l’ajout est souligné)</w:t>
      </w:r>
      <w:r w:rsidR="009B0B78">
        <w:rPr>
          <w:lang w:val="fr-FR"/>
        </w:rPr>
        <w:t> :</w:t>
      </w:r>
      <w:r>
        <w:rPr>
          <w:lang w:val="fr-FR"/>
        </w:rPr>
        <w:t xml:space="preserve"> </w:t>
      </w:r>
    </w:p>
    <w:p w14:paraId="46DD899D" w14:textId="2CBE4FE4" w:rsidR="00395D3B" w:rsidRPr="00584784" w:rsidRDefault="00395D3B" w:rsidP="00584784">
      <w:pPr>
        <w:pStyle w:val="SingleTxtG"/>
        <w:ind w:left="1701"/>
        <w:rPr>
          <w:u w:val="single"/>
        </w:rPr>
      </w:pPr>
      <w:r w:rsidRPr="00584784">
        <w:rPr>
          <w:u w:val="single"/>
          <w:lang w:val="fr-FR"/>
        </w:rPr>
        <w:t>Méthode D.</w:t>
      </w:r>
      <w:r w:rsidRPr="00584784">
        <w:rPr>
          <w:u w:val="single"/>
          <w:lang w:val="fr-FR"/>
        </w:rPr>
        <w:tab/>
        <w:t>Si la méthode A n’est pas jugée acceptable pour les experts, la surface extérieure de la citerne est mesurée en tenant compte de la forme géométrique de celle</w:t>
      </w:r>
      <w:r w:rsidR="00353701">
        <w:rPr>
          <w:u w:val="single"/>
          <w:lang w:val="fr-FR"/>
        </w:rPr>
        <w:noBreakHyphen/>
      </w:r>
      <w:r w:rsidRPr="00584784">
        <w:rPr>
          <w:u w:val="single"/>
          <w:lang w:val="fr-FR"/>
        </w:rPr>
        <w:t xml:space="preserve">ci et des principales valeurs nécessaires pour modéliser cette forme (par exemple les diamètre, rayon et longueur du cylindre, etc.). Cette méthode ne peut être utilisée </w:t>
      </w:r>
      <w:r w:rsidRPr="00584784">
        <w:rPr>
          <w:u w:val="single"/>
          <w:lang w:val="fr-FR"/>
        </w:rPr>
        <w:lastRenderedPageBreak/>
        <w:t>que si le réservoir peut être assimilé à des formes géométriques régulières (cylindre, cône, sphère) susceptibles d’être décrites au moyen d’équations mathématiques.</w:t>
      </w:r>
    </w:p>
    <w:p w14:paraId="3BF51CCF" w14:textId="5D20FD81" w:rsidR="00395D3B" w:rsidRDefault="00395D3B" w:rsidP="00395D3B">
      <w:pPr>
        <w:pStyle w:val="SingleTxtG"/>
        <w:ind w:left="1701"/>
        <w:rPr>
          <w:u w:val="single"/>
          <w:lang w:val="fr-FR"/>
        </w:rPr>
      </w:pPr>
      <w:r>
        <w:rPr>
          <w:u w:val="single"/>
          <w:lang w:val="fr-FR"/>
        </w:rPr>
        <w:t>Le coefficient K initial doit ensuite être calculé sur la base de la surface extérieure, en prenant l’épaisseur de l’isolant comme égale à zéro au début de l’itération.</w:t>
      </w:r>
      <w:r>
        <w:rPr>
          <w:lang w:val="fr-FR"/>
        </w:rPr>
        <w:t xml:space="preserve"> </w:t>
      </w:r>
      <w:r>
        <w:rPr>
          <w:u w:val="single"/>
          <w:lang w:val="fr-FR"/>
        </w:rPr>
        <w:t>À partir de ce coefficient K, l’épaisseur moyenne de l’isolant est calculée en partant de l’hypothèse que λ pour l’isolant a une valeur égale à 0,035</w:t>
      </w:r>
      <w:r w:rsidR="00353701">
        <w:rPr>
          <w:u w:val="single"/>
          <w:lang w:val="fr-FR"/>
        </w:rPr>
        <w:t> </w:t>
      </w:r>
      <w:r>
        <w:rPr>
          <w:u w:val="single"/>
          <w:lang w:val="fr-FR"/>
        </w:rPr>
        <w:t>W/m</w:t>
      </w:r>
      <w:r w:rsidR="00353701">
        <w:rPr>
          <w:u w:val="single"/>
        </w:rPr>
        <w:t> </w:t>
      </w:r>
      <w:r>
        <w:rPr>
          <w:u w:val="single"/>
          <w:lang w:val="fr-FR"/>
        </w:rPr>
        <w:t>°C.</w:t>
      </w:r>
    </w:p>
    <w:p w14:paraId="5D2522BE" w14:textId="058D2CBD" w:rsidR="00353701" w:rsidRPr="00353701" w:rsidRDefault="00353701" w:rsidP="00353701">
      <w:pPr>
        <w:pStyle w:val="SingleTxtG"/>
        <w:ind w:left="1701"/>
        <w:rPr>
          <w:iCs/>
          <w:u w:val="single"/>
          <w:lang w:val="fr-FR"/>
        </w:rPr>
      </w:pPr>
      <m:oMathPara>
        <m:oMathParaPr>
          <m:jc m:val="left"/>
        </m:oMathParaPr>
        <m:oMath>
          <m:r>
            <m:rPr>
              <m:sty m:val="p"/>
            </m:rPr>
            <w:rPr>
              <w:rFonts w:ascii="Cambria Math" w:hAnsi="Cambria Math"/>
              <w:u w:val="single"/>
              <w:lang w:val="fr-FR"/>
            </w:rPr>
            <m:t xml:space="preserve">d= </m:t>
          </m:r>
          <m:sSub>
            <m:sSubPr>
              <m:ctrlPr>
                <w:rPr>
                  <w:rFonts w:ascii="Cambria Math" w:hAnsi="Cambria Math"/>
                  <w:iCs/>
                  <w:u w:val="single"/>
                  <w:lang w:val="fr-FR"/>
                </w:rPr>
              </m:ctrlPr>
            </m:sSubPr>
            <m:e>
              <m:r>
                <m:rPr>
                  <m:sty m:val="p"/>
                </m:rPr>
                <w:rPr>
                  <w:rFonts w:ascii="Cambria Math" w:hAnsi="Cambria Math"/>
                  <w:u w:val="single"/>
                  <w:lang w:val="fr-FR"/>
                </w:rPr>
                <m:t>S</m:t>
              </m:r>
            </m:e>
            <m:sub>
              <m:r>
                <m:rPr>
                  <m:sty m:val="p"/>
                </m:rPr>
                <w:rPr>
                  <w:rFonts w:ascii="Cambria Math" w:hAnsi="Cambria Math"/>
                  <w:u w:val="single"/>
                  <w:lang w:val="fr-FR"/>
                </w:rPr>
                <m:t>e</m:t>
              </m:r>
            </m:sub>
          </m:sSub>
          <m:r>
            <m:rPr>
              <m:sty m:val="p"/>
            </m:rPr>
            <w:rPr>
              <w:rFonts w:ascii="Cambria Math" w:hAnsi="Cambria Math"/>
              <w:u w:val="single"/>
              <w:lang w:val="fr-FR"/>
            </w:rPr>
            <m:t xml:space="preserve"> × ΔT × </m:t>
          </m:r>
          <m:f>
            <m:fPr>
              <m:type m:val="skw"/>
              <m:ctrlPr>
                <w:rPr>
                  <w:rFonts w:ascii="Cambria Math" w:hAnsi="Cambria Math"/>
                  <w:iCs/>
                  <w:u w:val="single"/>
                  <w:lang w:val="fr-FR"/>
                </w:rPr>
              </m:ctrlPr>
            </m:fPr>
            <m:num>
              <m:r>
                <m:rPr>
                  <m:sty m:val="p"/>
                </m:rPr>
                <w:rPr>
                  <w:rFonts w:ascii="Cambria Math" w:hAnsi="Cambria Math"/>
                  <w:u w:val="single"/>
                  <w:lang w:val="fr-FR"/>
                </w:rPr>
                <m:t>λ</m:t>
              </m:r>
            </m:num>
            <m:den>
              <m:r>
                <m:rPr>
                  <m:sty m:val="p"/>
                </m:rPr>
                <w:rPr>
                  <w:rFonts w:ascii="Cambria Math" w:hAnsi="Cambria Math"/>
                  <w:u w:val="single"/>
                  <w:lang w:val="fr-FR"/>
                </w:rPr>
                <m:t>W</m:t>
              </m:r>
            </m:den>
          </m:f>
        </m:oMath>
      </m:oMathPara>
    </w:p>
    <w:p w14:paraId="691D9CFA" w14:textId="163A6F32" w:rsidR="00395D3B" w:rsidRPr="006C76ED" w:rsidRDefault="00395D3B" w:rsidP="00395D3B">
      <w:pPr>
        <w:pStyle w:val="SingleTxtG"/>
        <w:ind w:left="1701"/>
        <w:rPr>
          <w:u w:val="single"/>
        </w:rPr>
      </w:pPr>
      <w:r>
        <w:rPr>
          <w:u w:val="single"/>
          <w:lang w:val="fr-FR"/>
        </w:rPr>
        <w:t>Une fois estimée l’épaisseur de l’isolant, on calcule la surface intérieure de la citerne compte tenu de sa forme géométrique et on détermine sa surface moyenne.</w:t>
      </w:r>
      <w:r>
        <w:rPr>
          <w:lang w:val="fr-FR"/>
        </w:rPr>
        <w:t xml:space="preserve"> </w:t>
      </w:r>
      <w:r>
        <w:rPr>
          <w:u w:val="single"/>
          <w:lang w:val="fr-FR"/>
        </w:rPr>
        <w:t>Le</w:t>
      </w:r>
      <w:r w:rsidR="007E4B20">
        <w:rPr>
          <w:u w:val="single"/>
          <w:lang w:val="fr-FR"/>
        </w:rPr>
        <w:t> </w:t>
      </w:r>
      <w:r>
        <w:rPr>
          <w:u w:val="single"/>
          <w:lang w:val="fr-FR"/>
        </w:rPr>
        <w:t>coefficient K final est déduit par itérations successives.</w:t>
      </w:r>
    </w:p>
    <w:p w14:paraId="301C1071" w14:textId="77777777" w:rsidR="00395D3B" w:rsidRPr="006C76ED" w:rsidRDefault="00395D3B" w:rsidP="00395D3B">
      <w:pPr>
        <w:pStyle w:val="SingleTxtG"/>
        <w:ind w:left="1701"/>
        <w:rPr>
          <w:u w:val="single"/>
        </w:rPr>
      </w:pPr>
      <w:r>
        <w:rPr>
          <w:u w:val="single"/>
          <w:lang w:val="fr-FR"/>
        </w:rPr>
        <w:t>Il est possible d’utiliser</w:t>
      </w:r>
      <w:r w:rsidRPr="00FA2AB2">
        <w:rPr>
          <w:u w:val="single"/>
          <w:lang w:val="fr-FR"/>
        </w:rPr>
        <w:t xml:space="preserve"> </w:t>
      </w:r>
      <w:r>
        <w:rPr>
          <w:u w:val="single"/>
          <w:lang w:val="fr-FR"/>
        </w:rPr>
        <w:t>dans cette méthode une valeur différente de λ si sa valeur réelle peut être estimée au moyen de mesures physiques des propriétés du principal isolant thermique de la paroi, ou au moyen de données statistiques concernant d’autres unités de transport de denrées périssables de caractéristiques similaires.</w:t>
      </w:r>
    </w:p>
    <w:p w14:paraId="4D75A958" w14:textId="172917FB" w:rsidR="00F9573C" w:rsidRPr="00395D3B" w:rsidRDefault="00395D3B" w:rsidP="00395D3B">
      <w:pPr>
        <w:pStyle w:val="SingleTxtG"/>
        <w:spacing w:before="240" w:after="0"/>
        <w:jc w:val="center"/>
        <w:rPr>
          <w:u w:val="single"/>
        </w:rPr>
      </w:pPr>
      <w:r>
        <w:rPr>
          <w:u w:val="single"/>
        </w:rPr>
        <w:tab/>
      </w:r>
      <w:r>
        <w:rPr>
          <w:u w:val="single"/>
        </w:rPr>
        <w:tab/>
      </w:r>
      <w:r>
        <w:rPr>
          <w:u w:val="single"/>
        </w:rPr>
        <w:tab/>
      </w:r>
      <w:r>
        <w:rPr>
          <w:u w:val="single"/>
        </w:rPr>
        <w:tab/>
      </w:r>
    </w:p>
    <w:sectPr w:rsidR="00F9573C" w:rsidRPr="00395D3B" w:rsidSect="00E959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75B4" w14:textId="77777777" w:rsidR="00A75760" w:rsidRDefault="00A75760" w:rsidP="00F95C08">
      <w:pPr>
        <w:spacing w:line="240" w:lineRule="auto"/>
      </w:pPr>
    </w:p>
  </w:endnote>
  <w:endnote w:type="continuationSeparator" w:id="0">
    <w:p w14:paraId="6D7B06B6" w14:textId="77777777" w:rsidR="00A75760" w:rsidRPr="00AC3823" w:rsidRDefault="00A75760" w:rsidP="00AC3823">
      <w:pPr>
        <w:pStyle w:val="Pieddepage"/>
      </w:pPr>
    </w:p>
  </w:endnote>
  <w:endnote w:type="continuationNotice" w:id="1">
    <w:p w14:paraId="31DFF0AE" w14:textId="77777777" w:rsidR="00A75760" w:rsidRDefault="00A75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3EDF" w14:textId="13345AB7" w:rsidR="00E95996" w:rsidRPr="00E95996" w:rsidRDefault="00E95996" w:rsidP="00E95996">
    <w:pPr>
      <w:pStyle w:val="Pieddepage"/>
      <w:tabs>
        <w:tab w:val="right" w:pos="9638"/>
      </w:tabs>
    </w:pPr>
    <w:r w:rsidRPr="00E95996">
      <w:rPr>
        <w:b/>
        <w:sz w:val="18"/>
      </w:rPr>
      <w:fldChar w:fldCharType="begin"/>
    </w:r>
    <w:r w:rsidRPr="00E95996">
      <w:rPr>
        <w:b/>
        <w:sz w:val="18"/>
      </w:rPr>
      <w:instrText xml:space="preserve"> PAGE  \* MERGEFORMAT </w:instrText>
    </w:r>
    <w:r w:rsidRPr="00E95996">
      <w:rPr>
        <w:b/>
        <w:sz w:val="18"/>
      </w:rPr>
      <w:fldChar w:fldCharType="separate"/>
    </w:r>
    <w:r w:rsidRPr="00E95996">
      <w:rPr>
        <w:b/>
        <w:noProof/>
        <w:sz w:val="18"/>
      </w:rPr>
      <w:t>2</w:t>
    </w:r>
    <w:r w:rsidRPr="00E95996">
      <w:rPr>
        <w:b/>
        <w:sz w:val="18"/>
      </w:rPr>
      <w:fldChar w:fldCharType="end"/>
    </w:r>
    <w:r>
      <w:rPr>
        <w:b/>
        <w:sz w:val="18"/>
      </w:rPr>
      <w:tab/>
    </w:r>
    <w:r>
      <w:t>GE.21-10896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12D8" w14:textId="65236AFA" w:rsidR="00E95996" w:rsidRPr="00E95996" w:rsidRDefault="00E95996" w:rsidP="00E95996">
    <w:pPr>
      <w:pStyle w:val="Pieddepage"/>
      <w:tabs>
        <w:tab w:val="right" w:pos="9638"/>
      </w:tabs>
      <w:rPr>
        <w:b/>
        <w:sz w:val="18"/>
      </w:rPr>
    </w:pPr>
    <w:r>
      <w:t>GE.21-10896</w:t>
    </w:r>
    <w:r>
      <w:tab/>
    </w:r>
    <w:r w:rsidRPr="00E95996">
      <w:rPr>
        <w:b/>
        <w:sz w:val="18"/>
      </w:rPr>
      <w:fldChar w:fldCharType="begin"/>
    </w:r>
    <w:r w:rsidRPr="00E95996">
      <w:rPr>
        <w:b/>
        <w:sz w:val="18"/>
      </w:rPr>
      <w:instrText xml:space="preserve"> PAGE  \* MERGEFORMAT </w:instrText>
    </w:r>
    <w:r w:rsidRPr="00E95996">
      <w:rPr>
        <w:b/>
        <w:sz w:val="18"/>
      </w:rPr>
      <w:fldChar w:fldCharType="separate"/>
    </w:r>
    <w:r w:rsidRPr="00E95996">
      <w:rPr>
        <w:b/>
        <w:noProof/>
        <w:sz w:val="18"/>
      </w:rPr>
      <w:t>3</w:t>
    </w:r>
    <w:r w:rsidRPr="00E959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EE0A" w14:textId="5DAFA165" w:rsidR="007F20FA" w:rsidRPr="00E95996" w:rsidRDefault="00E95996" w:rsidP="00E9599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4F765B" wp14:editId="5AD5A3D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21-10896  (F)</w:t>
    </w:r>
    <w:r>
      <w:rPr>
        <w:noProof/>
        <w:sz w:val="20"/>
      </w:rPr>
      <w:drawing>
        <wp:anchor distT="0" distB="0" distL="114300" distR="114300" simplePos="0" relativeHeight="251660288" behindDoc="0" locked="0" layoutInCell="1" allowOverlap="1" wp14:anchorId="709A919E" wp14:editId="686261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100921    100921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E2F8" w14:textId="77777777" w:rsidR="00A75760" w:rsidRPr="00AC3823" w:rsidRDefault="00A75760" w:rsidP="00AC3823">
      <w:pPr>
        <w:pStyle w:val="Pieddepage"/>
        <w:tabs>
          <w:tab w:val="right" w:pos="2155"/>
        </w:tabs>
        <w:spacing w:after="80" w:line="240" w:lineRule="atLeast"/>
        <w:ind w:left="680"/>
        <w:rPr>
          <w:u w:val="single"/>
        </w:rPr>
      </w:pPr>
      <w:r>
        <w:rPr>
          <w:u w:val="single"/>
        </w:rPr>
        <w:tab/>
      </w:r>
    </w:p>
  </w:footnote>
  <w:footnote w:type="continuationSeparator" w:id="0">
    <w:p w14:paraId="7011B43B" w14:textId="77777777" w:rsidR="00A75760" w:rsidRPr="00AC3823" w:rsidRDefault="00A75760" w:rsidP="00AC3823">
      <w:pPr>
        <w:pStyle w:val="Pieddepage"/>
        <w:tabs>
          <w:tab w:val="right" w:pos="2155"/>
        </w:tabs>
        <w:spacing w:after="80" w:line="240" w:lineRule="atLeast"/>
        <w:ind w:left="680"/>
        <w:rPr>
          <w:u w:val="single"/>
        </w:rPr>
      </w:pPr>
      <w:r>
        <w:rPr>
          <w:u w:val="single"/>
        </w:rPr>
        <w:tab/>
      </w:r>
    </w:p>
  </w:footnote>
  <w:footnote w:type="continuationNotice" w:id="1">
    <w:p w14:paraId="0ACBB959" w14:textId="77777777" w:rsidR="00A75760" w:rsidRPr="00AC3823" w:rsidRDefault="00A7576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3283" w14:textId="4B7D8662" w:rsidR="00E95996" w:rsidRPr="00E95996" w:rsidRDefault="00E95996">
    <w:pPr>
      <w:pStyle w:val="En-tte"/>
    </w:pPr>
    <w:fldSimple w:instr=" TITLE  \* MERGEFORMAT ">
      <w:r>
        <w:t>ECE/TRANS/WP.11/2021/4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6D94" w14:textId="11E4C41E" w:rsidR="00E95996" w:rsidRPr="00E95996" w:rsidRDefault="00E95996" w:rsidP="00E95996">
    <w:pPr>
      <w:pStyle w:val="En-tte"/>
      <w:jc w:val="right"/>
    </w:pPr>
    <w:fldSimple w:instr=" TITLE  \* MERGEFORMAT ">
      <w:r>
        <w:t>ECE/TRANS/WP.11/2021/4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60"/>
    <w:rsid w:val="00005AD8"/>
    <w:rsid w:val="00017F94"/>
    <w:rsid w:val="00023842"/>
    <w:rsid w:val="000334F9"/>
    <w:rsid w:val="00033827"/>
    <w:rsid w:val="00045FEB"/>
    <w:rsid w:val="0007796D"/>
    <w:rsid w:val="000B7790"/>
    <w:rsid w:val="00111F2F"/>
    <w:rsid w:val="0014365E"/>
    <w:rsid w:val="00143C66"/>
    <w:rsid w:val="00176178"/>
    <w:rsid w:val="0019589D"/>
    <w:rsid w:val="001D65F2"/>
    <w:rsid w:val="001F525A"/>
    <w:rsid w:val="00201148"/>
    <w:rsid w:val="00220AB7"/>
    <w:rsid w:val="00223272"/>
    <w:rsid w:val="0024779E"/>
    <w:rsid w:val="00257168"/>
    <w:rsid w:val="002744B8"/>
    <w:rsid w:val="002832AC"/>
    <w:rsid w:val="00295EE5"/>
    <w:rsid w:val="002A0BB9"/>
    <w:rsid w:val="002D7C93"/>
    <w:rsid w:val="002E62AE"/>
    <w:rsid w:val="00305801"/>
    <w:rsid w:val="0030674C"/>
    <w:rsid w:val="00340725"/>
    <w:rsid w:val="00353701"/>
    <w:rsid w:val="003916DE"/>
    <w:rsid w:val="00395D3B"/>
    <w:rsid w:val="003E194B"/>
    <w:rsid w:val="00421996"/>
    <w:rsid w:val="00441C3B"/>
    <w:rsid w:val="00446FE5"/>
    <w:rsid w:val="00452396"/>
    <w:rsid w:val="00477EB2"/>
    <w:rsid w:val="004837D8"/>
    <w:rsid w:val="004C146A"/>
    <w:rsid w:val="004E2EED"/>
    <w:rsid w:val="004E468C"/>
    <w:rsid w:val="005505B7"/>
    <w:rsid w:val="00573BE5"/>
    <w:rsid w:val="00584784"/>
    <w:rsid w:val="00586ED3"/>
    <w:rsid w:val="00596AA9"/>
    <w:rsid w:val="005C0824"/>
    <w:rsid w:val="006739BA"/>
    <w:rsid w:val="0071601D"/>
    <w:rsid w:val="0073098B"/>
    <w:rsid w:val="007A62E6"/>
    <w:rsid w:val="007E4B20"/>
    <w:rsid w:val="007F20FA"/>
    <w:rsid w:val="0080684C"/>
    <w:rsid w:val="008117AD"/>
    <w:rsid w:val="008445A8"/>
    <w:rsid w:val="00871C75"/>
    <w:rsid w:val="008776DC"/>
    <w:rsid w:val="008D5EF9"/>
    <w:rsid w:val="00916C1E"/>
    <w:rsid w:val="009446C0"/>
    <w:rsid w:val="009705C8"/>
    <w:rsid w:val="0097595C"/>
    <w:rsid w:val="009B0B78"/>
    <w:rsid w:val="009C1CF4"/>
    <w:rsid w:val="009F6B74"/>
    <w:rsid w:val="00A3029F"/>
    <w:rsid w:val="00A30353"/>
    <w:rsid w:val="00A73B3D"/>
    <w:rsid w:val="00A75760"/>
    <w:rsid w:val="00AC3823"/>
    <w:rsid w:val="00AC7AAF"/>
    <w:rsid w:val="00AE323C"/>
    <w:rsid w:val="00AF0CB5"/>
    <w:rsid w:val="00B00181"/>
    <w:rsid w:val="00B00B0D"/>
    <w:rsid w:val="00B45F2E"/>
    <w:rsid w:val="00B53189"/>
    <w:rsid w:val="00B765F7"/>
    <w:rsid w:val="00B77993"/>
    <w:rsid w:val="00BA0CA9"/>
    <w:rsid w:val="00BA3CFE"/>
    <w:rsid w:val="00BB2028"/>
    <w:rsid w:val="00BE097C"/>
    <w:rsid w:val="00C02897"/>
    <w:rsid w:val="00C60A2C"/>
    <w:rsid w:val="00C618E6"/>
    <w:rsid w:val="00C97039"/>
    <w:rsid w:val="00CB19BA"/>
    <w:rsid w:val="00D3439C"/>
    <w:rsid w:val="00D422D7"/>
    <w:rsid w:val="00D7622E"/>
    <w:rsid w:val="00D805BC"/>
    <w:rsid w:val="00DB1831"/>
    <w:rsid w:val="00DD3BFD"/>
    <w:rsid w:val="00DF6678"/>
    <w:rsid w:val="00E0299A"/>
    <w:rsid w:val="00E5207A"/>
    <w:rsid w:val="00E85C74"/>
    <w:rsid w:val="00E95996"/>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674C3"/>
  <w15:docId w15:val="{ABA65A2D-73C3-4D83-8E9B-D8715DB2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95D3B"/>
    <w:rPr>
      <w:rFonts w:ascii="Times New Roman" w:eastAsiaTheme="minorHAnsi" w:hAnsi="Times New Roman" w:cs="Times New Roman"/>
      <w:sz w:val="20"/>
      <w:szCs w:val="20"/>
      <w:lang w:eastAsia="en-US"/>
    </w:rPr>
  </w:style>
  <w:style w:type="character" w:styleId="Textedelespacerserv">
    <w:name w:val="Placeholder Text"/>
    <w:basedOn w:val="Policepardfaut"/>
    <w:uiPriority w:val="99"/>
    <w:semiHidden/>
    <w:rsid w:val="002E6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1236</Words>
  <Characters>8654</Characters>
  <Application>Microsoft Office Word</Application>
  <DocSecurity>0</DocSecurity>
  <Lines>721</Lines>
  <Paragraphs>395</Paragraphs>
  <ScaleCrop>false</ScaleCrop>
  <HeadingPairs>
    <vt:vector size="2" baseType="variant">
      <vt:variant>
        <vt:lpstr>Titre</vt:lpstr>
      </vt:variant>
      <vt:variant>
        <vt:i4>1</vt:i4>
      </vt:variant>
    </vt:vector>
  </HeadingPairs>
  <TitlesOfParts>
    <vt:vector size="1" baseType="lpstr">
      <vt:lpstr>ECE/TRANS/WP.11/2021/4</vt:lpstr>
    </vt:vector>
  </TitlesOfParts>
  <Company>DCM</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ECE/TRANS/WP.11/2021/4</dc:title>
  <dc:subject/>
  <dc:creator>Nathalie VITTOZ</dc:creator>
  <cp:keywords/>
  <cp:lastModifiedBy>Nathalie Vittoz</cp:lastModifiedBy>
  <cp:revision>2</cp:revision>
  <cp:lastPrinted>2014-05-14T10:59:00Z</cp:lastPrinted>
  <dcterms:created xsi:type="dcterms:W3CDTF">2021-09-10T10:59:00Z</dcterms:created>
  <dcterms:modified xsi:type="dcterms:W3CDTF">2021-09-10T10:59:00Z</dcterms:modified>
</cp:coreProperties>
</file>