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8AF003" w14:textId="77777777" w:rsidTr="00C97039">
        <w:trPr>
          <w:trHeight w:hRule="exact" w:val="851"/>
        </w:trPr>
        <w:tc>
          <w:tcPr>
            <w:tcW w:w="1276" w:type="dxa"/>
            <w:tcBorders>
              <w:bottom w:val="single" w:sz="4" w:space="0" w:color="auto"/>
            </w:tcBorders>
          </w:tcPr>
          <w:p w14:paraId="325E782B" w14:textId="77777777" w:rsidR="00F35BAF" w:rsidRPr="00DB58B5" w:rsidRDefault="00F35BAF" w:rsidP="004655DE"/>
        </w:tc>
        <w:tc>
          <w:tcPr>
            <w:tcW w:w="2268" w:type="dxa"/>
            <w:tcBorders>
              <w:bottom w:val="single" w:sz="4" w:space="0" w:color="auto"/>
            </w:tcBorders>
            <w:vAlign w:val="bottom"/>
          </w:tcPr>
          <w:p w14:paraId="6D34D8E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71A9C7" w14:textId="217768B2" w:rsidR="00F35BAF" w:rsidRPr="00EA1264" w:rsidRDefault="00EA1264" w:rsidP="00EA1264">
            <w:pPr>
              <w:jc w:val="right"/>
            </w:pPr>
            <w:r w:rsidRPr="00EA1264">
              <w:rPr>
                <w:sz w:val="40"/>
              </w:rPr>
              <w:t>ECE</w:t>
            </w:r>
            <w:r>
              <w:t>/TRANS/WP.11/2021/2</w:t>
            </w:r>
          </w:p>
        </w:tc>
      </w:tr>
      <w:tr w:rsidR="00F35BAF" w:rsidRPr="00DB58B5" w14:paraId="3F51003B" w14:textId="77777777" w:rsidTr="00C97039">
        <w:trPr>
          <w:trHeight w:hRule="exact" w:val="2835"/>
        </w:trPr>
        <w:tc>
          <w:tcPr>
            <w:tcW w:w="1276" w:type="dxa"/>
            <w:tcBorders>
              <w:top w:val="single" w:sz="4" w:space="0" w:color="auto"/>
              <w:bottom w:val="single" w:sz="12" w:space="0" w:color="auto"/>
            </w:tcBorders>
          </w:tcPr>
          <w:p w14:paraId="7B26902F" w14:textId="77777777" w:rsidR="00F35BAF" w:rsidRPr="00DB58B5" w:rsidRDefault="00F35BAF" w:rsidP="00C97039">
            <w:pPr>
              <w:spacing w:before="120"/>
              <w:jc w:val="center"/>
            </w:pPr>
            <w:r>
              <w:rPr>
                <w:noProof/>
                <w:lang w:eastAsia="fr-CH"/>
              </w:rPr>
              <w:drawing>
                <wp:inline distT="0" distB="0" distL="0" distR="0" wp14:anchorId="74DE0458" wp14:editId="045987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7646E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7D3B1E" w14:textId="77777777" w:rsidR="00F35BAF" w:rsidRDefault="004655DE" w:rsidP="00C97039">
            <w:pPr>
              <w:spacing w:before="240"/>
            </w:pPr>
            <w:r>
              <w:t>Distr. générale</w:t>
            </w:r>
          </w:p>
          <w:p w14:paraId="58317D09" w14:textId="77777777" w:rsidR="004655DE" w:rsidRDefault="004655DE" w:rsidP="004655DE">
            <w:pPr>
              <w:spacing w:line="240" w:lineRule="exact"/>
            </w:pPr>
            <w:r>
              <w:t>9 août 2021</w:t>
            </w:r>
          </w:p>
          <w:p w14:paraId="26FB90A5" w14:textId="77777777" w:rsidR="004655DE" w:rsidRDefault="004655DE" w:rsidP="004655DE">
            <w:pPr>
              <w:spacing w:line="240" w:lineRule="exact"/>
            </w:pPr>
            <w:r>
              <w:t>Français</w:t>
            </w:r>
          </w:p>
          <w:p w14:paraId="018AA7B8" w14:textId="50466387" w:rsidR="004655DE" w:rsidRPr="00DB58B5" w:rsidRDefault="004655DE" w:rsidP="004655DE">
            <w:pPr>
              <w:spacing w:line="240" w:lineRule="exact"/>
            </w:pPr>
            <w:r>
              <w:t>Original : anglais</w:t>
            </w:r>
          </w:p>
        </w:tc>
      </w:tr>
    </w:tbl>
    <w:p w14:paraId="2182AEBA" w14:textId="129B01AC" w:rsidR="007F20FA" w:rsidRPr="000312C0" w:rsidRDefault="007F20FA" w:rsidP="007F20FA">
      <w:pPr>
        <w:spacing w:before="120"/>
        <w:rPr>
          <w:b/>
          <w:sz w:val="28"/>
          <w:szCs w:val="28"/>
        </w:rPr>
      </w:pPr>
      <w:r w:rsidRPr="000312C0">
        <w:rPr>
          <w:b/>
          <w:sz w:val="28"/>
          <w:szCs w:val="28"/>
        </w:rPr>
        <w:t>Commission économique pour l</w:t>
      </w:r>
      <w:r w:rsidR="004655DE">
        <w:rPr>
          <w:b/>
          <w:sz w:val="28"/>
          <w:szCs w:val="28"/>
        </w:rPr>
        <w:t>’</w:t>
      </w:r>
      <w:r w:rsidRPr="000312C0">
        <w:rPr>
          <w:b/>
          <w:sz w:val="28"/>
          <w:szCs w:val="28"/>
        </w:rPr>
        <w:t>Europe</w:t>
      </w:r>
    </w:p>
    <w:p w14:paraId="2D75EBF7" w14:textId="77777777" w:rsidR="007F20FA" w:rsidRDefault="007F20FA" w:rsidP="007F20FA">
      <w:pPr>
        <w:spacing w:before="120"/>
        <w:rPr>
          <w:sz w:val="28"/>
          <w:szCs w:val="28"/>
        </w:rPr>
      </w:pPr>
      <w:r w:rsidRPr="00685843">
        <w:rPr>
          <w:sz w:val="28"/>
          <w:szCs w:val="28"/>
        </w:rPr>
        <w:t>Comité des transports intérieurs</w:t>
      </w:r>
    </w:p>
    <w:p w14:paraId="7DEBF398" w14:textId="77777777" w:rsidR="004655DE" w:rsidRPr="00685843" w:rsidRDefault="004655DE" w:rsidP="00305801">
      <w:pPr>
        <w:spacing w:before="120"/>
        <w:rPr>
          <w:b/>
          <w:sz w:val="24"/>
          <w:szCs w:val="24"/>
        </w:rPr>
      </w:pPr>
      <w:r>
        <w:rPr>
          <w:b/>
          <w:sz w:val="24"/>
          <w:szCs w:val="24"/>
        </w:rPr>
        <w:t>Groupe de travail du transport des denrées périssables</w:t>
      </w:r>
    </w:p>
    <w:p w14:paraId="2ED43122" w14:textId="77777777" w:rsidR="004655DE" w:rsidRPr="00152705" w:rsidRDefault="004655DE" w:rsidP="004655DE">
      <w:pPr>
        <w:spacing w:before="120"/>
        <w:rPr>
          <w:b/>
        </w:rPr>
      </w:pPr>
      <w:r>
        <w:rPr>
          <w:b/>
          <w:bCs/>
          <w:lang w:val="fr-FR"/>
        </w:rPr>
        <w:t>Soixante-dix-septième session</w:t>
      </w:r>
    </w:p>
    <w:p w14:paraId="1D6DA7AA" w14:textId="77777777" w:rsidR="004655DE" w:rsidRPr="00152705" w:rsidRDefault="004655DE" w:rsidP="004655DE">
      <w:r>
        <w:rPr>
          <w:lang w:val="fr-FR"/>
        </w:rPr>
        <w:t>Genève, 26-29 octobre 2021</w:t>
      </w:r>
    </w:p>
    <w:p w14:paraId="12C5F516" w14:textId="7839510C" w:rsidR="004655DE" w:rsidRPr="00152705" w:rsidRDefault="004655DE" w:rsidP="004655DE">
      <w:r>
        <w:rPr>
          <w:lang w:val="fr-FR"/>
        </w:rPr>
        <w:t>Point 5 b) de l</w:t>
      </w:r>
      <w:r>
        <w:rPr>
          <w:lang w:val="fr-FR"/>
        </w:rPr>
        <w:t>’</w:t>
      </w:r>
      <w:r>
        <w:rPr>
          <w:lang w:val="fr-FR"/>
        </w:rPr>
        <w:t>ordre du jour provisoire</w:t>
      </w:r>
    </w:p>
    <w:p w14:paraId="4F57F5AD" w14:textId="7BDD586D" w:rsidR="004655DE" w:rsidRPr="00152705" w:rsidRDefault="004655DE" w:rsidP="004655DE">
      <w:pPr>
        <w:rPr>
          <w:b/>
        </w:rPr>
      </w:pPr>
      <w:r>
        <w:rPr>
          <w:b/>
          <w:bCs/>
          <w:lang w:val="fr-FR"/>
        </w:rPr>
        <w:t>Propositions d</w:t>
      </w:r>
      <w:r>
        <w:rPr>
          <w:b/>
          <w:bCs/>
          <w:lang w:val="fr-FR"/>
        </w:rPr>
        <w:t>’</w:t>
      </w:r>
      <w:r>
        <w:rPr>
          <w:b/>
          <w:bCs/>
          <w:lang w:val="fr-FR"/>
        </w:rPr>
        <w:t>amendements à l</w:t>
      </w:r>
      <w:r>
        <w:rPr>
          <w:b/>
          <w:bCs/>
          <w:lang w:val="fr-FR"/>
        </w:rPr>
        <w:t>’</w:t>
      </w:r>
      <w:r>
        <w:rPr>
          <w:b/>
          <w:bCs/>
          <w:lang w:val="fr-FR"/>
        </w:rPr>
        <w:t>ATP</w:t>
      </w:r>
      <w:r>
        <w:rPr>
          <w:b/>
          <w:bCs/>
          <w:lang w:val="fr-FR"/>
        </w:rPr>
        <w:t> </w:t>
      </w:r>
      <w:r>
        <w:rPr>
          <w:b/>
          <w:bCs/>
          <w:lang w:val="fr-FR"/>
        </w:rPr>
        <w:t xml:space="preserve">: </w:t>
      </w:r>
      <w:r>
        <w:rPr>
          <w:b/>
          <w:bCs/>
          <w:lang w:val="fr-FR"/>
        </w:rPr>
        <w:br/>
      </w:r>
      <w:r>
        <w:rPr>
          <w:b/>
          <w:bCs/>
          <w:lang w:val="fr-FR"/>
        </w:rPr>
        <w:t>nouvelles propositions</w:t>
      </w:r>
    </w:p>
    <w:p w14:paraId="7C78DFE3" w14:textId="63CA6424" w:rsidR="004655DE" w:rsidRPr="00152705" w:rsidRDefault="004655DE" w:rsidP="004655DE">
      <w:pPr>
        <w:pStyle w:val="HChG"/>
      </w:pPr>
      <w:r>
        <w:rPr>
          <w:lang w:val="fr-FR"/>
        </w:rPr>
        <w:tab/>
      </w:r>
      <w:r>
        <w:rPr>
          <w:lang w:val="fr-FR"/>
        </w:rPr>
        <w:tab/>
        <w:t>Correction de la formule donnée dans la procédure d</w:t>
      </w:r>
      <w:r>
        <w:rPr>
          <w:lang w:val="fr-FR"/>
        </w:rPr>
        <w:t>’</w:t>
      </w:r>
      <w:r>
        <w:rPr>
          <w:lang w:val="fr-FR"/>
        </w:rPr>
        <w:t xml:space="preserve">essai </w:t>
      </w:r>
      <w:r>
        <w:rPr>
          <w:lang w:val="fr-FR"/>
        </w:rPr>
        <w:br/>
      </w:r>
      <w:r>
        <w:rPr>
          <w:lang w:val="fr-FR"/>
        </w:rPr>
        <w:t>du paragraphe 4.5.2 de l</w:t>
      </w:r>
      <w:r>
        <w:rPr>
          <w:lang w:val="fr-FR"/>
        </w:rPr>
        <w:t>’</w:t>
      </w:r>
      <w:r>
        <w:rPr>
          <w:lang w:val="fr-FR"/>
        </w:rPr>
        <w:t>appendice 2 de l</w:t>
      </w:r>
      <w:r>
        <w:rPr>
          <w:lang w:val="fr-FR"/>
        </w:rPr>
        <w:t>’</w:t>
      </w:r>
      <w:r>
        <w:rPr>
          <w:lang w:val="fr-FR"/>
        </w:rPr>
        <w:t>annexe 1</w:t>
      </w:r>
    </w:p>
    <w:p w14:paraId="4431F2D6" w14:textId="77777777" w:rsidR="004655DE" w:rsidRDefault="004655DE" w:rsidP="004655DE">
      <w:pPr>
        <w:pStyle w:val="H1G"/>
      </w:pPr>
      <w:r>
        <w:rPr>
          <w:lang w:val="fr-FR"/>
        </w:rPr>
        <w:tab/>
      </w:r>
      <w:r>
        <w:rPr>
          <w:lang w:val="fr-FR"/>
        </w:rPr>
        <w:tab/>
        <w:t>Communication du Gouvernement espagnol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655DE" w14:paraId="2121A913" w14:textId="77777777" w:rsidTr="004655DE">
        <w:trPr>
          <w:jc w:val="center"/>
        </w:trPr>
        <w:tc>
          <w:tcPr>
            <w:tcW w:w="9628" w:type="dxa"/>
            <w:shd w:val="clear" w:color="auto" w:fill="auto"/>
          </w:tcPr>
          <w:p w14:paraId="34FB20AF" w14:textId="77777777" w:rsidR="004655DE" w:rsidRDefault="004655DE">
            <w:pPr>
              <w:spacing w:before="240" w:after="120"/>
              <w:ind w:left="255"/>
              <w:rPr>
                <w:i/>
                <w:sz w:val="24"/>
              </w:rPr>
            </w:pPr>
            <w:r>
              <w:rPr>
                <w:i/>
                <w:sz w:val="24"/>
              </w:rPr>
              <w:t>Résumé</w:t>
            </w:r>
          </w:p>
        </w:tc>
      </w:tr>
      <w:tr w:rsidR="004655DE" w14:paraId="36E09831" w14:textId="77777777" w:rsidTr="004655DE">
        <w:trPr>
          <w:jc w:val="center"/>
        </w:trPr>
        <w:tc>
          <w:tcPr>
            <w:tcW w:w="9628" w:type="dxa"/>
            <w:shd w:val="clear" w:color="auto" w:fill="auto"/>
          </w:tcPr>
          <w:p w14:paraId="23600D07" w14:textId="01F6EE69" w:rsidR="004655DE" w:rsidRDefault="004655DE" w:rsidP="004655DE">
            <w:pPr>
              <w:pStyle w:val="SingleTxtG"/>
              <w:ind w:left="2240" w:hanging="1985"/>
            </w:pPr>
            <w:r w:rsidRPr="004655DE">
              <w:rPr>
                <w:b/>
                <w:bCs/>
                <w:lang w:val="fr-FR"/>
              </w:rPr>
              <w:t>Résumé analytique :</w:t>
            </w:r>
            <w:r>
              <w:rPr>
                <w:b/>
                <w:bCs/>
                <w:lang w:val="fr-FR"/>
              </w:rPr>
              <w:tab/>
            </w:r>
            <w:r>
              <w:rPr>
                <w:lang w:val="fr-FR"/>
              </w:rPr>
              <w:t>Correction de la formule donnée dans la procédure d</w:t>
            </w:r>
            <w:r>
              <w:rPr>
                <w:lang w:val="fr-FR"/>
              </w:rPr>
              <w:t>’</w:t>
            </w:r>
            <w:r>
              <w:rPr>
                <w:lang w:val="fr-FR"/>
              </w:rPr>
              <w:t>essai du paragraphe 4.5.2 de l</w:t>
            </w:r>
            <w:r>
              <w:rPr>
                <w:lang w:val="fr-FR"/>
              </w:rPr>
              <w:t>’</w:t>
            </w:r>
            <w:r>
              <w:rPr>
                <w:lang w:val="fr-FR"/>
              </w:rPr>
              <w:t>appendice 2 de l</w:t>
            </w:r>
            <w:r>
              <w:rPr>
                <w:lang w:val="fr-FR"/>
              </w:rPr>
              <w:t>’</w:t>
            </w:r>
            <w:r>
              <w:rPr>
                <w:lang w:val="fr-FR"/>
              </w:rPr>
              <w:t>annexe 1.</w:t>
            </w:r>
          </w:p>
        </w:tc>
      </w:tr>
      <w:tr w:rsidR="004655DE" w14:paraId="0526C47A" w14:textId="77777777" w:rsidTr="004655DE">
        <w:trPr>
          <w:jc w:val="center"/>
        </w:trPr>
        <w:tc>
          <w:tcPr>
            <w:tcW w:w="9628" w:type="dxa"/>
            <w:shd w:val="clear" w:color="auto" w:fill="auto"/>
          </w:tcPr>
          <w:p w14:paraId="2B736642" w14:textId="199D9E83" w:rsidR="004655DE" w:rsidRPr="004655DE" w:rsidRDefault="004655DE" w:rsidP="004655DE">
            <w:pPr>
              <w:pStyle w:val="SingleTxtG"/>
              <w:ind w:left="2240" w:hanging="1985"/>
              <w:rPr>
                <w:b/>
                <w:bCs/>
                <w:lang w:val="fr-FR"/>
              </w:rPr>
            </w:pPr>
            <w:r w:rsidRPr="004655DE">
              <w:rPr>
                <w:b/>
                <w:bCs/>
                <w:lang w:val="fr-FR"/>
              </w:rPr>
              <w:t xml:space="preserve">Mesure à prendre : </w:t>
            </w:r>
            <w:r w:rsidRPr="004655DE">
              <w:rPr>
                <w:b/>
                <w:bCs/>
                <w:lang w:val="fr-FR"/>
              </w:rPr>
              <w:tab/>
            </w:r>
            <w:r w:rsidRPr="004655DE">
              <w:rPr>
                <w:lang w:val="fr-FR"/>
              </w:rPr>
              <w:t>Supprimer la mention « (1) » dans la formule destinée au calcul du critère d</w:t>
            </w:r>
            <w:r>
              <w:rPr>
                <w:lang w:val="fr-FR"/>
              </w:rPr>
              <w:t>’</w:t>
            </w:r>
            <w:r w:rsidRPr="004655DE">
              <w:rPr>
                <w:lang w:val="fr-FR"/>
              </w:rPr>
              <w:t>équivalence concernant les fluides frigorigènes.</w:t>
            </w:r>
          </w:p>
        </w:tc>
      </w:tr>
      <w:tr w:rsidR="004655DE" w14:paraId="38555C73" w14:textId="77777777" w:rsidTr="004655DE">
        <w:trPr>
          <w:jc w:val="center"/>
        </w:trPr>
        <w:tc>
          <w:tcPr>
            <w:tcW w:w="9628" w:type="dxa"/>
            <w:shd w:val="clear" w:color="auto" w:fill="auto"/>
          </w:tcPr>
          <w:p w14:paraId="2F570486" w14:textId="0290A6D7" w:rsidR="004655DE" w:rsidRPr="004655DE" w:rsidRDefault="004655DE" w:rsidP="004655DE">
            <w:pPr>
              <w:pStyle w:val="SingleTxtG"/>
              <w:ind w:left="2240" w:hanging="1985"/>
              <w:rPr>
                <w:b/>
                <w:bCs/>
                <w:lang w:val="fr-FR"/>
              </w:rPr>
            </w:pPr>
            <w:r w:rsidRPr="004655DE">
              <w:rPr>
                <w:b/>
                <w:bCs/>
                <w:lang w:val="fr-FR"/>
              </w:rPr>
              <w:t>Documents connexes :</w:t>
            </w:r>
            <w:r w:rsidRPr="004655DE">
              <w:rPr>
                <w:b/>
                <w:bCs/>
                <w:lang w:val="fr-FR"/>
              </w:rPr>
              <w:tab/>
            </w:r>
            <w:r w:rsidRPr="004655DE">
              <w:rPr>
                <w:lang w:val="fr-FR"/>
              </w:rPr>
              <w:t>ECE/TRANS/WP.11/2016/18 (France), ECE/TRANS/WP.11/2017/23 (</w:t>
            </w:r>
            <w:proofErr w:type="spellStart"/>
            <w:r w:rsidRPr="004655DE">
              <w:rPr>
                <w:lang w:val="fr-FR"/>
              </w:rPr>
              <w:t>Transfrigoroute</w:t>
            </w:r>
            <w:proofErr w:type="spellEnd"/>
            <w:r w:rsidRPr="004655DE">
              <w:rPr>
                <w:lang w:val="fr-FR"/>
              </w:rPr>
              <w:t xml:space="preserve"> International) et rapport ECE/TRANS/WP.11/237.</w:t>
            </w:r>
          </w:p>
        </w:tc>
      </w:tr>
      <w:tr w:rsidR="004655DE" w14:paraId="3B935551" w14:textId="77777777" w:rsidTr="004655DE">
        <w:trPr>
          <w:jc w:val="center"/>
        </w:trPr>
        <w:tc>
          <w:tcPr>
            <w:tcW w:w="9628" w:type="dxa"/>
            <w:shd w:val="clear" w:color="auto" w:fill="auto"/>
          </w:tcPr>
          <w:p w14:paraId="613B50B0" w14:textId="77777777" w:rsidR="004655DE" w:rsidRDefault="004655DE"/>
        </w:tc>
      </w:tr>
    </w:tbl>
    <w:p w14:paraId="5F2EBD06" w14:textId="77777777" w:rsidR="004655DE" w:rsidRPr="00152705" w:rsidRDefault="004655DE" w:rsidP="004655DE">
      <w:pPr>
        <w:pStyle w:val="HChG"/>
      </w:pPr>
      <w:r>
        <w:rPr>
          <w:lang w:val="fr-FR"/>
        </w:rPr>
        <w:tab/>
      </w:r>
      <w:r>
        <w:rPr>
          <w:lang w:val="fr-FR"/>
        </w:rPr>
        <w:tab/>
        <w:t>Introduction</w:t>
      </w:r>
    </w:p>
    <w:p w14:paraId="1F168ABD" w14:textId="64589396" w:rsidR="004655DE" w:rsidRPr="00152705" w:rsidRDefault="004655DE" w:rsidP="004655DE">
      <w:pPr>
        <w:pStyle w:val="SingleTxtG"/>
      </w:pPr>
      <w:r>
        <w:rPr>
          <w:lang w:val="fr-FR"/>
        </w:rPr>
        <w:t>1.</w:t>
      </w:r>
      <w:r>
        <w:rPr>
          <w:lang w:val="fr-FR"/>
        </w:rPr>
        <w:tab/>
        <w:t>En 2016, la France a présenté le document ECE/TRANS/WP.11/2016/18, dans lequel elle a suggéré d</w:t>
      </w:r>
      <w:r>
        <w:rPr>
          <w:lang w:val="fr-FR"/>
        </w:rPr>
        <w:t>’</w:t>
      </w:r>
      <w:r>
        <w:rPr>
          <w:lang w:val="fr-FR"/>
        </w:rPr>
        <w:t>ajouter, dans l</w:t>
      </w:r>
      <w:r>
        <w:rPr>
          <w:lang w:val="fr-FR"/>
        </w:rPr>
        <w:t>’</w:t>
      </w:r>
      <w:r>
        <w:rPr>
          <w:lang w:val="fr-FR"/>
        </w:rPr>
        <w:t>appendice 2 de l</w:t>
      </w:r>
      <w:r>
        <w:rPr>
          <w:lang w:val="fr-FR"/>
        </w:rPr>
        <w:t>’</w:t>
      </w:r>
      <w:r>
        <w:rPr>
          <w:lang w:val="fr-FR"/>
        </w:rPr>
        <w:t>annexe 1 de l</w:t>
      </w:r>
      <w:r>
        <w:rPr>
          <w:lang w:val="fr-FR"/>
        </w:rPr>
        <w:t>’</w:t>
      </w:r>
      <w:r>
        <w:rPr>
          <w:lang w:val="fr-FR"/>
        </w:rPr>
        <w:t>ATP, une nouvelle section 10, qui définit une méthode d</w:t>
      </w:r>
      <w:r>
        <w:rPr>
          <w:lang w:val="fr-FR"/>
        </w:rPr>
        <w:t>’</w:t>
      </w:r>
      <w:r>
        <w:rPr>
          <w:lang w:val="fr-FR"/>
        </w:rPr>
        <w:t>essai permettant de vérifier l</w:t>
      </w:r>
      <w:r>
        <w:rPr>
          <w:lang w:val="fr-FR"/>
        </w:rPr>
        <w:t>’</w:t>
      </w:r>
      <w:r>
        <w:rPr>
          <w:lang w:val="fr-FR"/>
        </w:rPr>
        <w:t>équivalence des fluides frigorigènes en cas de changement du fluide utilisé dans un groupe frigorifique.</w:t>
      </w:r>
    </w:p>
    <w:p w14:paraId="3ED53C4B" w14:textId="22EF5D84" w:rsidR="004655DE" w:rsidRPr="00152705" w:rsidRDefault="004655DE" w:rsidP="004655DE">
      <w:pPr>
        <w:pStyle w:val="SingleTxtG"/>
      </w:pPr>
      <w:r>
        <w:rPr>
          <w:lang w:val="fr-FR"/>
        </w:rPr>
        <w:t>2.</w:t>
      </w:r>
      <w:r>
        <w:rPr>
          <w:lang w:val="fr-FR"/>
        </w:rPr>
        <w:tab/>
        <w:t>Au point 10.2 de cette section, en ce qui concerne la méthode d</w:t>
      </w:r>
      <w:r>
        <w:rPr>
          <w:lang w:val="fr-FR"/>
        </w:rPr>
        <w:t>’</w:t>
      </w:r>
      <w:r>
        <w:rPr>
          <w:lang w:val="fr-FR"/>
        </w:rPr>
        <w:t>essai, la formule ci</w:t>
      </w:r>
      <w:r>
        <w:rPr>
          <w:lang w:val="fr-FR"/>
        </w:rPr>
        <w:noBreakHyphen/>
      </w:r>
      <w:r>
        <w:rPr>
          <w:lang w:val="fr-FR"/>
        </w:rPr>
        <w:t>après a été utilisée, suivie de la mention « (1) », pour renvoyer ultérieurement à cette équation :</w:t>
      </w:r>
    </w:p>
    <w:p w14:paraId="1576D59A" w14:textId="4BB6E25A" w:rsidR="004655DE" w:rsidRPr="00152705" w:rsidRDefault="004655DE" w:rsidP="004655DE">
      <w:pPr>
        <w:pStyle w:val="SingleTxtG"/>
        <w:ind w:left="1701"/>
      </w:pPr>
      <w:r>
        <w:rPr>
          <w:b/>
          <w:bCs/>
          <w:lang w:val="fr-FR"/>
        </w:rPr>
        <w:t>« 10.2</w:t>
      </w:r>
      <w:r>
        <w:rPr>
          <w:b/>
          <w:bCs/>
          <w:lang w:val="fr-FR"/>
        </w:rPr>
        <w:tab/>
      </w:r>
      <w:r>
        <w:rPr>
          <w:b/>
          <w:bCs/>
          <w:lang w:val="fr-FR"/>
        </w:rPr>
        <w:t>Méthodologie d</w:t>
      </w:r>
      <w:r>
        <w:rPr>
          <w:b/>
          <w:bCs/>
          <w:lang w:val="fr-FR"/>
        </w:rPr>
        <w:t>’</w:t>
      </w:r>
      <w:r>
        <w:rPr>
          <w:b/>
          <w:bCs/>
          <w:lang w:val="fr-FR"/>
        </w:rPr>
        <w:t>essais</w:t>
      </w:r>
    </w:p>
    <w:p w14:paraId="0AED2BF2" w14:textId="52E57177" w:rsidR="004655DE" w:rsidRPr="00152705" w:rsidRDefault="004655DE" w:rsidP="004655DE">
      <w:pPr>
        <w:pStyle w:val="SingleTxtG"/>
        <w:ind w:left="1701"/>
      </w:pPr>
      <w:r>
        <w:rPr>
          <w:lang w:val="fr-FR"/>
        </w:rPr>
        <w:t>Le groupe avec le nouveau fluide fait l</w:t>
      </w:r>
      <w:r>
        <w:rPr>
          <w:lang w:val="fr-FR"/>
        </w:rPr>
        <w:t>’</w:t>
      </w:r>
      <w:r>
        <w:rPr>
          <w:lang w:val="fr-FR"/>
        </w:rPr>
        <w:t>objet d</w:t>
      </w:r>
      <w:r>
        <w:rPr>
          <w:lang w:val="fr-FR"/>
        </w:rPr>
        <w:t>’</w:t>
      </w:r>
      <w:r>
        <w:rPr>
          <w:lang w:val="fr-FR"/>
        </w:rPr>
        <w:t xml:space="preserve">un essai limité conforme à celui qui est présentée à la section 4. </w:t>
      </w:r>
    </w:p>
    <w:p w14:paraId="47BBA2D4" w14:textId="65BB9BAC" w:rsidR="004655DE" w:rsidRPr="00152705" w:rsidRDefault="004655DE" w:rsidP="004655DE">
      <w:pPr>
        <w:pStyle w:val="SingleTxtG"/>
        <w:ind w:left="1701"/>
      </w:pPr>
      <w:r>
        <w:rPr>
          <w:lang w:val="fr-FR"/>
        </w:rPr>
        <w:lastRenderedPageBreak/>
        <w:t>On vérifie ensuite l</w:t>
      </w:r>
      <w:r>
        <w:rPr>
          <w:lang w:val="fr-FR"/>
        </w:rPr>
        <w:t>’</w:t>
      </w:r>
      <w:r>
        <w:rPr>
          <w:lang w:val="fr-FR"/>
        </w:rPr>
        <w:t>équivalence des fluides frigorigènes en vérifiant l</w:t>
      </w:r>
      <w:r>
        <w:rPr>
          <w:lang w:val="fr-FR"/>
        </w:rPr>
        <w:t>’</w:t>
      </w:r>
      <w:r>
        <w:rPr>
          <w:lang w:val="fr-FR"/>
        </w:rPr>
        <w:t>inégalité suivante :</w:t>
      </w:r>
    </w:p>
    <w:p w14:paraId="04627689" w14:textId="07AD80E6" w:rsidR="004655DE" w:rsidRPr="004655DE" w:rsidRDefault="004655DE" w:rsidP="004655DE">
      <w:pPr>
        <w:pStyle w:val="SingleTxtG"/>
        <w:ind w:left="1418"/>
        <w:jc w:val="center"/>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mod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Ref</m:t>
                </m:r>
              </m:sub>
            </m:sSub>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ref</m:t>
                </m:r>
              </m:sub>
            </m:sSub>
          </m:den>
        </m:f>
        <m:r>
          <m:rPr>
            <m:sty m:val="p"/>
          </m:rPr>
          <w:rPr>
            <w:rFonts w:ascii="Cambria Math" w:hAnsi="Cambria Math"/>
          </w:rPr>
          <m:t>≥-0,035</m:t>
        </m:r>
      </m:oMath>
      <w:r w:rsidRPr="004655DE">
        <w:rPr>
          <w:lang w:val="fr-FR"/>
        </w:rPr>
        <w:t xml:space="preserve"> </w:t>
      </w:r>
      <w:r w:rsidRPr="004655DE">
        <w:rPr>
          <w:b/>
          <w:bCs/>
          <w:lang w:val="fr-FR"/>
        </w:rPr>
        <w:t>(1)</w:t>
      </w:r>
    </w:p>
    <w:p w14:paraId="506A1F3D" w14:textId="52C05C71" w:rsidR="004655DE" w:rsidRPr="00152705" w:rsidRDefault="004655DE" w:rsidP="004655DE">
      <w:pPr>
        <w:pStyle w:val="SingleTxtG"/>
        <w:ind w:left="1701"/>
      </w:pPr>
      <w:r>
        <w:rPr>
          <w:lang w:val="fr-FR"/>
        </w:rPr>
        <w:t>o</w:t>
      </w:r>
      <w:r>
        <w:rPr>
          <w:lang w:val="fr-FR"/>
        </w:rPr>
        <w:t>ù</w:t>
      </w:r>
      <w:r>
        <w:rPr>
          <w:lang w:val="fr-FR"/>
        </w:rPr>
        <w:t xml:space="preserve"> : </w:t>
      </w:r>
    </w:p>
    <w:p w14:paraId="123D4D37" w14:textId="49A35231" w:rsidR="004655DE" w:rsidRPr="00152705" w:rsidRDefault="004655DE" w:rsidP="004655DE">
      <w:pPr>
        <w:pStyle w:val="SingleTxtG"/>
        <w:ind w:left="1701"/>
      </w:pPr>
      <w:proofErr w:type="spellStart"/>
      <w:r>
        <w:rPr>
          <w:lang w:val="fr-FR"/>
        </w:rPr>
        <w:t>Q</w:t>
      </w:r>
      <w:r w:rsidRPr="004655DE">
        <w:rPr>
          <w:vertAlign w:val="subscript"/>
          <w:lang w:val="fr-FR"/>
        </w:rPr>
        <w:t>ref</w:t>
      </w:r>
      <w:proofErr w:type="spellEnd"/>
      <w:r>
        <w:rPr>
          <w:lang w:val="fr-FR"/>
        </w:rPr>
        <w:t xml:space="preserve"> est la puissance frigorifique du groupe certifié, </w:t>
      </w:r>
    </w:p>
    <w:p w14:paraId="54C7F997" w14:textId="17AECEB1" w:rsidR="004655DE" w:rsidRPr="00152705" w:rsidRDefault="004655DE" w:rsidP="004655DE">
      <w:pPr>
        <w:pStyle w:val="SingleTxtG"/>
        <w:ind w:left="1701"/>
      </w:pPr>
      <w:proofErr w:type="spellStart"/>
      <w:r>
        <w:t>Q</w:t>
      </w:r>
      <w:r w:rsidRPr="004655DE">
        <w:rPr>
          <w:vertAlign w:val="subscript"/>
        </w:rPr>
        <w:t>mod</w:t>
      </w:r>
      <w:proofErr w:type="spellEnd"/>
      <w:r>
        <w:rPr>
          <w:vertAlign w:val="subscript"/>
          <w:lang w:val="fr-FR"/>
        </w:rPr>
        <w:t xml:space="preserve"> </w:t>
      </w:r>
      <w:r>
        <w:rPr>
          <w:lang w:val="fr-FR"/>
        </w:rPr>
        <w:t xml:space="preserve">est la puissance frigorifique du groupe avec le nouveau fluide frigorigène, </w:t>
      </w:r>
    </w:p>
    <w:p w14:paraId="16BF020E" w14:textId="77777777" w:rsidR="004655DE" w:rsidRPr="00152705" w:rsidRDefault="004655DE" w:rsidP="004655DE">
      <w:pPr>
        <w:pStyle w:val="SingleTxtG"/>
        <w:ind w:left="1701"/>
      </w:pPr>
      <w:r>
        <w:rPr>
          <w:lang w:val="fr-FR"/>
        </w:rPr>
        <w:t xml:space="preserve">Pour un type approuvé de groupe frigorifique : </w:t>
      </w:r>
    </w:p>
    <w:p w14:paraId="38BE91A7" w14:textId="3CFE702D" w:rsidR="004655DE" w:rsidRPr="00152705" w:rsidRDefault="004655DE" w:rsidP="004655DE">
      <w:pPr>
        <w:pStyle w:val="SingleTxtG"/>
        <w:ind w:left="1701"/>
      </w:pPr>
      <w:r>
        <w:rPr>
          <w:lang w:val="fr-FR"/>
        </w:rPr>
        <w:t>•</w:t>
      </w:r>
      <w:r>
        <w:rPr>
          <w:lang w:val="fr-FR"/>
        </w:rPr>
        <w:tab/>
        <w:t>Si, pour deux niveaux de température de classe différents, dont l</w:t>
      </w:r>
      <w:r>
        <w:rPr>
          <w:lang w:val="fr-FR"/>
        </w:rPr>
        <w:t>’</w:t>
      </w:r>
      <w:r>
        <w:rPr>
          <w:lang w:val="fr-FR"/>
        </w:rPr>
        <w:t>un à la température de classe minimale, et à chaque mode d</w:t>
      </w:r>
      <w:r>
        <w:rPr>
          <w:lang w:val="fr-FR"/>
        </w:rPr>
        <w:t>’</w:t>
      </w:r>
      <w:r>
        <w:rPr>
          <w:lang w:val="fr-FR"/>
        </w:rPr>
        <w:t>entraînement représentatif de l</w:t>
      </w:r>
      <w:r>
        <w:rPr>
          <w:lang w:val="fr-FR"/>
        </w:rPr>
        <w:t>’</w:t>
      </w:r>
      <w:r>
        <w:rPr>
          <w:lang w:val="fr-FR"/>
        </w:rPr>
        <w:t xml:space="preserve">amplitude de la puissance frigorifique utile développée par le groupe frigorifique, </w:t>
      </w:r>
      <w:r w:rsidRPr="00097800">
        <w:rPr>
          <w:b/>
          <w:bCs/>
          <w:lang w:val="fr-FR"/>
        </w:rPr>
        <w:t>l</w:t>
      </w:r>
      <w:r>
        <w:rPr>
          <w:b/>
          <w:bCs/>
          <w:lang w:val="fr-FR"/>
        </w:rPr>
        <w:t>’</w:t>
      </w:r>
      <w:r w:rsidRPr="00097800">
        <w:rPr>
          <w:b/>
          <w:bCs/>
          <w:lang w:val="fr-FR"/>
        </w:rPr>
        <w:t>équation (1)</w:t>
      </w:r>
      <w:r>
        <w:rPr>
          <w:lang w:val="fr-FR"/>
        </w:rPr>
        <w:t xml:space="preserve"> est vérifiée, alors la puissance frigorifique est considérée comme équivalente entre le groupe frigorifique de référence et celui modifié. Dans ce cas, la station d</w:t>
      </w:r>
      <w:r>
        <w:rPr>
          <w:lang w:val="fr-FR"/>
        </w:rPr>
        <w:t>’</w:t>
      </w:r>
      <w:r>
        <w:rPr>
          <w:lang w:val="fr-FR"/>
        </w:rPr>
        <w:t>essai ATP peut produire un addendum consignant une telle équivalence pour une telle machine frigorifique utilisant, indistinctement, soit l</w:t>
      </w:r>
      <w:r>
        <w:rPr>
          <w:lang w:val="fr-FR"/>
        </w:rPr>
        <w:t>’</w:t>
      </w:r>
      <w:r>
        <w:rPr>
          <w:lang w:val="fr-FR"/>
        </w:rPr>
        <w:t>un ou soit l</w:t>
      </w:r>
      <w:r>
        <w:rPr>
          <w:lang w:val="fr-FR"/>
        </w:rPr>
        <w:t>’</w:t>
      </w:r>
      <w:r>
        <w:rPr>
          <w:lang w:val="fr-FR"/>
        </w:rPr>
        <w:t>autre fluide réfrigérant. Il s</w:t>
      </w:r>
      <w:r>
        <w:rPr>
          <w:lang w:val="fr-FR"/>
        </w:rPr>
        <w:t>’</w:t>
      </w:r>
      <w:r>
        <w:rPr>
          <w:lang w:val="fr-FR"/>
        </w:rPr>
        <w:t>agit d</w:t>
      </w:r>
      <w:r>
        <w:rPr>
          <w:lang w:val="fr-FR"/>
        </w:rPr>
        <w:t>’</w:t>
      </w:r>
      <w:r>
        <w:rPr>
          <w:lang w:val="fr-FR"/>
        </w:rPr>
        <w:t>une équivalence stricte. (...) ».</w:t>
      </w:r>
    </w:p>
    <w:p w14:paraId="01E680D9" w14:textId="30E2C69B" w:rsidR="004655DE" w:rsidRPr="00152705" w:rsidRDefault="004655DE" w:rsidP="004655DE">
      <w:pPr>
        <w:pStyle w:val="SingleTxtG"/>
      </w:pPr>
      <w:r>
        <w:rPr>
          <w:lang w:val="fr-FR"/>
        </w:rPr>
        <w:t>3.</w:t>
      </w:r>
      <w:r>
        <w:rPr>
          <w:lang w:val="fr-FR"/>
        </w:rPr>
        <w:tab/>
        <w:t>Comme on peut le voir ci-dessus, la mention « (1) » a été utilisée dans l</w:t>
      </w:r>
      <w:r>
        <w:rPr>
          <w:lang w:val="fr-FR"/>
        </w:rPr>
        <w:t>’</w:t>
      </w:r>
      <w:r>
        <w:rPr>
          <w:lang w:val="fr-FR"/>
        </w:rPr>
        <w:t>un des paragraphes du texte qui fait suite à l</w:t>
      </w:r>
      <w:r>
        <w:rPr>
          <w:lang w:val="fr-FR"/>
        </w:rPr>
        <w:t>’</w:t>
      </w:r>
      <w:r>
        <w:rPr>
          <w:lang w:val="fr-FR"/>
        </w:rPr>
        <w:t>équation, en référence à celle-ci.</w:t>
      </w:r>
    </w:p>
    <w:p w14:paraId="02E9BBC2" w14:textId="560F2FAA" w:rsidR="004655DE" w:rsidRPr="00152705" w:rsidRDefault="004655DE" w:rsidP="004655DE">
      <w:pPr>
        <w:pStyle w:val="SingleTxtG"/>
      </w:pPr>
      <w:r>
        <w:rPr>
          <w:lang w:val="fr-FR"/>
        </w:rPr>
        <w:t>4.</w:t>
      </w:r>
      <w:r>
        <w:rPr>
          <w:lang w:val="fr-FR"/>
        </w:rPr>
        <w:tab/>
        <w:t xml:space="preserve">En 2017, </w:t>
      </w:r>
      <w:proofErr w:type="spellStart"/>
      <w:r>
        <w:rPr>
          <w:lang w:val="fr-FR"/>
        </w:rPr>
        <w:t>Transfrigoroute</w:t>
      </w:r>
      <w:proofErr w:type="spellEnd"/>
      <w:r>
        <w:rPr>
          <w:lang w:val="fr-FR"/>
        </w:rPr>
        <w:t xml:space="preserve"> International (TI) a présenté, dans le document ECE/TRANS/WP.11/2017/23, une proposition d</w:t>
      </w:r>
      <w:r>
        <w:rPr>
          <w:lang w:val="fr-FR"/>
        </w:rPr>
        <w:t>’</w:t>
      </w:r>
      <w:r>
        <w:rPr>
          <w:lang w:val="fr-FR"/>
        </w:rPr>
        <w:t>amendement à l</w:t>
      </w:r>
      <w:r>
        <w:rPr>
          <w:lang w:val="fr-FR"/>
        </w:rPr>
        <w:t>’</w:t>
      </w:r>
      <w:r>
        <w:rPr>
          <w:lang w:val="fr-FR"/>
        </w:rPr>
        <w:t>ATP, visant à ajouter, dans l</w:t>
      </w:r>
      <w:r>
        <w:rPr>
          <w:lang w:val="fr-FR"/>
        </w:rPr>
        <w:t>’</w:t>
      </w:r>
      <w:r>
        <w:rPr>
          <w:lang w:val="fr-FR"/>
        </w:rPr>
        <w:t>appendice 2 de l</w:t>
      </w:r>
      <w:r>
        <w:rPr>
          <w:lang w:val="fr-FR"/>
        </w:rPr>
        <w:t>’</w:t>
      </w:r>
      <w:r>
        <w:rPr>
          <w:lang w:val="fr-FR"/>
        </w:rPr>
        <w:t>annexe 1, une nouvelle section, libellée « 4.5 Procédure pour tester mécaniquement des groupes frigorifiques pouvant fonctionner avec différents fluides frigorigènes », fondée sur la proposition formulée par la France en 2016. Comme indiqué dans le document ECE/TRANS/WP.11/237, ce document a été approuvé.</w:t>
      </w:r>
    </w:p>
    <w:p w14:paraId="5BD4BA6C" w14:textId="6C81797A" w:rsidR="004655DE" w:rsidRPr="00152705" w:rsidRDefault="004655DE" w:rsidP="004655DE">
      <w:pPr>
        <w:pStyle w:val="SingleTxtG"/>
        <w:ind w:left="1701"/>
        <w:rPr>
          <w:b/>
          <w:bCs/>
        </w:rPr>
      </w:pPr>
      <w:r>
        <w:rPr>
          <w:lang w:val="fr-FR"/>
        </w:rPr>
        <w:tab/>
      </w:r>
      <w:r>
        <w:rPr>
          <w:b/>
          <w:bCs/>
          <w:lang w:val="fr-FR"/>
        </w:rPr>
        <w:t>« 4.5.2</w:t>
      </w:r>
      <w:r>
        <w:rPr>
          <w:b/>
          <w:bCs/>
          <w:lang w:val="fr-FR"/>
        </w:rPr>
        <w:tab/>
      </w:r>
      <w:r w:rsidR="00FC0459">
        <w:rPr>
          <w:b/>
          <w:bCs/>
          <w:lang w:val="fr-FR"/>
        </w:rPr>
        <w:t xml:space="preserve"> </w:t>
      </w:r>
      <w:r>
        <w:rPr>
          <w:b/>
          <w:bCs/>
          <w:lang w:val="fr-FR"/>
        </w:rPr>
        <w:t>Procédure d</w:t>
      </w:r>
      <w:r>
        <w:rPr>
          <w:b/>
          <w:bCs/>
          <w:lang w:val="fr-FR"/>
        </w:rPr>
        <w:t>’</w:t>
      </w:r>
      <w:r>
        <w:rPr>
          <w:b/>
          <w:bCs/>
          <w:lang w:val="fr-FR"/>
        </w:rPr>
        <w:t>essai</w:t>
      </w:r>
      <w:r>
        <w:rPr>
          <w:lang w:val="fr-FR"/>
        </w:rPr>
        <w:t xml:space="preserve"> </w:t>
      </w:r>
    </w:p>
    <w:p w14:paraId="0B00B3E0" w14:textId="49678A46" w:rsidR="004655DE" w:rsidRPr="00152705" w:rsidRDefault="004655DE" w:rsidP="004655DE">
      <w:pPr>
        <w:pStyle w:val="SingleTxtG"/>
        <w:ind w:left="1701"/>
      </w:pPr>
      <w:r>
        <w:rPr>
          <w:lang w:val="fr-FR"/>
        </w:rPr>
        <w:t>En raison du comportement similaire des fluides de substitution avec les fluides frigorigènes de référence, le nombre d</w:t>
      </w:r>
      <w:r>
        <w:rPr>
          <w:lang w:val="fr-FR"/>
        </w:rPr>
        <w:t>’</w:t>
      </w:r>
      <w:r>
        <w:rPr>
          <w:lang w:val="fr-FR"/>
        </w:rPr>
        <w:t>essais nécessaire pour une homologation de type peut être réduit. En ce qui concerne la puissance frigorifique, les fluides frigorigènes de remplacement doivent se conformer à un critère d</w:t>
      </w:r>
      <w:r>
        <w:rPr>
          <w:lang w:val="fr-FR"/>
        </w:rPr>
        <w:t>’</w:t>
      </w:r>
      <w:r>
        <w:rPr>
          <w:lang w:val="fr-FR"/>
        </w:rPr>
        <w:t xml:space="preserve">équivalence qui permet au maximum de 10 % de baisse de puissance frigorifique pour le fluide frigorigène de substitution en comparaison avec le fluide frigorigène de référence approuvé. </w:t>
      </w:r>
    </w:p>
    <w:p w14:paraId="350140C3" w14:textId="703C50AC" w:rsidR="004655DE" w:rsidRPr="00152705" w:rsidRDefault="004655DE" w:rsidP="004655DE">
      <w:pPr>
        <w:pStyle w:val="SingleTxtG"/>
        <w:ind w:left="1701"/>
      </w:pPr>
      <w:r>
        <w:rPr>
          <w:lang w:val="fr-FR"/>
        </w:rPr>
        <w:t>Le critère d</w:t>
      </w:r>
      <w:r>
        <w:rPr>
          <w:lang w:val="fr-FR"/>
        </w:rPr>
        <w:t>’</w:t>
      </w:r>
      <w:r>
        <w:rPr>
          <w:lang w:val="fr-FR"/>
        </w:rPr>
        <w:t xml:space="preserve">équivalence est défini par la formule suivante : </w:t>
      </w:r>
    </w:p>
    <w:p w14:paraId="0C1E4F03" w14:textId="5686005F" w:rsidR="004655DE" w:rsidRPr="00FC0459" w:rsidRDefault="004655DE" w:rsidP="004655DE">
      <w:pPr>
        <w:pStyle w:val="SingleTxtG"/>
        <w:ind w:left="1701"/>
        <w:jc w:val="center"/>
        <w:rPr>
          <w:b/>
          <w:bCs/>
        </w:rPr>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mod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Ref</m:t>
                </m:r>
              </m:sub>
            </m:sSub>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ref</m:t>
                </m:r>
              </m:sub>
            </m:sSub>
          </m:den>
        </m:f>
        <m:r>
          <m:rPr>
            <m:sty m:val="p"/>
          </m:rPr>
          <w:rPr>
            <w:rFonts w:ascii="Cambria Math" w:hAnsi="Cambria Math"/>
          </w:rPr>
          <m:t xml:space="preserve">≥-0,10 </m:t>
        </m:r>
      </m:oMath>
      <w:r w:rsidRPr="00FC0459">
        <w:rPr>
          <w:b/>
          <w:bCs/>
          <w:lang w:val="fr-FR"/>
        </w:rPr>
        <w:t>(1)</w:t>
      </w:r>
    </w:p>
    <w:p w14:paraId="01C9D539" w14:textId="03DA6F9D" w:rsidR="004655DE" w:rsidRPr="00152705" w:rsidRDefault="004655DE" w:rsidP="004655DE">
      <w:pPr>
        <w:pStyle w:val="SingleTxtG"/>
        <w:ind w:left="1701"/>
      </w:pPr>
      <w:r>
        <w:rPr>
          <w:lang w:val="fr-FR"/>
        </w:rPr>
        <w:t>où</w:t>
      </w:r>
      <w:r w:rsidR="00FC0459">
        <w:rPr>
          <w:lang w:val="fr-FR"/>
        </w:rPr>
        <w:t> </w:t>
      </w:r>
      <w:r>
        <w:rPr>
          <w:lang w:val="fr-FR"/>
        </w:rPr>
        <w:t xml:space="preserve">: </w:t>
      </w:r>
    </w:p>
    <w:p w14:paraId="3705A8D9" w14:textId="076163F3" w:rsidR="004655DE" w:rsidRPr="00152705" w:rsidRDefault="00FC0459" w:rsidP="004655DE">
      <w:pPr>
        <w:pStyle w:val="SingleTxtG"/>
        <w:ind w:left="1701"/>
      </w:pPr>
      <w:proofErr w:type="spellStart"/>
      <w:r>
        <w:rPr>
          <w:lang w:val="fr-FR"/>
        </w:rPr>
        <w:t>Q</w:t>
      </w:r>
      <w:r w:rsidRPr="00FC0459">
        <w:rPr>
          <w:vertAlign w:val="subscript"/>
          <w:lang w:val="fr-FR"/>
        </w:rPr>
        <w:t>ref</w:t>
      </w:r>
      <w:proofErr w:type="spellEnd"/>
      <w:r w:rsidR="004655DE">
        <w:rPr>
          <w:lang w:val="fr-FR"/>
        </w:rPr>
        <w:t xml:space="preserve"> est la puissance frigorifique du groupe testé avec le fluide frigorigène de référence, </w:t>
      </w:r>
    </w:p>
    <w:p w14:paraId="6F2B6F10" w14:textId="42340702" w:rsidR="004655DE" w:rsidRPr="00152705" w:rsidRDefault="00FC0459" w:rsidP="004655DE">
      <w:pPr>
        <w:pStyle w:val="SingleTxtG"/>
        <w:ind w:left="1701"/>
      </w:pPr>
      <w:proofErr w:type="spellStart"/>
      <w:r>
        <w:rPr>
          <w:lang w:val="fr-FR"/>
        </w:rPr>
        <w:t>Q</w:t>
      </w:r>
      <w:r w:rsidRPr="00FC0459">
        <w:rPr>
          <w:vertAlign w:val="subscript"/>
          <w:lang w:val="fr-FR"/>
        </w:rPr>
        <w:t>retrof</w:t>
      </w:r>
      <w:proofErr w:type="spellEnd"/>
      <w:r w:rsidR="004655DE">
        <w:rPr>
          <w:lang w:val="fr-FR"/>
        </w:rPr>
        <w:t xml:space="preserve"> est la puissance frigorifique du groupe testé avec le fluide frigorigène de substitution, </w:t>
      </w:r>
    </w:p>
    <w:p w14:paraId="7050AEAC" w14:textId="1E74909D" w:rsidR="004655DE" w:rsidRPr="00152705" w:rsidRDefault="004655DE" w:rsidP="004655DE">
      <w:pPr>
        <w:pStyle w:val="SingleTxtG"/>
        <w:ind w:left="1701"/>
      </w:pPr>
      <w:r>
        <w:rPr>
          <w:lang w:val="fr-FR"/>
        </w:rPr>
        <w:t>Le nombre d</w:t>
      </w:r>
      <w:r>
        <w:rPr>
          <w:lang w:val="fr-FR"/>
        </w:rPr>
        <w:t>’</w:t>
      </w:r>
      <w:r>
        <w:rPr>
          <w:lang w:val="fr-FR"/>
        </w:rPr>
        <w:t>essais et l</w:t>
      </w:r>
      <w:r>
        <w:rPr>
          <w:lang w:val="fr-FR"/>
        </w:rPr>
        <w:t>’</w:t>
      </w:r>
      <w:r>
        <w:rPr>
          <w:lang w:val="fr-FR"/>
        </w:rPr>
        <w:t>évaluation des fluides frigorigènes de substitution sont basés sur les différences dans les résultats d</w:t>
      </w:r>
      <w:r>
        <w:rPr>
          <w:lang w:val="fr-FR"/>
        </w:rPr>
        <w:t>’</w:t>
      </w:r>
      <w:r>
        <w:rPr>
          <w:lang w:val="fr-FR"/>
        </w:rPr>
        <w:t>essai en comparaison avec le fluide frigorigène de référence. Au moins un essai à la plus basse et à la plus élevée température de la classe de température respective dans le mode d</w:t>
      </w:r>
      <w:r>
        <w:rPr>
          <w:lang w:val="fr-FR"/>
        </w:rPr>
        <w:t>’</w:t>
      </w:r>
      <w:r>
        <w:rPr>
          <w:lang w:val="fr-FR"/>
        </w:rPr>
        <w:t>entraînement avec les puissances frigorifiques les plus élevées doit être effectué. (...) ».</w:t>
      </w:r>
    </w:p>
    <w:p w14:paraId="6249F20C" w14:textId="274EDD39" w:rsidR="004655DE" w:rsidRPr="00152705" w:rsidRDefault="004655DE" w:rsidP="004655DE">
      <w:pPr>
        <w:pStyle w:val="SingleTxtG"/>
      </w:pPr>
      <w:r>
        <w:rPr>
          <w:lang w:val="fr-FR"/>
        </w:rPr>
        <w:t>5.</w:t>
      </w:r>
      <w:r>
        <w:rPr>
          <w:lang w:val="fr-FR"/>
        </w:rPr>
        <w:tab/>
        <w:t>Dans la procédure d</w:t>
      </w:r>
      <w:r>
        <w:rPr>
          <w:lang w:val="fr-FR"/>
        </w:rPr>
        <w:t>’</w:t>
      </w:r>
      <w:r>
        <w:rPr>
          <w:lang w:val="fr-FR"/>
        </w:rPr>
        <w:t>essai décrite au 4.5.2 de cette nouvelle section, on retrouve la même formule que dans le document présenté initialement par la France en 2016, mais ici, on ne trouve aucune mention de cette équation dans le texte explicatif. Néanmoins, la mention « (1) » a été ajoutée après l</w:t>
      </w:r>
      <w:r>
        <w:rPr>
          <w:lang w:val="fr-FR"/>
        </w:rPr>
        <w:t>’</w:t>
      </w:r>
      <w:r>
        <w:rPr>
          <w:lang w:val="fr-FR"/>
        </w:rPr>
        <w:t>équation dans les versions linguistiques française, anglaise et russe de l</w:t>
      </w:r>
      <w:r>
        <w:rPr>
          <w:lang w:val="fr-FR"/>
        </w:rPr>
        <w:t>’</w:t>
      </w:r>
      <w:r>
        <w:rPr>
          <w:lang w:val="fr-FR"/>
        </w:rPr>
        <w:t>édition 2020 de l</w:t>
      </w:r>
      <w:r>
        <w:rPr>
          <w:lang w:val="fr-FR"/>
        </w:rPr>
        <w:t>’</w:t>
      </w:r>
      <w:r>
        <w:rPr>
          <w:lang w:val="fr-FR"/>
        </w:rPr>
        <w:t xml:space="preserve">ATP. Cette mention aurait dû être supprimée lorsque la </w:t>
      </w:r>
      <w:r>
        <w:rPr>
          <w:lang w:val="fr-FR"/>
        </w:rPr>
        <w:lastRenderedPageBreak/>
        <w:t>proposition française initiale a été reprise et modifiée ; il convient donc de procéder à cette modification rédactionnelle.</w:t>
      </w:r>
    </w:p>
    <w:p w14:paraId="49D7900C" w14:textId="77777777" w:rsidR="004655DE" w:rsidRPr="00152705" w:rsidRDefault="004655DE" w:rsidP="00FC0459">
      <w:pPr>
        <w:pStyle w:val="HChG"/>
      </w:pPr>
      <w:r>
        <w:rPr>
          <w:lang w:val="fr-FR"/>
        </w:rPr>
        <w:tab/>
      </w:r>
      <w:r>
        <w:rPr>
          <w:lang w:val="fr-FR"/>
        </w:rPr>
        <w:tab/>
        <w:t>Proposition</w:t>
      </w:r>
    </w:p>
    <w:p w14:paraId="6DBE0675" w14:textId="77777777" w:rsidR="004655DE" w:rsidRPr="00152705" w:rsidRDefault="004655DE" w:rsidP="004655DE">
      <w:pPr>
        <w:pStyle w:val="SingleTxtG"/>
      </w:pPr>
      <w:r>
        <w:rPr>
          <w:lang w:val="fr-FR"/>
        </w:rPr>
        <w:t>6.</w:t>
      </w:r>
      <w:r>
        <w:rPr>
          <w:lang w:val="fr-FR"/>
        </w:rPr>
        <w:tab/>
        <w:t>Supprimer la mention « (1) » après la formule indiquée dans le texte ci-dessus, dans toutes les versions linguistiques.</w:t>
      </w:r>
    </w:p>
    <w:p w14:paraId="0E3F5D35" w14:textId="60FDB1F0" w:rsidR="00F9573C" w:rsidRDefault="004655DE" w:rsidP="00FC0459">
      <w:pPr>
        <w:spacing w:before="240"/>
        <w:jc w:val="center"/>
      </w:pPr>
      <w:r w:rsidRPr="00152705">
        <w:rPr>
          <w:u w:val="single"/>
        </w:rPr>
        <w:tab/>
      </w:r>
      <w:r w:rsidRPr="00152705">
        <w:rPr>
          <w:u w:val="single"/>
        </w:rPr>
        <w:tab/>
      </w:r>
      <w:r w:rsidRPr="00152705">
        <w:rPr>
          <w:u w:val="single"/>
        </w:rPr>
        <w:tab/>
      </w:r>
    </w:p>
    <w:sectPr w:rsidR="00F9573C" w:rsidSect="004655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A8E0" w14:textId="77777777" w:rsidR="00057AF4" w:rsidRDefault="00057AF4" w:rsidP="00F95C08">
      <w:pPr>
        <w:spacing w:line="240" w:lineRule="auto"/>
      </w:pPr>
    </w:p>
  </w:endnote>
  <w:endnote w:type="continuationSeparator" w:id="0">
    <w:p w14:paraId="076F223D" w14:textId="77777777" w:rsidR="00057AF4" w:rsidRPr="00AC3823" w:rsidRDefault="00057AF4" w:rsidP="00AC3823">
      <w:pPr>
        <w:pStyle w:val="Pieddepage"/>
      </w:pPr>
    </w:p>
  </w:endnote>
  <w:endnote w:type="continuationNotice" w:id="1">
    <w:p w14:paraId="7170DF57" w14:textId="77777777" w:rsidR="00057AF4" w:rsidRDefault="00057A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854" w14:textId="1ECA2F63" w:rsidR="004655DE" w:rsidRPr="004655DE" w:rsidRDefault="004655DE" w:rsidP="004655DE">
    <w:pPr>
      <w:pStyle w:val="Pieddepage"/>
      <w:tabs>
        <w:tab w:val="right" w:pos="9638"/>
      </w:tabs>
    </w:pPr>
    <w:r w:rsidRPr="004655DE">
      <w:rPr>
        <w:b/>
        <w:sz w:val="18"/>
      </w:rPr>
      <w:fldChar w:fldCharType="begin"/>
    </w:r>
    <w:r w:rsidRPr="004655DE">
      <w:rPr>
        <w:b/>
        <w:sz w:val="18"/>
      </w:rPr>
      <w:instrText xml:space="preserve"> PAGE  \* MERGEFORMAT </w:instrText>
    </w:r>
    <w:r w:rsidRPr="004655DE">
      <w:rPr>
        <w:b/>
        <w:sz w:val="18"/>
      </w:rPr>
      <w:fldChar w:fldCharType="separate"/>
    </w:r>
    <w:r w:rsidRPr="004655DE">
      <w:rPr>
        <w:b/>
        <w:noProof/>
        <w:sz w:val="18"/>
      </w:rPr>
      <w:t>2</w:t>
    </w:r>
    <w:r w:rsidRPr="004655DE">
      <w:rPr>
        <w:b/>
        <w:sz w:val="18"/>
      </w:rPr>
      <w:fldChar w:fldCharType="end"/>
    </w:r>
    <w:r>
      <w:rPr>
        <w:b/>
        <w:sz w:val="18"/>
      </w:rPr>
      <w:tab/>
    </w:r>
    <w:r>
      <w:t>GE.21-108992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1064" w14:textId="2458A5CE" w:rsidR="004655DE" w:rsidRPr="004655DE" w:rsidRDefault="004655DE" w:rsidP="004655DE">
    <w:pPr>
      <w:pStyle w:val="Pieddepage"/>
      <w:tabs>
        <w:tab w:val="right" w:pos="9638"/>
      </w:tabs>
      <w:rPr>
        <w:b/>
        <w:sz w:val="18"/>
      </w:rPr>
    </w:pPr>
    <w:r>
      <w:t>GE.21-108992</w:t>
    </w:r>
    <w:r>
      <w:tab/>
    </w:r>
    <w:r w:rsidRPr="004655DE">
      <w:rPr>
        <w:b/>
        <w:sz w:val="18"/>
      </w:rPr>
      <w:fldChar w:fldCharType="begin"/>
    </w:r>
    <w:r w:rsidRPr="004655DE">
      <w:rPr>
        <w:b/>
        <w:sz w:val="18"/>
      </w:rPr>
      <w:instrText xml:space="preserve"> PAGE  \* MERGEFORMAT </w:instrText>
    </w:r>
    <w:r w:rsidRPr="004655DE">
      <w:rPr>
        <w:b/>
        <w:sz w:val="18"/>
      </w:rPr>
      <w:fldChar w:fldCharType="separate"/>
    </w:r>
    <w:r w:rsidRPr="004655DE">
      <w:rPr>
        <w:b/>
        <w:noProof/>
        <w:sz w:val="18"/>
      </w:rPr>
      <w:t>3</w:t>
    </w:r>
    <w:r w:rsidRPr="004655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EF9B" w14:textId="6F2247AE" w:rsidR="007F20FA" w:rsidRPr="00EA1264" w:rsidRDefault="00EA1264" w:rsidP="00EA1264">
    <w:pPr>
      <w:pStyle w:val="Pieddepage"/>
      <w:tabs>
        <w:tab w:val="left" w:pos="6520"/>
        <w:tab w:val="right" w:pos="9638"/>
      </w:tabs>
      <w:spacing w:before="120"/>
      <w:rPr>
        <w:sz w:val="20"/>
      </w:rPr>
    </w:pPr>
    <w:r>
      <w:rPr>
        <w:sz w:val="20"/>
      </w:rPr>
      <w:t>GE.21-10892  (F)</w:t>
    </w:r>
    <w:bookmarkStart w:id="0" w:name="_GoBack"/>
    <w:bookmarkEnd w:id="0"/>
    <w:r>
      <w:rPr>
        <w:sz w:val="20"/>
      </w:rPr>
      <w:tab/>
    </w:r>
    <w:r w:rsidRPr="00EA1264">
      <w:rPr>
        <w:noProof/>
        <w:sz w:val="20"/>
        <w:lang w:eastAsia="fr-CH"/>
      </w:rPr>
      <w:drawing>
        <wp:inline distT="0" distB="0" distL="0" distR="0" wp14:anchorId="77178C55" wp14:editId="5D6FA2D2">
          <wp:extent cx="1105200" cy="234000"/>
          <wp:effectExtent l="0" t="0" r="0" b="0"/>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C49C543" wp14:editId="74DFC749">
          <wp:extent cx="640715" cy="640715"/>
          <wp:effectExtent l="0" t="0" r="6985"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4F98" w14:textId="77777777" w:rsidR="00057AF4" w:rsidRPr="00AC3823" w:rsidRDefault="00057AF4" w:rsidP="00AC3823">
      <w:pPr>
        <w:pStyle w:val="Pieddepage"/>
        <w:tabs>
          <w:tab w:val="right" w:pos="2155"/>
        </w:tabs>
        <w:spacing w:after="80" w:line="240" w:lineRule="atLeast"/>
        <w:ind w:left="680"/>
        <w:rPr>
          <w:u w:val="single"/>
        </w:rPr>
      </w:pPr>
      <w:r>
        <w:rPr>
          <w:u w:val="single"/>
        </w:rPr>
        <w:tab/>
      </w:r>
    </w:p>
  </w:footnote>
  <w:footnote w:type="continuationSeparator" w:id="0">
    <w:p w14:paraId="3B3C0654" w14:textId="77777777" w:rsidR="00057AF4" w:rsidRPr="00AC3823" w:rsidRDefault="00057AF4" w:rsidP="00AC3823">
      <w:pPr>
        <w:pStyle w:val="Pieddepage"/>
        <w:tabs>
          <w:tab w:val="right" w:pos="2155"/>
        </w:tabs>
        <w:spacing w:after="80" w:line="240" w:lineRule="atLeast"/>
        <w:ind w:left="680"/>
        <w:rPr>
          <w:u w:val="single"/>
        </w:rPr>
      </w:pPr>
      <w:r>
        <w:rPr>
          <w:u w:val="single"/>
        </w:rPr>
        <w:tab/>
      </w:r>
    </w:p>
  </w:footnote>
  <w:footnote w:type="continuationNotice" w:id="1">
    <w:p w14:paraId="02D80527" w14:textId="77777777" w:rsidR="00057AF4" w:rsidRPr="00AC3823" w:rsidRDefault="00057AF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92FB" w14:textId="3B175D4B" w:rsidR="004655DE" w:rsidRPr="004655DE" w:rsidRDefault="004655DE">
    <w:pPr>
      <w:pStyle w:val="En-tte"/>
    </w:pPr>
    <w:fldSimple w:instr=" TITLE  \* MERGEFORMAT ">
      <w:r w:rsidR="00A04E69">
        <w:t>ECE/TRANS/WP.11/2021/2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2A23" w14:textId="0F15F3D7" w:rsidR="004655DE" w:rsidRPr="004655DE" w:rsidRDefault="004655DE" w:rsidP="004655DE">
    <w:pPr>
      <w:pStyle w:val="En-tte"/>
      <w:jc w:val="right"/>
    </w:pPr>
    <w:fldSimple w:instr=" TITLE  \* MERGEFORMAT ">
      <w:r w:rsidR="00A04E69">
        <w:t>ECE/TRANS/WP.11/2021/2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F4"/>
    <w:rsid w:val="00017F94"/>
    <w:rsid w:val="00023842"/>
    <w:rsid w:val="000334F9"/>
    <w:rsid w:val="00045FEB"/>
    <w:rsid w:val="00057AF4"/>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55DE"/>
    <w:rsid w:val="00477EB2"/>
    <w:rsid w:val="004837D8"/>
    <w:rsid w:val="004E2EED"/>
    <w:rsid w:val="004E468C"/>
    <w:rsid w:val="005505B7"/>
    <w:rsid w:val="00573BE5"/>
    <w:rsid w:val="005839FC"/>
    <w:rsid w:val="00586ED3"/>
    <w:rsid w:val="00596AA9"/>
    <w:rsid w:val="0071601D"/>
    <w:rsid w:val="007A62E6"/>
    <w:rsid w:val="007E5161"/>
    <w:rsid w:val="007F20FA"/>
    <w:rsid w:val="0080684C"/>
    <w:rsid w:val="00871C75"/>
    <w:rsid w:val="008776DC"/>
    <w:rsid w:val="008D5EF9"/>
    <w:rsid w:val="009446C0"/>
    <w:rsid w:val="009705C8"/>
    <w:rsid w:val="009C1CF4"/>
    <w:rsid w:val="009F6B74"/>
    <w:rsid w:val="00A04E69"/>
    <w:rsid w:val="00A3029F"/>
    <w:rsid w:val="00A30353"/>
    <w:rsid w:val="00AC3823"/>
    <w:rsid w:val="00AE323C"/>
    <w:rsid w:val="00AF0CB5"/>
    <w:rsid w:val="00B000B0"/>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1264"/>
    <w:rsid w:val="00EA6547"/>
    <w:rsid w:val="00ED7237"/>
    <w:rsid w:val="00EF2E22"/>
    <w:rsid w:val="00F35BAF"/>
    <w:rsid w:val="00F660DF"/>
    <w:rsid w:val="00F94664"/>
    <w:rsid w:val="00F9573C"/>
    <w:rsid w:val="00F95C08"/>
    <w:rsid w:val="00FC04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F53D6"/>
  <w15:docId w15:val="{71AF47E8-CC8C-4742-B390-791D320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655D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782</Words>
  <Characters>4459</Characters>
  <Application>Microsoft Office Word</Application>
  <DocSecurity>0</DocSecurity>
  <Lines>94</Lines>
  <Paragraphs>53</Paragraphs>
  <ScaleCrop>false</ScaleCrop>
  <HeadingPairs>
    <vt:vector size="2" baseType="variant">
      <vt:variant>
        <vt:lpstr>Titre</vt:lpstr>
      </vt:variant>
      <vt:variant>
        <vt:i4>1</vt:i4>
      </vt:variant>
    </vt:vector>
  </HeadingPairs>
  <TitlesOfParts>
    <vt:vector size="1" baseType="lpstr">
      <vt:lpstr>ECE/TRANS/WP.11/2021/2</vt:lpstr>
    </vt:vector>
  </TitlesOfParts>
  <Company>DCM</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dc:title>
  <dc:subject/>
  <dc:creator>Sandrine CLERE</dc:creator>
  <cp:keywords/>
  <cp:lastModifiedBy>Sandrine Clere</cp:lastModifiedBy>
  <cp:revision>2</cp:revision>
  <cp:lastPrinted>2021-09-10T08:00:00Z</cp:lastPrinted>
  <dcterms:created xsi:type="dcterms:W3CDTF">2021-09-10T08:03:00Z</dcterms:created>
  <dcterms:modified xsi:type="dcterms:W3CDTF">2021-09-10T08:03:00Z</dcterms:modified>
</cp:coreProperties>
</file>