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7292DF" w14:textId="77777777" w:rsidTr="00C97039">
        <w:trPr>
          <w:trHeight w:hRule="exact" w:val="851"/>
        </w:trPr>
        <w:tc>
          <w:tcPr>
            <w:tcW w:w="1276" w:type="dxa"/>
            <w:tcBorders>
              <w:bottom w:val="single" w:sz="4" w:space="0" w:color="auto"/>
            </w:tcBorders>
          </w:tcPr>
          <w:p w14:paraId="149272AF" w14:textId="77777777" w:rsidR="00F35BAF" w:rsidRPr="00DB58B5" w:rsidRDefault="00F35BAF" w:rsidP="001708D3"/>
        </w:tc>
        <w:tc>
          <w:tcPr>
            <w:tcW w:w="2268" w:type="dxa"/>
            <w:tcBorders>
              <w:bottom w:val="single" w:sz="4" w:space="0" w:color="auto"/>
            </w:tcBorders>
            <w:vAlign w:val="bottom"/>
          </w:tcPr>
          <w:p w14:paraId="5146531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EE0640" w14:textId="2794059B" w:rsidR="00F35BAF" w:rsidRPr="00DB58B5" w:rsidRDefault="001708D3" w:rsidP="001708D3">
            <w:pPr>
              <w:jc w:val="right"/>
            </w:pPr>
            <w:r w:rsidRPr="001708D3">
              <w:rPr>
                <w:sz w:val="40"/>
              </w:rPr>
              <w:t>ECE</w:t>
            </w:r>
            <w:r>
              <w:t>/TRANS/WP.11/2021/22</w:t>
            </w:r>
          </w:p>
        </w:tc>
      </w:tr>
      <w:tr w:rsidR="00F35BAF" w:rsidRPr="00DB58B5" w14:paraId="4B27BA38" w14:textId="77777777" w:rsidTr="00C97039">
        <w:trPr>
          <w:trHeight w:hRule="exact" w:val="2835"/>
        </w:trPr>
        <w:tc>
          <w:tcPr>
            <w:tcW w:w="1276" w:type="dxa"/>
            <w:tcBorders>
              <w:top w:val="single" w:sz="4" w:space="0" w:color="auto"/>
              <w:bottom w:val="single" w:sz="12" w:space="0" w:color="auto"/>
            </w:tcBorders>
          </w:tcPr>
          <w:p w14:paraId="0D797C1C" w14:textId="77777777" w:rsidR="00F35BAF" w:rsidRPr="00DB58B5" w:rsidRDefault="00F35BAF" w:rsidP="00C97039">
            <w:pPr>
              <w:spacing w:before="120"/>
              <w:jc w:val="center"/>
            </w:pPr>
            <w:r>
              <w:rPr>
                <w:noProof/>
                <w:lang w:eastAsia="fr-CH"/>
              </w:rPr>
              <w:drawing>
                <wp:inline distT="0" distB="0" distL="0" distR="0" wp14:anchorId="4F49A8FF" wp14:editId="57E526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9B04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14D1D7" w14:textId="77777777" w:rsidR="00F35BAF" w:rsidRDefault="001708D3" w:rsidP="00C97039">
            <w:pPr>
              <w:spacing w:before="240"/>
            </w:pPr>
            <w:r>
              <w:t>Distr. générale</w:t>
            </w:r>
          </w:p>
          <w:p w14:paraId="308EA1BA" w14:textId="540D3E38" w:rsidR="001708D3" w:rsidRDefault="001708D3" w:rsidP="001708D3">
            <w:pPr>
              <w:spacing w:line="240" w:lineRule="exact"/>
            </w:pPr>
            <w:r>
              <w:t>10 août 2021</w:t>
            </w:r>
          </w:p>
          <w:p w14:paraId="6B34E78D" w14:textId="77777777" w:rsidR="001708D3" w:rsidRDefault="001708D3" w:rsidP="001708D3">
            <w:pPr>
              <w:spacing w:line="240" w:lineRule="exact"/>
            </w:pPr>
            <w:r>
              <w:t>Français</w:t>
            </w:r>
          </w:p>
          <w:p w14:paraId="3E151DDF" w14:textId="164A9F26" w:rsidR="001708D3" w:rsidRPr="00DB58B5" w:rsidRDefault="001708D3" w:rsidP="001708D3">
            <w:pPr>
              <w:spacing w:line="240" w:lineRule="exact"/>
            </w:pPr>
            <w:r>
              <w:t>Original : anglais</w:t>
            </w:r>
          </w:p>
        </w:tc>
      </w:tr>
    </w:tbl>
    <w:p w14:paraId="4E1FD7C0" w14:textId="77777777" w:rsidR="007F20FA" w:rsidRPr="000312C0" w:rsidRDefault="007F20FA" w:rsidP="007F20FA">
      <w:pPr>
        <w:spacing w:before="120"/>
        <w:rPr>
          <w:b/>
          <w:sz w:val="28"/>
          <w:szCs w:val="28"/>
        </w:rPr>
      </w:pPr>
      <w:r w:rsidRPr="000312C0">
        <w:rPr>
          <w:b/>
          <w:sz w:val="28"/>
          <w:szCs w:val="28"/>
        </w:rPr>
        <w:t>Commission économique pour l’Europe</w:t>
      </w:r>
    </w:p>
    <w:p w14:paraId="36A4BFAF" w14:textId="77777777" w:rsidR="007F20FA" w:rsidRDefault="007F20FA" w:rsidP="007F20FA">
      <w:pPr>
        <w:spacing w:before="120"/>
        <w:rPr>
          <w:sz w:val="28"/>
          <w:szCs w:val="28"/>
        </w:rPr>
      </w:pPr>
      <w:r w:rsidRPr="00685843">
        <w:rPr>
          <w:sz w:val="28"/>
          <w:szCs w:val="28"/>
        </w:rPr>
        <w:t>Comité des transports intérieurs</w:t>
      </w:r>
    </w:p>
    <w:p w14:paraId="68063A4F" w14:textId="77777777" w:rsidR="001708D3" w:rsidRPr="002740A0" w:rsidRDefault="001708D3" w:rsidP="001708D3">
      <w:pPr>
        <w:spacing w:before="120"/>
        <w:rPr>
          <w:b/>
          <w:sz w:val="24"/>
          <w:szCs w:val="24"/>
          <w:lang w:val="fr-FR"/>
        </w:rPr>
      </w:pPr>
      <w:r>
        <w:rPr>
          <w:b/>
          <w:bCs/>
          <w:lang w:val="fr-FR"/>
        </w:rPr>
        <w:t>Groupe de travail du transport des denrées périssables</w:t>
      </w:r>
    </w:p>
    <w:p w14:paraId="51F7E621" w14:textId="77777777" w:rsidR="001708D3" w:rsidRPr="002740A0" w:rsidRDefault="001708D3" w:rsidP="001708D3">
      <w:pPr>
        <w:spacing w:before="120"/>
        <w:rPr>
          <w:b/>
          <w:lang w:val="fr-FR"/>
        </w:rPr>
      </w:pPr>
      <w:r>
        <w:rPr>
          <w:b/>
          <w:bCs/>
          <w:lang w:val="fr-FR"/>
        </w:rPr>
        <w:t>Soixante-dix-septième session</w:t>
      </w:r>
    </w:p>
    <w:p w14:paraId="2E445C60" w14:textId="77777777" w:rsidR="001708D3" w:rsidRPr="002740A0" w:rsidRDefault="001708D3" w:rsidP="001708D3">
      <w:pPr>
        <w:rPr>
          <w:lang w:val="fr-FR"/>
        </w:rPr>
      </w:pPr>
      <w:r>
        <w:rPr>
          <w:lang w:val="fr-FR"/>
        </w:rPr>
        <w:t>Genève, 26-29 octobre 2021</w:t>
      </w:r>
    </w:p>
    <w:p w14:paraId="0F98A74B" w14:textId="77777777" w:rsidR="001708D3" w:rsidRPr="002740A0" w:rsidRDefault="001708D3" w:rsidP="001708D3">
      <w:pPr>
        <w:rPr>
          <w:lang w:val="fr-FR"/>
        </w:rPr>
      </w:pPr>
      <w:r>
        <w:rPr>
          <w:lang w:val="fr-FR"/>
        </w:rPr>
        <w:t>Point 5 b) de l’ordre du jour provisoire</w:t>
      </w:r>
    </w:p>
    <w:p w14:paraId="0D8F43A3" w14:textId="441CC56B" w:rsidR="001708D3" w:rsidRPr="002740A0" w:rsidRDefault="001708D3" w:rsidP="001708D3">
      <w:pPr>
        <w:rPr>
          <w:b/>
          <w:lang w:val="fr-FR"/>
        </w:rPr>
      </w:pPr>
      <w:r>
        <w:rPr>
          <w:b/>
          <w:bCs/>
          <w:lang w:val="fr-FR"/>
        </w:rPr>
        <w:t>Propositions d’amendements à l’ATP</w:t>
      </w:r>
      <w:r w:rsidR="004D0277">
        <w:rPr>
          <w:b/>
          <w:bCs/>
          <w:lang w:val="fr-FR"/>
        </w:rPr>
        <w:t> </w:t>
      </w:r>
      <w:r>
        <w:rPr>
          <w:b/>
          <w:bCs/>
          <w:lang w:val="fr-FR"/>
        </w:rPr>
        <w:t>:</w:t>
      </w:r>
      <w:r w:rsidR="004D0277">
        <w:rPr>
          <w:b/>
          <w:bCs/>
          <w:lang w:val="fr-FR"/>
        </w:rPr>
        <w:br/>
      </w:r>
      <w:r>
        <w:rPr>
          <w:b/>
          <w:bCs/>
          <w:lang w:val="fr-FR"/>
        </w:rPr>
        <w:t>Nouvelles propositions</w:t>
      </w:r>
    </w:p>
    <w:p w14:paraId="4C228B79" w14:textId="77777777" w:rsidR="001708D3" w:rsidRPr="002740A0" w:rsidRDefault="001708D3" w:rsidP="004D0277">
      <w:pPr>
        <w:pStyle w:val="HChG"/>
        <w:rPr>
          <w:lang w:val="fr-FR"/>
        </w:rPr>
      </w:pPr>
      <w:r>
        <w:rPr>
          <w:lang w:val="fr-FR"/>
        </w:rPr>
        <w:tab/>
      </w:r>
      <w:r>
        <w:rPr>
          <w:lang w:val="fr-FR"/>
        </w:rPr>
        <w:tab/>
        <w:t>Attestations ATP temporaires pour les prototypes d’engins destinés aux essais sur le terrain</w:t>
      </w:r>
    </w:p>
    <w:p w14:paraId="644D70D4" w14:textId="77777777" w:rsidR="001708D3" w:rsidRDefault="001708D3" w:rsidP="004D0277">
      <w:pPr>
        <w:pStyle w:val="H1G"/>
      </w:pPr>
      <w:r>
        <w:rPr>
          <w:lang w:val="fr-FR"/>
        </w:rPr>
        <w:tab/>
      </w:r>
      <w:r>
        <w:rPr>
          <w:lang w:val="fr-FR"/>
        </w:rPr>
        <w:tab/>
        <w:t>Communication de Transfrigoroute International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708D3" w14:paraId="37493211" w14:textId="77777777" w:rsidTr="001708D3">
        <w:trPr>
          <w:jc w:val="center"/>
        </w:trPr>
        <w:tc>
          <w:tcPr>
            <w:tcW w:w="9628" w:type="dxa"/>
            <w:shd w:val="clear" w:color="auto" w:fill="auto"/>
          </w:tcPr>
          <w:p w14:paraId="22BC9267" w14:textId="77777777" w:rsidR="001708D3" w:rsidRDefault="001708D3">
            <w:pPr>
              <w:spacing w:before="240" w:after="120"/>
              <w:ind w:left="255"/>
              <w:rPr>
                <w:i/>
                <w:sz w:val="24"/>
              </w:rPr>
            </w:pPr>
            <w:r>
              <w:rPr>
                <w:i/>
                <w:sz w:val="24"/>
              </w:rPr>
              <w:t>Résumé</w:t>
            </w:r>
          </w:p>
        </w:tc>
      </w:tr>
      <w:tr w:rsidR="001708D3" w14:paraId="75436821" w14:textId="77777777" w:rsidTr="001708D3">
        <w:trPr>
          <w:jc w:val="center"/>
        </w:trPr>
        <w:tc>
          <w:tcPr>
            <w:tcW w:w="9628" w:type="dxa"/>
            <w:shd w:val="clear" w:color="auto" w:fill="auto"/>
          </w:tcPr>
          <w:p w14:paraId="0E1275F1" w14:textId="1ECE6FD1" w:rsidR="001708D3" w:rsidRDefault="001708D3" w:rsidP="001708D3">
            <w:pPr>
              <w:pStyle w:val="SingleTxtG"/>
              <w:ind w:left="2523" w:hanging="2268"/>
            </w:pPr>
            <w:r w:rsidRPr="001708D3">
              <w:rPr>
                <w:b/>
                <w:bCs/>
                <w:lang w:val="fr-FR"/>
              </w:rPr>
              <w:t>Résumé analytique </w:t>
            </w:r>
            <w:r w:rsidRPr="001708D3">
              <w:rPr>
                <w:lang w:val="fr-FR"/>
              </w:rPr>
              <w:t>:</w:t>
            </w:r>
            <w:r w:rsidRPr="001708D3">
              <w:rPr>
                <w:lang w:val="fr-FR"/>
              </w:rPr>
              <w:tab/>
              <w:t>La présente proposition vise à définir une procédure qui permette d’employer un nombre limité de prototypes d’engins n’ayant pas encore été soumis aux essais d’homologation de type décrits aux sections 2 ou 3 de l’appendice 2 de l’annexe 1 de l’ATP.</w:t>
            </w:r>
          </w:p>
        </w:tc>
      </w:tr>
      <w:tr w:rsidR="001708D3" w14:paraId="2CD2BEF2" w14:textId="77777777" w:rsidTr="001708D3">
        <w:trPr>
          <w:jc w:val="center"/>
        </w:trPr>
        <w:tc>
          <w:tcPr>
            <w:tcW w:w="9628" w:type="dxa"/>
            <w:shd w:val="clear" w:color="auto" w:fill="auto"/>
          </w:tcPr>
          <w:p w14:paraId="0941652A" w14:textId="038AD208" w:rsidR="001708D3" w:rsidRPr="001708D3" w:rsidRDefault="001708D3" w:rsidP="001708D3">
            <w:pPr>
              <w:pStyle w:val="SingleTxtG"/>
              <w:ind w:left="2523" w:hanging="2268"/>
              <w:rPr>
                <w:lang w:val="fr-FR"/>
              </w:rPr>
            </w:pPr>
            <w:r w:rsidRPr="001708D3">
              <w:rPr>
                <w:b/>
                <w:bCs/>
                <w:lang w:val="fr-FR"/>
              </w:rPr>
              <w:t>Mesure à prendre</w:t>
            </w:r>
            <w:r w:rsidRPr="001708D3">
              <w:rPr>
                <w:lang w:val="fr-FR"/>
              </w:rPr>
              <w:t> :</w:t>
            </w:r>
            <w:r w:rsidRPr="001708D3">
              <w:rPr>
                <w:lang w:val="fr-FR"/>
              </w:rPr>
              <w:tab/>
              <w:t>Modifier la section 1 de l’appendice 1 de l’annexe 1, et l’appendice 2 de l’annexe 1.</w:t>
            </w:r>
          </w:p>
        </w:tc>
      </w:tr>
      <w:tr w:rsidR="001708D3" w14:paraId="0DECDC43" w14:textId="77777777" w:rsidTr="001708D3">
        <w:trPr>
          <w:jc w:val="center"/>
        </w:trPr>
        <w:tc>
          <w:tcPr>
            <w:tcW w:w="9628" w:type="dxa"/>
            <w:shd w:val="clear" w:color="auto" w:fill="auto"/>
          </w:tcPr>
          <w:p w14:paraId="0B31BB58" w14:textId="728C0CF0" w:rsidR="001708D3" w:rsidRPr="001708D3" w:rsidRDefault="001708D3" w:rsidP="001708D3">
            <w:pPr>
              <w:pStyle w:val="SingleTxtG"/>
              <w:ind w:left="2523" w:hanging="2268"/>
              <w:rPr>
                <w:b/>
                <w:bCs/>
                <w:lang w:val="fr-FR"/>
              </w:rPr>
            </w:pPr>
            <w:r w:rsidRPr="001708D3">
              <w:rPr>
                <w:b/>
                <w:bCs/>
                <w:lang w:val="fr-FR"/>
              </w:rPr>
              <w:t>Document connexe :</w:t>
            </w:r>
            <w:r w:rsidRPr="001708D3">
              <w:rPr>
                <w:b/>
                <w:bCs/>
                <w:lang w:val="fr-FR"/>
              </w:rPr>
              <w:tab/>
            </w:r>
            <w:r w:rsidRPr="001708D3">
              <w:rPr>
                <w:lang w:val="fr-FR"/>
              </w:rPr>
              <w:t>ECE/TRANS/WP.11/2019/23.</w:t>
            </w:r>
          </w:p>
        </w:tc>
      </w:tr>
      <w:tr w:rsidR="001708D3" w14:paraId="049C2532" w14:textId="77777777" w:rsidTr="001708D3">
        <w:trPr>
          <w:jc w:val="center"/>
        </w:trPr>
        <w:tc>
          <w:tcPr>
            <w:tcW w:w="9628" w:type="dxa"/>
            <w:shd w:val="clear" w:color="auto" w:fill="auto"/>
          </w:tcPr>
          <w:p w14:paraId="35FEA211" w14:textId="77777777" w:rsidR="001708D3" w:rsidRDefault="001708D3"/>
        </w:tc>
      </w:tr>
    </w:tbl>
    <w:p w14:paraId="73250BFF" w14:textId="77777777" w:rsidR="001708D3" w:rsidRPr="001708D3" w:rsidRDefault="001708D3" w:rsidP="001708D3">
      <w:pPr>
        <w:pStyle w:val="HChG"/>
        <w:rPr>
          <w:lang w:val="fr-FR"/>
        </w:rPr>
      </w:pPr>
      <w:r w:rsidRPr="001708D3">
        <w:rPr>
          <w:lang w:val="fr-FR"/>
        </w:rPr>
        <w:tab/>
      </w:r>
      <w:r w:rsidRPr="001708D3">
        <w:rPr>
          <w:lang w:val="fr-FR"/>
        </w:rPr>
        <w:tab/>
        <w:t>Introduction</w:t>
      </w:r>
    </w:p>
    <w:p w14:paraId="6F4A37DC" w14:textId="77777777" w:rsidR="001708D3" w:rsidRPr="001708D3" w:rsidRDefault="001708D3" w:rsidP="001708D3">
      <w:pPr>
        <w:pStyle w:val="SingleTxtG"/>
        <w:rPr>
          <w:lang w:val="fr-FR"/>
        </w:rPr>
      </w:pPr>
      <w:r w:rsidRPr="001708D3">
        <w:rPr>
          <w:lang w:val="fr-FR"/>
        </w:rPr>
        <w:t>1.</w:t>
      </w:r>
      <w:r w:rsidRPr="001708D3">
        <w:rPr>
          <w:lang w:val="fr-FR"/>
        </w:rPr>
        <w:tab/>
        <w:t>Les fabricants de caisses isothermes ou de dispositifs thermiques doivent mettre au point de nouveaux produits pour répondre aux besoins du secteur du transport sous température dirigée, qui sont en pleine évolution. Il s’agit principalement de produire des engins à rendement énergétique plus élevé, d’introduire de nouvelles technologies, et de répondre à la demande de fluides frigorigènes ayant un potentiel réduit de réchauffement de la planète et de nouveaux groupes motopropulseurs, ainsi que de répondre à la volonté de réduire l’impact sur l’environnement des activités du secteur.</w:t>
      </w:r>
    </w:p>
    <w:p w14:paraId="0D4DE770" w14:textId="6DD74275" w:rsidR="001708D3" w:rsidRPr="001708D3" w:rsidRDefault="001708D3" w:rsidP="001708D3">
      <w:pPr>
        <w:pStyle w:val="SingleTxtG"/>
        <w:rPr>
          <w:lang w:val="fr-FR"/>
        </w:rPr>
      </w:pPr>
      <w:r w:rsidRPr="001708D3">
        <w:rPr>
          <w:lang w:val="fr-FR"/>
        </w:rPr>
        <w:t>2.</w:t>
      </w:r>
      <w:r w:rsidRPr="001708D3">
        <w:rPr>
          <w:lang w:val="fr-FR"/>
        </w:rPr>
        <w:tab/>
        <w:t>Pour un fonctionnement optimal dans toutes les conditions climatiques, les prototypes d’engins doivent être mis à l’essai dans une gamme de conditions ambiantes réalistes, comprises entre des températures très basses et des températures très élevées de condensation et d’évaporation (ce qui correspond à des essais sur le terrain). À cet effet, ils doivent traverser un grand nombre de territoires de nombreuses Parties contractantes à l’ATP avant d’être produits en série.</w:t>
      </w:r>
    </w:p>
    <w:p w14:paraId="00B4788D" w14:textId="761D63AF" w:rsidR="001708D3" w:rsidRPr="001708D3" w:rsidRDefault="001708D3" w:rsidP="001708D3">
      <w:pPr>
        <w:pStyle w:val="SingleTxtG"/>
        <w:rPr>
          <w:lang w:val="fr-FR"/>
        </w:rPr>
      </w:pPr>
      <w:r w:rsidRPr="001708D3">
        <w:rPr>
          <w:lang w:val="fr-FR"/>
        </w:rPr>
        <w:t>3.</w:t>
      </w:r>
      <w:r w:rsidRPr="001708D3">
        <w:rPr>
          <w:lang w:val="fr-FR"/>
        </w:rPr>
        <w:tab/>
        <w:t>La présente proposition vise à définir une procédure qui permette d’employer un nombre limité d’engins n’ayant pas encore été soumis aux essais d’homologation de type décrits aux sections 2 ou 3 de l’appendice 2 de l’annexe 1 de l’ATP. Cette autorisation provisoire aurait une validité de douze mois renouvelables, sous réserve de l’approbation de l’autorité compétente.</w:t>
      </w:r>
    </w:p>
    <w:p w14:paraId="268169EE" w14:textId="77777777" w:rsidR="001708D3" w:rsidRPr="001708D3" w:rsidRDefault="001708D3" w:rsidP="001708D3">
      <w:pPr>
        <w:pStyle w:val="HChG"/>
        <w:rPr>
          <w:lang w:val="fr-FR"/>
        </w:rPr>
      </w:pPr>
      <w:r w:rsidRPr="001708D3">
        <w:rPr>
          <w:lang w:val="fr-FR"/>
        </w:rPr>
        <w:tab/>
        <w:t>I.</w:t>
      </w:r>
      <w:r w:rsidRPr="001708D3">
        <w:rPr>
          <w:lang w:val="fr-FR"/>
        </w:rPr>
        <w:tab/>
        <w:t>Proposition</w:t>
      </w:r>
    </w:p>
    <w:p w14:paraId="4DC9857C" w14:textId="14AE6F33" w:rsidR="001708D3" w:rsidRPr="001708D3" w:rsidRDefault="001708D3" w:rsidP="001708D3">
      <w:pPr>
        <w:pStyle w:val="SingleTxtG"/>
        <w:rPr>
          <w:lang w:val="fr-FR"/>
        </w:rPr>
      </w:pPr>
      <w:r w:rsidRPr="001708D3">
        <w:rPr>
          <w:lang w:val="fr-FR"/>
        </w:rPr>
        <w:t>4.</w:t>
      </w:r>
      <w:r w:rsidRPr="001708D3">
        <w:rPr>
          <w:lang w:val="fr-FR"/>
        </w:rPr>
        <w:tab/>
        <w:t>Parties de l’ATP concernées par la proposition :</w:t>
      </w:r>
      <w:r w:rsidRPr="001708D3">
        <w:rPr>
          <w:lang w:val="fr-FR"/>
        </w:rPr>
        <w:tab/>
        <w:t>Annexe 1, appendice 1, section 1</w:t>
      </w:r>
    </w:p>
    <w:p w14:paraId="4712C9F7" w14:textId="3A15439D" w:rsidR="001708D3" w:rsidRPr="001708D3" w:rsidRDefault="001708D3" w:rsidP="004D0277">
      <w:pPr>
        <w:pStyle w:val="SingleTxtG"/>
        <w:ind w:left="5670"/>
        <w:rPr>
          <w:bCs/>
          <w:lang w:val="fr-FR"/>
        </w:rPr>
      </w:pPr>
      <w:r w:rsidRPr="001708D3">
        <w:rPr>
          <w:bCs/>
          <w:lang w:val="fr-FR"/>
        </w:rPr>
        <w:tab/>
        <w:t>Annexe 1, appendice 2</w:t>
      </w:r>
    </w:p>
    <w:p w14:paraId="36DAD7B5" w14:textId="425C4860" w:rsidR="001708D3" w:rsidRPr="001708D3" w:rsidRDefault="001708D3" w:rsidP="004D0277">
      <w:pPr>
        <w:pStyle w:val="SingleTxtG"/>
        <w:rPr>
          <w:lang w:val="fr-FR"/>
        </w:rPr>
      </w:pPr>
      <w:r w:rsidRPr="001708D3">
        <w:rPr>
          <w:lang w:val="fr-FR"/>
        </w:rPr>
        <w:t>Dans la section 1 de l’appendice 1 de l’annexe 1, remplacer « Sauf dans les cas prévus aux sections</w:t>
      </w:r>
      <w:r w:rsidR="004D0277">
        <w:rPr>
          <w:lang w:val="fr-FR"/>
        </w:rPr>
        <w:t> </w:t>
      </w:r>
      <w:r w:rsidRPr="001708D3">
        <w:rPr>
          <w:lang w:val="fr-FR"/>
        </w:rPr>
        <w:t>5 et 6 de l’appendice 2 de la présente annexe » par « Sauf dans les cas prévus aux sections</w:t>
      </w:r>
      <w:r w:rsidR="004D0277">
        <w:rPr>
          <w:lang w:val="fr-FR"/>
        </w:rPr>
        <w:t> </w:t>
      </w:r>
      <w:r w:rsidRPr="001708D3">
        <w:rPr>
          <w:lang w:val="fr-FR"/>
        </w:rPr>
        <w:t>5, 6 et 10 de l’appendice 2 de la présente annexe ».</w:t>
      </w:r>
    </w:p>
    <w:p w14:paraId="0491FF78" w14:textId="7380276A" w:rsidR="001708D3" w:rsidRPr="001708D3" w:rsidRDefault="001708D3" w:rsidP="001708D3">
      <w:pPr>
        <w:pStyle w:val="SingleTxtG"/>
        <w:rPr>
          <w:lang w:val="fr-FR"/>
        </w:rPr>
      </w:pPr>
      <w:r w:rsidRPr="001708D3">
        <w:rPr>
          <w:lang w:val="fr-FR"/>
        </w:rPr>
        <w:t>À l’appendice 2 de l’annexe 1, ajouter une nouvelle section 10, libellée comme suit</w:t>
      </w:r>
      <w:r w:rsidR="004D0277">
        <w:rPr>
          <w:lang w:val="fr-FR"/>
        </w:rPr>
        <w:t> </w:t>
      </w:r>
      <w:r w:rsidRPr="001708D3">
        <w:rPr>
          <w:lang w:val="fr-FR"/>
        </w:rPr>
        <w:t>:</w:t>
      </w:r>
    </w:p>
    <w:p w14:paraId="7002415C" w14:textId="77777777" w:rsidR="001708D3" w:rsidRPr="001708D3" w:rsidRDefault="001708D3" w:rsidP="001708D3">
      <w:pPr>
        <w:pStyle w:val="SingleTxtG"/>
        <w:rPr>
          <w:bCs/>
          <w:lang w:val="fr-FR"/>
        </w:rPr>
      </w:pPr>
      <w:r w:rsidRPr="001708D3">
        <w:rPr>
          <w:bCs/>
          <w:lang w:val="fr-FR"/>
        </w:rPr>
        <w:t>« 10.</w:t>
      </w:r>
      <w:r w:rsidRPr="001708D3">
        <w:rPr>
          <w:bCs/>
          <w:lang w:val="fr-FR"/>
        </w:rPr>
        <w:tab/>
        <w:t>Attestations ATP temporaires pour les prototypes d’engins</w:t>
      </w:r>
    </w:p>
    <w:p w14:paraId="21924B0E" w14:textId="1DD37141" w:rsidR="001708D3" w:rsidRPr="001708D3" w:rsidRDefault="001708D3" w:rsidP="004D0277">
      <w:pPr>
        <w:pStyle w:val="SingleTxtG"/>
        <w:ind w:left="1701"/>
        <w:rPr>
          <w:bCs/>
          <w:lang w:val="fr-FR"/>
        </w:rPr>
      </w:pPr>
      <w:r w:rsidRPr="001708D3">
        <w:rPr>
          <w:bCs/>
          <w:lang w:val="fr-FR"/>
        </w:rPr>
        <w:t>À la demande du fabricant, une attestation ATP temporaire peut être délivrée pour un prototype d’engin, aux conditions suivantes :</w:t>
      </w:r>
    </w:p>
    <w:p w14:paraId="04560978" w14:textId="77777777" w:rsidR="001708D3" w:rsidRPr="001708D3" w:rsidRDefault="001708D3" w:rsidP="004D0277">
      <w:pPr>
        <w:pStyle w:val="SingleTxtG"/>
        <w:ind w:left="2268" w:hanging="567"/>
        <w:rPr>
          <w:bCs/>
          <w:lang w:val="fr-FR"/>
        </w:rPr>
      </w:pPr>
      <w:r w:rsidRPr="001708D3">
        <w:rPr>
          <w:bCs/>
          <w:lang w:val="fr-FR"/>
        </w:rPr>
        <w:t>a)</w:t>
      </w:r>
      <w:r w:rsidRPr="001708D3">
        <w:rPr>
          <w:bCs/>
          <w:lang w:val="fr-FR"/>
        </w:rPr>
        <w:tab/>
        <w:t>Le fabricant doit demander l’accord d’une autorité compétente pour l’ATP :</w:t>
      </w:r>
    </w:p>
    <w:p w14:paraId="73B5E89A" w14:textId="77777777" w:rsidR="001708D3" w:rsidRPr="001708D3" w:rsidRDefault="001708D3" w:rsidP="004D0277">
      <w:pPr>
        <w:pStyle w:val="SingleTxtG"/>
        <w:ind w:left="2268"/>
        <w:rPr>
          <w:bCs/>
          <w:lang w:val="fr-FR"/>
        </w:rPr>
      </w:pPr>
      <w:r w:rsidRPr="001708D3">
        <w:rPr>
          <w:bCs/>
          <w:lang w:val="fr-FR"/>
        </w:rPr>
        <w:t>Dans le pays où le fabricant est basé ;</w:t>
      </w:r>
    </w:p>
    <w:p w14:paraId="24A95C00" w14:textId="77777777" w:rsidR="001708D3" w:rsidRPr="001708D3" w:rsidRDefault="001708D3" w:rsidP="004D0277">
      <w:pPr>
        <w:pStyle w:val="SingleTxtG"/>
        <w:ind w:left="2268"/>
        <w:rPr>
          <w:bCs/>
          <w:lang w:val="fr-FR"/>
        </w:rPr>
      </w:pPr>
      <w:r w:rsidRPr="001708D3">
        <w:rPr>
          <w:bCs/>
          <w:lang w:val="fr-FR"/>
        </w:rPr>
        <w:t>Dans le pays où l’engin doit être construit ; ou</w:t>
      </w:r>
    </w:p>
    <w:p w14:paraId="103B2FD0" w14:textId="6EDAB9BC" w:rsidR="001708D3" w:rsidRPr="001708D3" w:rsidRDefault="001708D3" w:rsidP="004D0277">
      <w:pPr>
        <w:pStyle w:val="SingleTxtG"/>
        <w:ind w:left="2268"/>
        <w:rPr>
          <w:bCs/>
          <w:lang w:val="fr-FR"/>
        </w:rPr>
      </w:pPr>
      <w:r w:rsidRPr="001708D3">
        <w:rPr>
          <w:bCs/>
          <w:lang w:val="fr-FR"/>
        </w:rPr>
        <w:t>Dans le pays où l’engin doit être utilisé, immatriculé ou enregistré</w:t>
      </w:r>
      <w:r w:rsidR="004D0277">
        <w:rPr>
          <w:bCs/>
          <w:lang w:val="fr-FR"/>
        </w:rPr>
        <w:t> ;</w:t>
      </w:r>
    </w:p>
    <w:p w14:paraId="49A600CD" w14:textId="424AB49D" w:rsidR="001708D3" w:rsidRPr="001708D3" w:rsidRDefault="001708D3" w:rsidP="004D0277">
      <w:pPr>
        <w:pStyle w:val="SingleTxtG"/>
        <w:ind w:left="2268" w:hanging="567"/>
        <w:rPr>
          <w:b/>
          <w:bCs/>
          <w:lang w:val="fr-FR"/>
        </w:rPr>
      </w:pPr>
      <w:r w:rsidRPr="001708D3">
        <w:rPr>
          <w:bCs/>
          <w:lang w:val="fr-FR"/>
        </w:rPr>
        <w:t>b)</w:t>
      </w:r>
      <w:r w:rsidRPr="001708D3">
        <w:rPr>
          <w:bCs/>
          <w:lang w:val="fr-FR"/>
        </w:rPr>
        <w:tab/>
        <w:t>Le nombre total de prototypes doit être limité à 50</w:t>
      </w:r>
      <w:r w:rsidR="004D0277">
        <w:rPr>
          <w:bCs/>
          <w:lang w:val="fr-FR"/>
        </w:rPr>
        <w:t> </w:t>
      </w:r>
      <w:r w:rsidRPr="001708D3">
        <w:rPr>
          <w:bCs/>
          <w:lang w:val="fr-FR"/>
        </w:rPr>
        <w:t>;</w:t>
      </w:r>
    </w:p>
    <w:p w14:paraId="007981D5" w14:textId="4485B21E" w:rsidR="001708D3" w:rsidRPr="001708D3" w:rsidRDefault="001708D3" w:rsidP="004D0277">
      <w:pPr>
        <w:pStyle w:val="SingleTxtG"/>
        <w:ind w:left="2268" w:hanging="567"/>
        <w:rPr>
          <w:bCs/>
          <w:lang w:val="fr-FR"/>
        </w:rPr>
      </w:pPr>
      <w:r w:rsidRPr="001708D3">
        <w:rPr>
          <w:bCs/>
          <w:lang w:val="fr-FR"/>
        </w:rPr>
        <w:t>c)</w:t>
      </w:r>
      <w:r w:rsidRPr="001708D3">
        <w:rPr>
          <w:bCs/>
          <w:lang w:val="fr-FR"/>
        </w:rPr>
        <w:tab/>
        <w:t>Lorsqu’il dépose une demande auprès de l’autorité compétente concernée, le fabricant s’engage à soumettre l’engin destiné à la production en série aux essais d’homologation de type décrits aux sections 2 ou 3 de l’appendice 2 de l’annexe</w:t>
      </w:r>
      <w:r w:rsidR="004D0277">
        <w:rPr>
          <w:bCs/>
          <w:lang w:val="fr-FR"/>
        </w:rPr>
        <w:t> </w:t>
      </w:r>
      <w:r w:rsidRPr="001708D3">
        <w:rPr>
          <w:bCs/>
          <w:lang w:val="fr-FR"/>
        </w:rPr>
        <w:t>1 de l’ATP à la fin de la période d’essai sur le terrain, en prévoyant un délai suffisant pour que toute modification apparue nécessaire dans le cadre de ces essais puisse être apportée à l’engin destiné à la production en série ;</w:t>
      </w:r>
    </w:p>
    <w:p w14:paraId="5076752F" w14:textId="77777777" w:rsidR="001708D3" w:rsidRPr="001708D3" w:rsidRDefault="001708D3" w:rsidP="004D0277">
      <w:pPr>
        <w:pStyle w:val="SingleTxtG"/>
        <w:ind w:left="2268" w:hanging="567"/>
        <w:rPr>
          <w:b/>
          <w:bCs/>
          <w:lang w:val="fr-FR"/>
        </w:rPr>
      </w:pPr>
      <w:r w:rsidRPr="001708D3">
        <w:rPr>
          <w:bCs/>
          <w:lang w:val="fr-FR"/>
        </w:rPr>
        <w:t>d)</w:t>
      </w:r>
      <w:r w:rsidRPr="001708D3">
        <w:rPr>
          <w:bCs/>
          <w:lang w:val="fr-FR"/>
        </w:rPr>
        <w:tab/>
        <w:t>Avant de commencer les essais sur le terrain, le fabricant de l</w:t>
      </w:r>
      <w:r w:rsidRPr="001708D3">
        <w:rPr>
          <w:b/>
          <w:bCs/>
          <w:lang w:val="fr-FR"/>
        </w:rPr>
        <w:t>’</w:t>
      </w:r>
      <w:r w:rsidRPr="001708D3">
        <w:rPr>
          <w:bCs/>
          <w:lang w:val="fr-FR"/>
        </w:rPr>
        <w:t xml:space="preserve">engin doit fournir, à titre confidentiel : </w:t>
      </w:r>
    </w:p>
    <w:p w14:paraId="6B7A7DBD" w14:textId="524225D5" w:rsidR="001708D3" w:rsidRPr="001708D3" w:rsidRDefault="001708D3" w:rsidP="004D0277">
      <w:pPr>
        <w:pStyle w:val="SingleTxtG"/>
        <w:ind w:left="2835" w:hanging="567"/>
        <w:rPr>
          <w:bCs/>
          <w:lang w:val="fr-FR"/>
        </w:rPr>
      </w:pPr>
      <w:r w:rsidRPr="001708D3">
        <w:rPr>
          <w:bCs/>
          <w:lang w:val="fr-FR"/>
        </w:rPr>
        <w:t>i)</w:t>
      </w:r>
      <w:r w:rsidRPr="001708D3">
        <w:rPr>
          <w:bCs/>
          <w:lang w:val="fr-FR"/>
        </w:rPr>
        <w:tab/>
        <w:t>Des documents attestant des caractéristiques des principaux éléments du prototype d’engin</w:t>
      </w:r>
      <w:r w:rsidR="004D0277">
        <w:rPr>
          <w:bCs/>
          <w:lang w:val="fr-FR"/>
        </w:rPr>
        <w:t> </w:t>
      </w:r>
      <w:r w:rsidRPr="001708D3">
        <w:rPr>
          <w:bCs/>
          <w:lang w:val="fr-FR"/>
        </w:rPr>
        <w:t xml:space="preserve">; </w:t>
      </w:r>
    </w:p>
    <w:p w14:paraId="5536B604" w14:textId="77777777" w:rsidR="001708D3" w:rsidRPr="001708D3" w:rsidRDefault="001708D3" w:rsidP="004D0277">
      <w:pPr>
        <w:pStyle w:val="SingleTxtG"/>
        <w:ind w:left="2835" w:hanging="567"/>
        <w:rPr>
          <w:bCs/>
          <w:lang w:val="fr-FR"/>
        </w:rPr>
      </w:pPr>
      <w:r w:rsidRPr="001708D3">
        <w:rPr>
          <w:bCs/>
          <w:lang w:val="fr-FR"/>
        </w:rPr>
        <w:t>ii)</w:t>
      </w:r>
      <w:r w:rsidRPr="001708D3">
        <w:rPr>
          <w:bCs/>
          <w:lang w:val="fr-FR"/>
        </w:rPr>
        <w:tab/>
        <w:t>Pour les prototypes de dispositifs thermiques, une description détaillée du fonctionnement du dispositif ;</w:t>
      </w:r>
    </w:p>
    <w:p w14:paraId="2EF1A91F" w14:textId="2718C588" w:rsidR="001708D3" w:rsidRPr="001708D3" w:rsidRDefault="001708D3" w:rsidP="004D0277">
      <w:pPr>
        <w:pStyle w:val="SingleTxtG"/>
        <w:ind w:left="2835" w:hanging="567"/>
        <w:rPr>
          <w:bCs/>
          <w:lang w:val="fr-FR"/>
        </w:rPr>
      </w:pPr>
      <w:r w:rsidRPr="001708D3">
        <w:rPr>
          <w:bCs/>
          <w:lang w:val="fr-FR"/>
        </w:rPr>
        <w:t>iii)</w:t>
      </w:r>
      <w:r w:rsidRPr="001708D3">
        <w:rPr>
          <w:bCs/>
          <w:lang w:val="fr-FR"/>
        </w:rPr>
        <w:tab/>
        <w:t>Pour les prototypes de dispositifs thermiques, des données préliminaires issues des essais au calorimètre indiquant les capacités de refroidissement et, si nécessaire, de chauffage (P nom) pour chacun des points de mesure de température définis dans l’ATP</w:t>
      </w:r>
      <w:r w:rsidR="004D0277">
        <w:rPr>
          <w:bCs/>
          <w:lang w:val="fr-FR"/>
        </w:rPr>
        <w:t> </w:t>
      </w:r>
      <w:r w:rsidRPr="001708D3">
        <w:rPr>
          <w:bCs/>
          <w:lang w:val="fr-FR"/>
        </w:rPr>
        <w:t xml:space="preserve">; </w:t>
      </w:r>
    </w:p>
    <w:p w14:paraId="07F1D2CC" w14:textId="77777777" w:rsidR="001708D3" w:rsidRPr="001708D3" w:rsidRDefault="001708D3" w:rsidP="004D0277">
      <w:pPr>
        <w:pStyle w:val="SingleTxtG"/>
        <w:ind w:left="2835" w:hanging="567"/>
        <w:rPr>
          <w:bCs/>
          <w:lang w:val="fr-FR"/>
        </w:rPr>
      </w:pPr>
      <w:r w:rsidRPr="001708D3">
        <w:rPr>
          <w:bCs/>
          <w:lang w:val="fr-FR"/>
        </w:rPr>
        <w:t>iv)</w:t>
      </w:r>
      <w:r w:rsidRPr="001708D3">
        <w:rPr>
          <w:bCs/>
          <w:lang w:val="fr-FR"/>
        </w:rPr>
        <w:tab/>
        <w:t xml:space="preserve">Lorsque le prototype d’engin est décliné sous différentes versions, les conditions énoncées aux i), ii) et iii) ci-dessus doivent être satisfaites pour chaque version ; </w:t>
      </w:r>
    </w:p>
    <w:p w14:paraId="633088FD" w14:textId="7BF1FC55" w:rsidR="001708D3" w:rsidRPr="001708D3" w:rsidRDefault="001708D3" w:rsidP="004D0277">
      <w:pPr>
        <w:pStyle w:val="SingleTxtG"/>
        <w:ind w:left="2268" w:hanging="567"/>
        <w:rPr>
          <w:b/>
          <w:lang w:val="fr-FR"/>
        </w:rPr>
      </w:pPr>
      <w:r w:rsidRPr="001708D3">
        <w:rPr>
          <w:lang w:val="fr-FR"/>
        </w:rPr>
        <w:t>e)</w:t>
      </w:r>
      <w:r w:rsidRPr="001708D3">
        <w:rPr>
          <w:lang w:val="fr-FR"/>
        </w:rPr>
        <w:tab/>
        <w:t>L</w:t>
      </w:r>
      <w:r w:rsidRPr="001708D3">
        <w:rPr>
          <w:bCs/>
          <w:lang w:val="fr-FR"/>
        </w:rPr>
        <w:t>’</w:t>
      </w:r>
      <w:r w:rsidRPr="001708D3">
        <w:rPr>
          <w:lang w:val="fr-FR"/>
        </w:rPr>
        <w:t>attestation ATP temporaire est délivrée pour une durée maximale de 12 mois à compter de la date marquant le début de l</w:t>
      </w:r>
      <w:r w:rsidRPr="001708D3">
        <w:rPr>
          <w:b/>
          <w:lang w:val="fr-FR"/>
        </w:rPr>
        <w:t>’</w:t>
      </w:r>
      <w:r w:rsidRPr="001708D3">
        <w:rPr>
          <w:lang w:val="fr-FR"/>
        </w:rPr>
        <w:t>essai sur le terrain. Cette date doit être convenue entre l</w:t>
      </w:r>
      <w:r w:rsidRPr="001708D3">
        <w:rPr>
          <w:b/>
          <w:lang w:val="fr-FR"/>
        </w:rPr>
        <w:t>’</w:t>
      </w:r>
      <w:r w:rsidRPr="001708D3">
        <w:rPr>
          <w:lang w:val="fr-FR"/>
        </w:rPr>
        <w:t>autorité compétente et le fabricant. L</w:t>
      </w:r>
      <w:r w:rsidRPr="001708D3">
        <w:rPr>
          <w:b/>
          <w:lang w:val="fr-FR"/>
        </w:rPr>
        <w:t>’</w:t>
      </w:r>
      <w:r w:rsidRPr="001708D3">
        <w:rPr>
          <w:lang w:val="fr-FR"/>
        </w:rPr>
        <w:t>autorité compétente peut accepter de prolonger la période d</w:t>
      </w:r>
      <w:r w:rsidRPr="001708D3">
        <w:rPr>
          <w:b/>
          <w:lang w:val="fr-FR"/>
        </w:rPr>
        <w:t>’</w:t>
      </w:r>
      <w:r w:rsidRPr="001708D3">
        <w:rPr>
          <w:lang w:val="fr-FR"/>
        </w:rPr>
        <w:t>essai pour une nouvelle période ne dépassant pas 12 mois</w:t>
      </w:r>
      <w:r w:rsidR="004D0277">
        <w:rPr>
          <w:lang w:val="fr-FR"/>
        </w:rPr>
        <w:t> </w:t>
      </w:r>
      <w:r w:rsidRPr="001708D3">
        <w:rPr>
          <w:lang w:val="fr-FR"/>
        </w:rPr>
        <w:t>;</w:t>
      </w:r>
    </w:p>
    <w:p w14:paraId="58044A8B" w14:textId="41B35A1A" w:rsidR="001708D3" w:rsidRPr="001708D3" w:rsidRDefault="001708D3" w:rsidP="004D0277">
      <w:pPr>
        <w:pStyle w:val="SingleTxtG"/>
        <w:ind w:left="2268" w:hanging="567"/>
        <w:rPr>
          <w:lang w:val="fr-FR"/>
        </w:rPr>
      </w:pPr>
      <w:r w:rsidRPr="001708D3">
        <w:rPr>
          <w:bCs/>
          <w:lang w:val="fr-FR"/>
        </w:rPr>
        <w:t>h)</w:t>
      </w:r>
      <w:r w:rsidRPr="001708D3">
        <w:rPr>
          <w:bCs/>
          <w:lang w:val="fr-FR"/>
        </w:rPr>
        <w:tab/>
        <w:t>Pour les dispositifs thermiques, l’essai d’efficacité décrit à la section 6 de l’appendice</w:t>
      </w:r>
      <w:r w:rsidR="004D0277">
        <w:rPr>
          <w:bCs/>
          <w:lang w:val="fr-FR"/>
        </w:rPr>
        <w:t> </w:t>
      </w:r>
      <w:r w:rsidRPr="001708D3">
        <w:rPr>
          <w:bCs/>
          <w:lang w:val="fr-FR"/>
        </w:rPr>
        <w:t>2 de l’annexe 1 doit donner des résultats positifs pour chaque engin avant que l’essai sur le terrain puisse commencer. ».</w:t>
      </w:r>
    </w:p>
    <w:p w14:paraId="29B7693C" w14:textId="77777777" w:rsidR="001708D3" w:rsidRDefault="001708D3" w:rsidP="001708D3">
      <w:pPr>
        <w:pStyle w:val="HChG"/>
      </w:pPr>
      <w:r>
        <w:rPr>
          <w:lang w:val="fr-FR"/>
        </w:rPr>
        <w:tab/>
        <w:t>II.</w:t>
      </w:r>
      <w:r>
        <w:rPr>
          <w:lang w:val="fr-FR"/>
        </w:rPr>
        <w:tab/>
      </w:r>
      <w:r w:rsidRPr="002740A0">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1708D3" w:rsidRPr="002740A0" w14:paraId="587070CF" w14:textId="77777777" w:rsidTr="00EC18E7">
        <w:tc>
          <w:tcPr>
            <w:tcW w:w="1421" w:type="dxa"/>
            <w:shd w:val="clear" w:color="auto" w:fill="auto"/>
          </w:tcPr>
          <w:p w14:paraId="7C4CE34F" w14:textId="77777777" w:rsidR="001708D3" w:rsidRDefault="001708D3" w:rsidP="00EC18E7">
            <w:pPr>
              <w:pStyle w:val="SingleTxtG"/>
              <w:ind w:left="0" w:right="0"/>
            </w:pPr>
            <w:r>
              <w:rPr>
                <w:lang w:val="fr-FR"/>
              </w:rPr>
              <w:t>Coût :</w:t>
            </w:r>
          </w:p>
        </w:tc>
        <w:tc>
          <w:tcPr>
            <w:tcW w:w="5700" w:type="dxa"/>
            <w:shd w:val="clear" w:color="auto" w:fill="auto"/>
          </w:tcPr>
          <w:p w14:paraId="2CB9369A" w14:textId="77777777" w:rsidR="001708D3" w:rsidRPr="002740A0" w:rsidRDefault="001708D3" w:rsidP="00EC18E7">
            <w:pPr>
              <w:pStyle w:val="SingleTxtG"/>
              <w:ind w:left="0" w:right="0"/>
              <w:rPr>
                <w:lang w:val="fr-FR"/>
              </w:rPr>
            </w:pPr>
            <w:r>
              <w:rPr>
                <w:lang w:val="fr-FR"/>
              </w:rPr>
              <w:t>Les coûts à engager sont limités et ils seront pris en charge par les fabricants des engins.</w:t>
            </w:r>
          </w:p>
        </w:tc>
      </w:tr>
      <w:tr w:rsidR="001708D3" w:rsidRPr="004D0277" w14:paraId="0E4B64BD" w14:textId="77777777" w:rsidTr="00EC18E7">
        <w:tc>
          <w:tcPr>
            <w:tcW w:w="1421" w:type="dxa"/>
            <w:shd w:val="clear" w:color="auto" w:fill="auto"/>
          </w:tcPr>
          <w:p w14:paraId="6CA49E3F" w14:textId="77777777" w:rsidR="001708D3" w:rsidRDefault="001708D3" w:rsidP="00EC18E7">
            <w:pPr>
              <w:pStyle w:val="SingleTxtG"/>
              <w:ind w:left="0" w:right="0"/>
            </w:pPr>
            <w:r>
              <w:rPr>
                <w:lang w:val="fr-FR"/>
              </w:rPr>
              <w:t>Faisabilité :</w:t>
            </w:r>
          </w:p>
        </w:tc>
        <w:tc>
          <w:tcPr>
            <w:tcW w:w="5700" w:type="dxa"/>
            <w:shd w:val="clear" w:color="auto" w:fill="auto"/>
          </w:tcPr>
          <w:p w14:paraId="0257CA0E" w14:textId="77777777" w:rsidR="001708D3" w:rsidRPr="002740A0" w:rsidRDefault="001708D3" w:rsidP="00EC18E7">
            <w:pPr>
              <w:pStyle w:val="SingleTxtG"/>
              <w:ind w:left="0" w:right="0"/>
              <w:rPr>
                <w:lang w:val="fr-FR"/>
              </w:rPr>
            </w:pPr>
            <w:r>
              <w:rPr>
                <w:lang w:val="fr-FR"/>
              </w:rPr>
              <w:t>La présente proposition concerne principalement les fabricants de caisses isothermes et de dispositifs thermiques, ainsi que les autorités compétentes.</w:t>
            </w:r>
          </w:p>
          <w:p w14:paraId="7CEF359A" w14:textId="0AF374AA" w:rsidR="001708D3" w:rsidRPr="002740A0" w:rsidRDefault="001708D3" w:rsidP="00EC18E7">
            <w:pPr>
              <w:pStyle w:val="SingleTxtG"/>
              <w:ind w:left="0" w:right="0"/>
              <w:rPr>
                <w:lang w:val="fr-FR"/>
              </w:rPr>
            </w:pPr>
            <w:r>
              <w:rPr>
                <w:lang w:val="fr-FR"/>
              </w:rPr>
              <w:t>Si elle est adoptée, cette proposition permettra d’accélérer le déploiement de technologies plus modernes, à rendement énergétique plus élevé et plus respectueuses de l’environnement, qui sont nécessaires pour répondre aux besoins du secteur du transport sous température dirigée, en pleine évolution.</w:t>
            </w:r>
          </w:p>
          <w:p w14:paraId="7FE84FD4" w14:textId="38CF57E7" w:rsidR="001708D3" w:rsidRPr="002740A0" w:rsidRDefault="001708D3" w:rsidP="00EC18E7">
            <w:pPr>
              <w:pStyle w:val="SingleTxtG"/>
              <w:ind w:left="0" w:right="0"/>
              <w:rPr>
                <w:lang w:val="fr-FR"/>
              </w:rPr>
            </w:pPr>
            <w:r>
              <w:rPr>
                <w:lang w:val="fr-FR"/>
              </w:rPr>
              <w:t>La proposition pourrait être mise en œuvre sans période transitoire.</w:t>
            </w:r>
          </w:p>
        </w:tc>
      </w:tr>
      <w:tr w:rsidR="001708D3" w:rsidRPr="002740A0" w14:paraId="5E7F4A03" w14:textId="77777777" w:rsidTr="00EC18E7">
        <w:tc>
          <w:tcPr>
            <w:tcW w:w="1421" w:type="dxa"/>
            <w:shd w:val="clear" w:color="auto" w:fill="auto"/>
          </w:tcPr>
          <w:p w14:paraId="7D646FB6" w14:textId="77777777" w:rsidR="001708D3" w:rsidRDefault="001708D3" w:rsidP="00EC18E7">
            <w:pPr>
              <w:pStyle w:val="SingleTxtG"/>
              <w:ind w:left="0" w:right="425"/>
            </w:pPr>
            <w:r>
              <w:rPr>
                <w:lang w:val="fr-FR"/>
              </w:rPr>
              <w:t>Résultats :</w:t>
            </w:r>
          </w:p>
        </w:tc>
        <w:tc>
          <w:tcPr>
            <w:tcW w:w="5700" w:type="dxa"/>
            <w:shd w:val="clear" w:color="auto" w:fill="auto"/>
          </w:tcPr>
          <w:p w14:paraId="111E9D25" w14:textId="056C10F6" w:rsidR="001708D3" w:rsidRPr="002740A0" w:rsidRDefault="001708D3" w:rsidP="00EC18E7">
            <w:pPr>
              <w:pStyle w:val="SingleTxtG"/>
              <w:ind w:left="0" w:right="0"/>
              <w:rPr>
                <w:lang w:val="fr-FR"/>
              </w:rPr>
            </w:pPr>
            <w:r>
              <w:rPr>
                <w:lang w:val="fr-FR"/>
              </w:rPr>
              <w:t>La mise au point d’engins à rendement énergétique plus élevé et ayant un potentiel réduit de réchauffement de la planète permettrait non seulement de faire baisser les charges d’exploitation des transporteurs et de réduire les émissions des engins de transport et leur empreinte carbone conformément aux objectifs fixés dans le cadre de l’Accord de Paris et de l’Amendement de Kigali, mais aussi d’améliorer la qualité de l’air dans les zones urbaines.</w:t>
            </w:r>
          </w:p>
        </w:tc>
      </w:tr>
      <w:tr w:rsidR="001708D3" w:rsidRPr="002740A0" w14:paraId="45E300DE" w14:textId="77777777" w:rsidTr="00EC18E7">
        <w:tc>
          <w:tcPr>
            <w:tcW w:w="1421" w:type="dxa"/>
            <w:shd w:val="clear" w:color="auto" w:fill="auto"/>
          </w:tcPr>
          <w:p w14:paraId="5447506C" w14:textId="77777777" w:rsidR="001708D3" w:rsidRDefault="001708D3" w:rsidP="00EC18E7">
            <w:pPr>
              <w:pStyle w:val="SingleTxtG"/>
              <w:ind w:left="0" w:right="142"/>
            </w:pPr>
            <w:r>
              <w:rPr>
                <w:lang w:val="fr-FR"/>
              </w:rPr>
              <w:t>Applicabilité :</w:t>
            </w:r>
          </w:p>
        </w:tc>
        <w:tc>
          <w:tcPr>
            <w:tcW w:w="5700" w:type="dxa"/>
            <w:shd w:val="clear" w:color="auto" w:fill="auto"/>
          </w:tcPr>
          <w:p w14:paraId="4EE51853" w14:textId="77777777" w:rsidR="001708D3" w:rsidRPr="002740A0" w:rsidRDefault="001708D3" w:rsidP="00EC18E7">
            <w:pPr>
              <w:pStyle w:val="SingleTxtG"/>
              <w:ind w:left="0" w:right="0"/>
              <w:rPr>
                <w:lang w:val="fr-FR"/>
              </w:rPr>
            </w:pPr>
            <w:r>
              <w:rPr>
                <w:lang w:val="fr-FR"/>
              </w:rPr>
              <w:t>Les demandes d’attestations ATP temporaires pour les prototypes d’engins seront sous le contrôle plein et entier d’une autorité compétente pour l’ATP, ainsi que la délivrance de ces attestations.</w:t>
            </w:r>
          </w:p>
        </w:tc>
      </w:tr>
    </w:tbl>
    <w:p w14:paraId="30A520E3" w14:textId="77777777" w:rsidR="001708D3" w:rsidRPr="002740A0" w:rsidRDefault="001708D3" w:rsidP="001708D3">
      <w:pPr>
        <w:spacing w:before="240"/>
        <w:jc w:val="center"/>
        <w:rPr>
          <w:u w:val="single"/>
          <w:lang w:val="fr-FR"/>
        </w:rPr>
      </w:pPr>
      <w:r w:rsidRPr="002740A0">
        <w:rPr>
          <w:u w:val="single"/>
          <w:lang w:val="fr-FR"/>
        </w:rPr>
        <w:tab/>
      </w:r>
      <w:r w:rsidRPr="002740A0">
        <w:rPr>
          <w:u w:val="single"/>
          <w:lang w:val="fr-FR"/>
        </w:rPr>
        <w:tab/>
      </w:r>
      <w:r w:rsidRPr="002740A0">
        <w:rPr>
          <w:u w:val="single"/>
          <w:lang w:val="fr-FR"/>
        </w:rPr>
        <w:tab/>
      </w:r>
    </w:p>
    <w:p w14:paraId="310D01DD" w14:textId="77777777" w:rsidR="00F9573C" w:rsidRPr="001708D3" w:rsidRDefault="00F9573C" w:rsidP="001708D3">
      <w:pPr>
        <w:pStyle w:val="SingleTxtG"/>
        <w:rPr>
          <w:lang w:val="fr-FR"/>
        </w:rPr>
      </w:pPr>
    </w:p>
    <w:sectPr w:rsidR="00F9573C" w:rsidRPr="001708D3" w:rsidSect="001708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CC30" w14:textId="77777777" w:rsidR="0062304C" w:rsidRDefault="0062304C" w:rsidP="00F95C08">
      <w:pPr>
        <w:spacing w:line="240" w:lineRule="auto"/>
      </w:pPr>
    </w:p>
  </w:endnote>
  <w:endnote w:type="continuationSeparator" w:id="0">
    <w:p w14:paraId="1C187C33" w14:textId="77777777" w:rsidR="0062304C" w:rsidRPr="00AC3823" w:rsidRDefault="0062304C" w:rsidP="00AC3823">
      <w:pPr>
        <w:pStyle w:val="Pieddepage"/>
      </w:pPr>
    </w:p>
  </w:endnote>
  <w:endnote w:type="continuationNotice" w:id="1">
    <w:p w14:paraId="1FD2CEAE" w14:textId="77777777" w:rsidR="0062304C" w:rsidRDefault="006230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F656" w14:textId="54AC51BC" w:rsidR="001708D3" w:rsidRPr="001708D3" w:rsidRDefault="001708D3" w:rsidP="001708D3">
    <w:pPr>
      <w:pStyle w:val="Pieddepage"/>
      <w:tabs>
        <w:tab w:val="right" w:pos="9638"/>
      </w:tabs>
    </w:pPr>
    <w:r w:rsidRPr="001708D3">
      <w:rPr>
        <w:b/>
        <w:sz w:val="18"/>
      </w:rPr>
      <w:fldChar w:fldCharType="begin"/>
    </w:r>
    <w:r w:rsidRPr="001708D3">
      <w:rPr>
        <w:b/>
        <w:sz w:val="18"/>
      </w:rPr>
      <w:instrText xml:space="preserve"> PAGE  \* MERGEFORMAT </w:instrText>
    </w:r>
    <w:r w:rsidRPr="001708D3">
      <w:rPr>
        <w:b/>
        <w:sz w:val="18"/>
      </w:rPr>
      <w:fldChar w:fldCharType="separate"/>
    </w:r>
    <w:r w:rsidRPr="001708D3">
      <w:rPr>
        <w:b/>
        <w:noProof/>
        <w:sz w:val="18"/>
      </w:rPr>
      <w:t>2</w:t>
    </w:r>
    <w:r w:rsidRPr="001708D3">
      <w:rPr>
        <w:b/>
        <w:sz w:val="18"/>
      </w:rPr>
      <w:fldChar w:fldCharType="end"/>
    </w:r>
    <w:r>
      <w:rPr>
        <w:b/>
        <w:sz w:val="18"/>
      </w:rPr>
      <w:tab/>
    </w:r>
    <w:r>
      <w:t>GE.21-10996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1F42" w14:textId="2203A185" w:rsidR="001708D3" w:rsidRPr="001708D3" w:rsidRDefault="001708D3" w:rsidP="001708D3">
    <w:pPr>
      <w:pStyle w:val="Pieddepage"/>
      <w:tabs>
        <w:tab w:val="right" w:pos="9638"/>
      </w:tabs>
      <w:rPr>
        <w:b/>
        <w:sz w:val="18"/>
      </w:rPr>
    </w:pPr>
    <w:r>
      <w:t>GE.21-10996</w:t>
    </w:r>
    <w:r>
      <w:tab/>
    </w:r>
    <w:r w:rsidRPr="001708D3">
      <w:rPr>
        <w:b/>
        <w:sz w:val="18"/>
      </w:rPr>
      <w:fldChar w:fldCharType="begin"/>
    </w:r>
    <w:r w:rsidRPr="001708D3">
      <w:rPr>
        <w:b/>
        <w:sz w:val="18"/>
      </w:rPr>
      <w:instrText xml:space="preserve"> PAGE  \* MERGEFORMAT </w:instrText>
    </w:r>
    <w:r w:rsidRPr="001708D3">
      <w:rPr>
        <w:b/>
        <w:sz w:val="18"/>
      </w:rPr>
      <w:fldChar w:fldCharType="separate"/>
    </w:r>
    <w:r w:rsidRPr="001708D3">
      <w:rPr>
        <w:b/>
        <w:noProof/>
        <w:sz w:val="18"/>
      </w:rPr>
      <w:t>3</w:t>
    </w:r>
    <w:r w:rsidRPr="001708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F586" w14:textId="0A4E6823" w:rsidR="007F20FA" w:rsidRPr="001708D3" w:rsidRDefault="001708D3" w:rsidP="001708D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322D6C6" wp14:editId="126189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21-10996  (F)</w:t>
    </w:r>
    <w:r>
      <w:rPr>
        <w:noProof/>
        <w:sz w:val="20"/>
      </w:rPr>
      <w:drawing>
        <wp:anchor distT="0" distB="0" distL="114300" distR="114300" simplePos="0" relativeHeight="251660288" behindDoc="0" locked="0" layoutInCell="1" allowOverlap="1" wp14:anchorId="28453013" wp14:editId="62A60CB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9A12" w14:textId="77777777" w:rsidR="0062304C" w:rsidRPr="00AC3823" w:rsidRDefault="0062304C" w:rsidP="00AC3823">
      <w:pPr>
        <w:pStyle w:val="Pieddepage"/>
        <w:tabs>
          <w:tab w:val="right" w:pos="2155"/>
        </w:tabs>
        <w:spacing w:after="80" w:line="240" w:lineRule="atLeast"/>
        <w:ind w:left="680"/>
        <w:rPr>
          <w:u w:val="single"/>
        </w:rPr>
      </w:pPr>
      <w:r>
        <w:rPr>
          <w:u w:val="single"/>
        </w:rPr>
        <w:tab/>
      </w:r>
    </w:p>
  </w:footnote>
  <w:footnote w:type="continuationSeparator" w:id="0">
    <w:p w14:paraId="4F79FB7E" w14:textId="77777777" w:rsidR="0062304C" w:rsidRPr="00AC3823" w:rsidRDefault="0062304C" w:rsidP="00AC3823">
      <w:pPr>
        <w:pStyle w:val="Pieddepage"/>
        <w:tabs>
          <w:tab w:val="right" w:pos="2155"/>
        </w:tabs>
        <w:spacing w:after="80" w:line="240" w:lineRule="atLeast"/>
        <w:ind w:left="680"/>
        <w:rPr>
          <w:u w:val="single"/>
        </w:rPr>
      </w:pPr>
      <w:r>
        <w:rPr>
          <w:u w:val="single"/>
        </w:rPr>
        <w:tab/>
      </w:r>
    </w:p>
  </w:footnote>
  <w:footnote w:type="continuationNotice" w:id="1">
    <w:p w14:paraId="693F8FA4" w14:textId="77777777" w:rsidR="0062304C" w:rsidRPr="00AC3823" w:rsidRDefault="0062304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D96F" w14:textId="01912F71" w:rsidR="001708D3" w:rsidRPr="001708D3" w:rsidRDefault="001708D3">
    <w:pPr>
      <w:pStyle w:val="En-tte"/>
    </w:pPr>
    <w:fldSimple w:instr=" TITLE  \* MERGEFORMAT ">
      <w:r>
        <w:t>ECE/TRANS/WP.11/2021/22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52BB" w14:textId="5925B0BF" w:rsidR="001708D3" w:rsidRPr="001708D3" w:rsidRDefault="001708D3" w:rsidP="001708D3">
    <w:pPr>
      <w:pStyle w:val="En-tte"/>
      <w:jc w:val="right"/>
    </w:pPr>
    <w:fldSimple w:instr=" TITLE  \* MERGEFORMAT ">
      <w:r>
        <w:t>ECE/TRANS/WP.11/2021/22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4C"/>
    <w:rsid w:val="00017F94"/>
    <w:rsid w:val="00023842"/>
    <w:rsid w:val="000334F9"/>
    <w:rsid w:val="00045FEB"/>
    <w:rsid w:val="0007796D"/>
    <w:rsid w:val="000B7790"/>
    <w:rsid w:val="00111F2F"/>
    <w:rsid w:val="0014365E"/>
    <w:rsid w:val="00143C66"/>
    <w:rsid w:val="001708D3"/>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0277"/>
    <w:rsid w:val="004E2EED"/>
    <w:rsid w:val="004E468C"/>
    <w:rsid w:val="005505B7"/>
    <w:rsid w:val="00573BE5"/>
    <w:rsid w:val="00586ED3"/>
    <w:rsid w:val="00596AA9"/>
    <w:rsid w:val="005B016B"/>
    <w:rsid w:val="0062304C"/>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DBE01"/>
  <w15:docId w15:val="{89F09ABB-FE1D-4222-AD05-400EA3C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708D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708D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1012</Words>
  <Characters>5509</Characters>
  <Application>Microsoft Office Word</Application>
  <DocSecurity>0</DocSecurity>
  <Lines>119</Lines>
  <Paragraphs>65</Paragraphs>
  <ScaleCrop>false</ScaleCrop>
  <HeadingPairs>
    <vt:vector size="2" baseType="variant">
      <vt:variant>
        <vt:lpstr>Titre</vt:lpstr>
      </vt:variant>
      <vt:variant>
        <vt:i4>1</vt:i4>
      </vt:variant>
    </vt:vector>
  </HeadingPairs>
  <TitlesOfParts>
    <vt:vector size="1" baseType="lpstr">
      <vt:lpstr>ECE/TRANS/WP.11/2021/22</vt:lpstr>
    </vt:vector>
  </TitlesOfParts>
  <Company>DCM</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ECE/TRANS/WP.11/2021/22</dc:title>
  <dc:subject/>
  <dc:creator>Sandrine CLERE</dc:creator>
  <cp:keywords/>
  <cp:lastModifiedBy>Sandrine Clere</cp:lastModifiedBy>
  <cp:revision>2</cp:revision>
  <cp:lastPrinted>2014-05-14T10:59:00Z</cp:lastPrinted>
  <dcterms:created xsi:type="dcterms:W3CDTF">2021-09-07T11:52:00Z</dcterms:created>
  <dcterms:modified xsi:type="dcterms:W3CDTF">2021-09-07T11:52:00Z</dcterms:modified>
</cp:coreProperties>
</file>