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7EB4C97F" w14:textId="77777777" w:rsidTr="00B20551">
        <w:trPr>
          <w:cantSplit/>
          <w:trHeight w:hRule="exact" w:val="851"/>
        </w:trPr>
        <w:tc>
          <w:tcPr>
            <w:tcW w:w="1276" w:type="dxa"/>
            <w:tcBorders>
              <w:bottom w:val="single" w:sz="4" w:space="0" w:color="auto"/>
            </w:tcBorders>
            <w:vAlign w:val="bottom"/>
          </w:tcPr>
          <w:p w14:paraId="669ED958" w14:textId="77777777" w:rsidR="009E6CB7" w:rsidRDefault="009E6CB7" w:rsidP="00B20551">
            <w:pPr>
              <w:spacing w:after="80"/>
            </w:pPr>
          </w:p>
        </w:tc>
        <w:tc>
          <w:tcPr>
            <w:tcW w:w="2268" w:type="dxa"/>
            <w:tcBorders>
              <w:bottom w:val="single" w:sz="4" w:space="0" w:color="auto"/>
            </w:tcBorders>
            <w:vAlign w:val="bottom"/>
          </w:tcPr>
          <w:p w14:paraId="7704F416"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414D825" w14:textId="13882782" w:rsidR="009E6CB7" w:rsidRPr="00D47EEA" w:rsidRDefault="00063DC7" w:rsidP="00063DC7">
            <w:pPr>
              <w:jc w:val="right"/>
            </w:pPr>
            <w:r w:rsidRPr="00063DC7">
              <w:rPr>
                <w:sz w:val="40"/>
              </w:rPr>
              <w:t>ECE</w:t>
            </w:r>
            <w:r>
              <w:t>/TRANS/WP.11/2021/</w:t>
            </w:r>
            <w:r w:rsidR="00F52B34">
              <w:t>2</w:t>
            </w:r>
            <w:r w:rsidR="00557423">
              <w:t>1</w:t>
            </w:r>
          </w:p>
        </w:tc>
      </w:tr>
      <w:tr w:rsidR="009E6CB7" w14:paraId="6AB688B7" w14:textId="77777777" w:rsidTr="00B20551">
        <w:trPr>
          <w:cantSplit/>
          <w:trHeight w:hRule="exact" w:val="2835"/>
        </w:trPr>
        <w:tc>
          <w:tcPr>
            <w:tcW w:w="1276" w:type="dxa"/>
            <w:tcBorders>
              <w:top w:val="single" w:sz="4" w:space="0" w:color="auto"/>
              <w:bottom w:val="single" w:sz="12" w:space="0" w:color="auto"/>
            </w:tcBorders>
          </w:tcPr>
          <w:p w14:paraId="78A306F8" w14:textId="77777777" w:rsidR="009E6CB7" w:rsidRDefault="00686A48" w:rsidP="00B20551">
            <w:pPr>
              <w:spacing w:before="120"/>
            </w:pPr>
            <w:r>
              <w:rPr>
                <w:noProof/>
                <w:lang w:val="fr-CH" w:eastAsia="fr-CH"/>
              </w:rPr>
              <w:drawing>
                <wp:inline distT="0" distB="0" distL="0" distR="0" wp14:anchorId="78DCBA2E" wp14:editId="46DF69B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14F3F6C"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DE2A7F9" w14:textId="77777777" w:rsidR="009E6CB7" w:rsidRDefault="00063DC7" w:rsidP="00063DC7">
            <w:pPr>
              <w:spacing w:before="240" w:line="240" w:lineRule="exact"/>
            </w:pPr>
            <w:r>
              <w:t>Distr.: General</w:t>
            </w:r>
          </w:p>
          <w:p w14:paraId="7302F1F1" w14:textId="4125EAAE" w:rsidR="00063DC7" w:rsidRDefault="00676538" w:rsidP="00063DC7">
            <w:pPr>
              <w:spacing w:line="240" w:lineRule="exact"/>
            </w:pPr>
            <w:r>
              <w:t xml:space="preserve">10 </w:t>
            </w:r>
            <w:r w:rsidR="00063DC7">
              <w:t>August 2021</w:t>
            </w:r>
          </w:p>
          <w:p w14:paraId="0C3E3A73" w14:textId="77777777" w:rsidR="00063DC7" w:rsidRDefault="00063DC7" w:rsidP="00063DC7">
            <w:pPr>
              <w:spacing w:line="240" w:lineRule="exact"/>
            </w:pPr>
          </w:p>
          <w:p w14:paraId="7840D84A" w14:textId="4A550F90" w:rsidR="00063DC7" w:rsidRDefault="00063DC7" w:rsidP="00063DC7">
            <w:pPr>
              <w:spacing w:line="240" w:lineRule="exact"/>
            </w:pPr>
            <w:r>
              <w:t>Original: English</w:t>
            </w:r>
          </w:p>
        </w:tc>
      </w:tr>
    </w:tbl>
    <w:p w14:paraId="2A6CD6E4" w14:textId="77777777" w:rsidR="001F5F94" w:rsidRDefault="001F5F94" w:rsidP="001F5F94">
      <w:pPr>
        <w:spacing w:before="120"/>
        <w:rPr>
          <w:b/>
          <w:sz w:val="28"/>
          <w:szCs w:val="28"/>
        </w:rPr>
      </w:pPr>
      <w:r w:rsidRPr="00832334">
        <w:rPr>
          <w:b/>
          <w:sz w:val="28"/>
          <w:szCs w:val="28"/>
        </w:rPr>
        <w:t>Economic Commission for Europe</w:t>
      </w:r>
    </w:p>
    <w:p w14:paraId="2C7CB3AF" w14:textId="77777777" w:rsidR="001F5F94" w:rsidRPr="008F31D2" w:rsidRDefault="001F5F94" w:rsidP="001F5F94">
      <w:pPr>
        <w:spacing w:before="120"/>
        <w:rPr>
          <w:sz w:val="28"/>
          <w:szCs w:val="28"/>
        </w:rPr>
      </w:pPr>
      <w:r>
        <w:rPr>
          <w:sz w:val="28"/>
          <w:szCs w:val="28"/>
        </w:rPr>
        <w:t>Inland Transport Committee</w:t>
      </w:r>
    </w:p>
    <w:p w14:paraId="470605A8" w14:textId="77777777" w:rsidR="001F5F94" w:rsidRDefault="001F5F94" w:rsidP="001F5F94">
      <w:pPr>
        <w:spacing w:before="120"/>
        <w:rPr>
          <w:b/>
          <w:sz w:val="24"/>
          <w:szCs w:val="24"/>
        </w:rPr>
      </w:pPr>
      <w:r>
        <w:rPr>
          <w:b/>
          <w:sz w:val="24"/>
          <w:szCs w:val="24"/>
        </w:rPr>
        <w:t>Working Party on the Transport of Perishable Foodstuffs</w:t>
      </w:r>
    </w:p>
    <w:p w14:paraId="4D13EA01" w14:textId="31983A55" w:rsidR="001F5F94" w:rsidRDefault="001F5F94" w:rsidP="001F5F94">
      <w:pPr>
        <w:spacing w:before="120"/>
        <w:rPr>
          <w:b/>
        </w:rPr>
      </w:pPr>
      <w:r>
        <w:rPr>
          <w:b/>
        </w:rPr>
        <w:t>Seventy-seventh session</w:t>
      </w:r>
    </w:p>
    <w:p w14:paraId="1004F864" w14:textId="603436F5" w:rsidR="001F5F94" w:rsidRDefault="001F5F94" w:rsidP="001F5F94">
      <w:r>
        <w:t>Geneva, 26-29 October 2021</w:t>
      </w:r>
    </w:p>
    <w:p w14:paraId="4E74A5A2" w14:textId="77777777" w:rsidR="00123C20" w:rsidRDefault="00123C20" w:rsidP="00123C20">
      <w:r>
        <w:t xml:space="preserve">Item </w:t>
      </w:r>
      <w:r>
        <w:rPr>
          <w:bCs/>
        </w:rPr>
        <w:t xml:space="preserve">4 (f) </w:t>
      </w:r>
      <w:r>
        <w:t>of the provisional agenda</w:t>
      </w:r>
    </w:p>
    <w:p w14:paraId="09280B2A" w14:textId="542433A1" w:rsidR="007F7AB8" w:rsidRPr="0088152B" w:rsidRDefault="007F7AB8" w:rsidP="007F7AB8">
      <w:pPr>
        <w:rPr>
          <w:b/>
        </w:rPr>
      </w:pPr>
      <w:r w:rsidRPr="000569A1">
        <w:rPr>
          <w:b/>
          <w:bCs/>
        </w:rPr>
        <w:t xml:space="preserve">Status and implementation of the Agreement on the International </w:t>
      </w:r>
      <w:r w:rsidRPr="000569A1">
        <w:rPr>
          <w:b/>
          <w:bCs/>
        </w:rPr>
        <w:br/>
        <w:t xml:space="preserve">Carriage of Perishable Foodstuffs and on the Special Equipment </w:t>
      </w:r>
      <w:r w:rsidRPr="000569A1">
        <w:rPr>
          <w:b/>
          <w:bCs/>
        </w:rPr>
        <w:br/>
        <w:t>to be Used for such Carriage (ATP):</w:t>
      </w:r>
      <w:r w:rsidRPr="00F62256">
        <w:rPr>
          <w:b/>
          <w:bCs/>
        </w:rPr>
        <w:br/>
      </w:r>
      <w:r w:rsidRPr="000569A1">
        <w:rPr>
          <w:b/>
          <w:bCs/>
        </w:rPr>
        <w:t>interpretation of ATP</w:t>
      </w:r>
    </w:p>
    <w:p w14:paraId="20CDDC0E" w14:textId="64C49786" w:rsidR="001F5F94" w:rsidRPr="008C5ED5" w:rsidRDefault="001F5F94" w:rsidP="000623D5">
      <w:pPr>
        <w:pStyle w:val="HChG"/>
      </w:pPr>
      <w:r>
        <w:tab/>
      </w:r>
      <w:r>
        <w:tab/>
      </w:r>
      <w:r w:rsidR="00EE44A0">
        <w:rPr>
          <w:lang w:val="en-US"/>
        </w:rPr>
        <w:t>Discussion document on K Value</w:t>
      </w:r>
    </w:p>
    <w:p w14:paraId="147FD1D1" w14:textId="3BA08B10" w:rsidR="001F5F94" w:rsidRPr="00827024" w:rsidRDefault="001F5F94" w:rsidP="001F5F94">
      <w:pPr>
        <w:pStyle w:val="H1G"/>
        <w:rPr>
          <w:lang w:val="en-US"/>
        </w:rPr>
      </w:pPr>
      <w:r>
        <w:rPr>
          <w:lang w:val="en-US"/>
        </w:rPr>
        <w:tab/>
      </w:r>
      <w:r>
        <w:rPr>
          <w:lang w:val="en-US"/>
        </w:rPr>
        <w:tab/>
      </w:r>
      <w:r w:rsidR="007345D7">
        <w:t>Submitted</w:t>
      </w:r>
      <w:r w:rsidR="007345D7" w:rsidRPr="003425A2">
        <w:t xml:space="preserve"> by the </w:t>
      </w:r>
      <w:r w:rsidR="000B79A2">
        <w:t xml:space="preserve">Government of the </w:t>
      </w:r>
      <w:r w:rsidR="00847F20" w:rsidRPr="00DB4C7D">
        <w:t>United Kingdom</w:t>
      </w:r>
      <w:r w:rsidR="000B79A2">
        <w:t xml:space="preserve"> </w:t>
      </w:r>
    </w:p>
    <w:p w14:paraId="06A0F268" w14:textId="69C7D7FB" w:rsidR="001F5F94" w:rsidRDefault="001F5F94" w:rsidP="001F5F94">
      <w:pPr>
        <w:pStyle w:val="HChG"/>
      </w:pPr>
      <w:r>
        <w:tab/>
      </w:r>
      <w:r>
        <w:tab/>
      </w:r>
      <w:r w:rsidRPr="008D01B2">
        <w:t>Introduction</w:t>
      </w:r>
    </w:p>
    <w:p w14:paraId="4B37273C" w14:textId="09713AF0" w:rsidR="0026238C" w:rsidRDefault="0026238C" w:rsidP="0026238C">
      <w:pPr>
        <w:pStyle w:val="SingleTxtG"/>
      </w:pPr>
      <w:r>
        <w:t>1.</w:t>
      </w:r>
      <w:r>
        <w:tab/>
        <w:t>According to Annex 1, Appendix 2:</w:t>
      </w:r>
    </w:p>
    <w:p w14:paraId="0ED4DBDD" w14:textId="77777777" w:rsidR="0026238C" w:rsidRDefault="0026238C" w:rsidP="0026238C">
      <w:pPr>
        <w:pStyle w:val="SingleTxtG"/>
      </w:pPr>
      <w:r>
        <w:t>“</w:t>
      </w:r>
      <w:r>
        <w:rPr>
          <w:i/>
        </w:rPr>
        <w:t>If the refrigerating appliance with all its accessories has undergone separately, to the satisfaction of the competent authority, a test to determine its effective refrigerating capacity at the prescribed reference temperatures, the transport equipment may be accepted as mechanically refrigerated equipment without undergoing an efficiency test if the effective refrigerating capacity of the appliance in continuous operation exceeds the heat loss through the walls for the class under consideration, multiplied by the factor 1.75.</w:t>
      </w:r>
      <w:r>
        <w:t>”</w:t>
      </w:r>
    </w:p>
    <w:p w14:paraId="7A476C1E" w14:textId="3699C514" w:rsidR="0026238C" w:rsidRDefault="00DA4153" w:rsidP="0026238C">
      <w:pPr>
        <w:pStyle w:val="SingleTxtG"/>
      </w:pPr>
      <w:r>
        <w:t>2.</w:t>
      </w:r>
      <w:r>
        <w:tab/>
      </w:r>
      <w:r w:rsidR="0026238C">
        <w:t>“…heat loss through the walls” refers to the heat transfer across the walls of the equipment. This is calculated using a rearrangement of the equation for overall heat transfer coefficient, K, given in paragraph 1.1 of the same appendix.</w:t>
      </w:r>
    </w:p>
    <w:tbl>
      <w:tblPr>
        <w:tblW w:w="0" w:type="auto"/>
        <w:tblLook w:val="04A0" w:firstRow="1" w:lastRow="0" w:firstColumn="1" w:lastColumn="0" w:noHBand="0" w:noVBand="1"/>
      </w:tblPr>
      <w:tblGrid>
        <w:gridCol w:w="3005"/>
        <w:gridCol w:w="3005"/>
        <w:gridCol w:w="3006"/>
      </w:tblGrid>
      <w:tr w:rsidR="0026238C" w14:paraId="4F214F96" w14:textId="77777777" w:rsidTr="00057B05">
        <w:trPr>
          <w:trHeight w:val="730"/>
        </w:trPr>
        <w:tc>
          <w:tcPr>
            <w:tcW w:w="3005" w:type="dxa"/>
            <w:shd w:val="clear" w:color="auto" w:fill="auto"/>
          </w:tcPr>
          <w:p w14:paraId="210BB14A" w14:textId="77777777" w:rsidR="0026238C" w:rsidRPr="00E24679" w:rsidRDefault="0026238C" w:rsidP="0026238C">
            <w:pPr>
              <w:pStyle w:val="SingleTxtG"/>
            </w:pPr>
          </w:p>
        </w:tc>
        <w:tc>
          <w:tcPr>
            <w:tcW w:w="3005" w:type="dxa"/>
            <w:shd w:val="clear" w:color="auto" w:fill="auto"/>
          </w:tcPr>
          <w:p w14:paraId="589D170F" w14:textId="77777777" w:rsidR="0026238C" w:rsidRPr="006D48CC" w:rsidRDefault="0026238C" w:rsidP="0026238C">
            <w:pPr>
              <w:pStyle w:val="SingleTxtG"/>
            </w:pPr>
            <m:oMathPara>
              <m:oMath>
                <m:r>
                  <w:rPr>
                    <w:rFonts w:ascii="Cambria Math" w:hAnsi="Cambria Math"/>
                  </w:rPr>
                  <m:t xml:space="preserve">K= </m:t>
                </m:r>
                <m:f>
                  <m:fPr>
                    <m:ctrlPr>
                      <w:rPr>
                        <w:rFonts w:ascii="Cambria Math" w:hAnsi="Cambria Math"/>
                        <w:i/>
                      </w:rPr>
                    </m:ctrlPr>
                  </m:fPr>
                  <m:num>
                    <m:r>
                      <w:rPr>
                        <w:rFonts w:ascii="Cambria Math" w:hAnsi="Cambria Math"/>
                      </w:rPr>
                      <m:t>W</m:t>
                    </m:r>
                  </m:num>
                  <m:den>
                    <m:r>
                      <w:rPr>
                        <w:rFonts w:ascii="Cambria Math" w:hAnsi="Cambria Math"/>
                      </w:rPr>
                      <m:t>S·∆T</m:t>
                    </m:r>
                  </m:den>
                </m:f>
              </m:oMath>
            </m:oMathPara>
          </w:p>
        </w:tc>
        <w:tc>
          <w:tcPr>
            <w:tcW w:w="3006" w:type="dxa"/>
            <w:shd w:val="clear" w:color="auto" w:fill="auto"/>
          </w:tcPr>
          <w:p w14:paraId="63F5288B" w14:textId="77777777" w:rsidR="0026238C" w:rsidRPr="00E24679" w:rsidRDefault="0026238C" w:rsidP="0026238C">
            <w:pPr>
              <w:pStyle w:val="SingleTxtG"/>
            </w:pPr>
            <w:r w:rsidRPr="00E24679">
              <w:t>Equ.1</w:t>
            </w:r>
          </w:p>
        </w:tc>
      </w:tr>
    </w:tbl>
    <w:p w14:paraId="5EE1198D" w14:textId="4B025212" w:rsidR="0026238C" w:rsidRDefault="00DA4153" w:rsidP="0026238C">
      <w:pPr>
        <w:pStyle w:val="SingleTxtG"/>
      </w:pPr>
      <w:r>
        <w:t>3.</w:t>
      </w:r>
      <w:r>
        <w:tab/>
      </w:r>
      <w:r w:rsidR="0026238C">
        <w:t>With power input W, mean surface area S and temperature difference ΔT. This can be rearranged for heat loss through the walls as follows:</w:t>
      </w:r>
    </w:p>
    <w:tbl>
      <w:tblPr>
        <w:tblW w:w="0" w:type="auto"/>
        <w:tblLook w:val="04A0" w:firstRow="1" w:lastRow="0" w:firstColumn="1" w:lastColumn="0" w:noHBand="0" w:noVBand="1"/>
      </w:tblPr>
      <w:tblGrid>
        <w:gridCol w:w="3005"/>
        <w:gridCol w:w="3005"/>
        <w:gridCol w:w="3006"/>
      </w:tblGrid>
      <w:tr w:rsidR="0026238C" w14:paraId="5810CF8C" w14:textId="77777777" w:rsidTr="00057B05">
        <w:tc>
          <w:tcPr>
            <w:tcW w:w="3005" w:type="dxa"/>
            <w:shd w:val="clear" w:color="auto" w:fill="auto"/>
          </w:tcPr>
          <w:p w14:paraId="56C9C842" w14:textId="77777777" w:rsidR="0026238C" w:rsidRPr="00E24679" w:rsidRDefault="0026238C" w:rsidP="0026238C">
            <w:pPr>
              <w:pStyle w:val="SingleTxtG"/>
            </w:pPr>
          </w:p>
        </w:tc>
        <w:tc>
          <w:tcPr>
            <w:tcW w:w="3005" w:type="dxa"/>
            <w:shd w:val="clear" w:color="auto" w:fill="auto"/>
          </w:tcPr>
          <w:p w14:paraId="16147E18" w14:textId="77777777" w:rsidR="0026238C" w:rsidRPr="006D48CC" w:rsidRDefault="0026238C" w:rsidP="00DA4153">
            <w:pPr>
              <w:pStyle w:val="SingleTxtG"/>
              <w:ind w:left="291"/>
            </w:pPr>
            <m:oMathPara>
              <m:oMath>
                <m:r>
                  <w:rPr>
                    <w:rFonts w:ascii="Cambria Math" w:hAnsi="Cambria Math"/>
                  </w:rPr>
                  <m:t>W=K·S·∆T</m:t>
                </m:r>
              </m:oMath>
            </m:oMathPara>
          </w:p>
        </w:tc>
        <w:tc>
          <w:tcPr>
            <w:tcW w:w="3006" w:type="dxa"/>
            <w:shd w:val="clear" w:color="auto" w:fill="auto"/>
          </w:tcPr>
          <w:p w14:paraId="2B362AB3" w14:textId="77777777" w:rsidR="0026238C" w:rsidRPr="00E24679" w:rsidRDefault="0026238C" w:rsidP="0026238C">
            <w:pPr>
              <w:pStyle w:val="SingleTxtG"/>
            </w:pPr>
            <w:r w:rsidRPr="00E24679">
              <w:t>Equ.2</w:t>
            </w:r>
          </w:p>
        </w:tc>
      </w:tr>
    </w:tbl>
    <w:p w14:paraId="7A2318E1" w14:textId="5152D335" w:rsidR="0026238C" w:rsidRDefault="00DA4153" w:rsidP="0026238C">
      <w:pPr>
        <w:pStyle w:val="SingleTxtG"/>
      </w:pPr>
      <w:r>
        <w:t>4.</w:t>
      </w:r>
      <w:r>
        <w:tab/>
      </w:r>
      <w:r w:rsidR="0026238C">
        <w:t>Here, both S and K are specific to the considered equipment as these are both measured and calculated respectively to ensure compliance. ΔT is the difference between 30</w:t>
      </w:r>
      <w:r w:rsidR="00486BC2">
        <w:t> </w:t>
      </w:r>
      <w:r w:rsidR="0026238C">
        <w:t>°C and the class temperature. For class C this is 50 K and for class A, 30 K.</w:t>
      </w:r>
    </w:p>
    <w:p w14:paraId="1E62FBDA" w14:textId="77777777" w:rsidR="0026238C" w:rsidRDefault="0026238C" w:rsidP="0026238C">
      <w:pPr>
        <w:pStyle w:val="SingleTxtG"/>
      </w:pPr>
      <w:r>
        <w:t>“</w:t>
      </w:r>
      <w:r w:rsidRPr="0056110D">
        <w:rPr>
          <w:i/>
        </w:rPr>
        <w:t>The nominal refrigerating capacity of the multi-temperature refrigeration unit shall be at least equal to the heat loss through the outer body walls of the equipment as a whole multiplied by the factor 1.75 as specified in paragraph 3.2.6 of this appendix.</w:t>
      </w:r>
      <w:r>
        <w:t>”</w:t>
      </w:r>
    </w:p>
    <w:p w14:paraId="5664A160" w14:textId="4D373DB0" w:rsidR="0026238C" w:rsidRDefault="00A10141" w:rsidP="00A10141">
      <w:pPr>
        <w:pStyle w:val="H1G"/>
      </w:pPr>
      <w:r>
        <w:lastRenderedPageBreak/>
        <w:tab/>
      </w:r>
      <w:r>
        <w:tab/>
      </w:r>
      <w:r w:rsidR="0026238C">
        <w:t>Annex 1, Appendix 2, p</w:t>
      </w:r>
      <w:r w:rsidR="008E480C">
        <w:t>aragraph</w:t>
      </w:r>
      <w:r>
        <w:t xml:space="preserve"> </w:t>
      </w:r>
      <w:r w:rsidR="0026238C">
        <w:t>7.3.1</w:t>
      </w:r>
    </w:p>
    <w:p w14:paraId="410A8E2A" w14:textId="07BDA79E" w:rsidR="0026238C" w:rsidRDefault="00A10141" w:rsidP="0026238C">
      <w:pPr>
        <w:pStyle w:val="SingleTxtG"/>
      </w:pPr>
      <w:r>
        <w:t>5.</w:t>
      </w:r>
      <w:r>
        <w:tab/>
      </w:r>
      <w:r w:rsidR="0026238C">
        <w:t xml:space="preserve">The differing wording, </w:t>
      </w:r>
      <w:r w:rsidR="00220888">
        <w:t>i.e.</w:t>
      </w:r>
      <w:r w:rsidR="0026238C">
        <w:t xml:space="preserve"> “</w:t>
      </w:r>
      <w:r w:rsidR="0026238C">
        <w:rPr>
          <w:i/>
        </w:rPr>
        <w:t>heat loss through outer body walls</w:t>
      </w:r>
      <w:r w:rsidR="0026238C">
        <w:t>” versus “</w:t>
      </w:r>
      <w:r w:rsidR="0026238C">
        <w:rPr>
          <w:i/>
        </w:rPr>
        <w:t>heat loss through the walls for the class under consideration</w:t>
      </w:r>
      <w:r w:rsidR="0026238C">
        <w:t>” arises not because of a different calculation method, but rather the requirement of multi-temperature multi-compartment (MTMC) equipment having an outer body K ≤ 0.40 W</w:t>
      </w:r>
      <w:r w:rsidR="00BB7B54">
        <w:t> </w:t>
      </w:r>
      <w:r w:rsidR="0026238C">
        <w:t>m</w:t>
      </w:r>
      <w:r w:rsidR="0026238C">
        <w:rPr>
          <w:vertAlign w:val="superscript"/>
        </w:rPr>
        <w:t>-2</w:t>
      </w:r>
      <w:r w:rsidR="00BB7B54">
        <w:rPr>
          <w:vertAlign w:val="superscript"/>
        </w:rPr>
        <w:t> </w:t>
      </w:r>
      <w:r w:rsidR="0026238C">
        <w:t>K</w:t>
      </w:r>
      <w:r w:rsidR="0026238C">
        <w:rPr>
          <w:vertAlign w:val="superscript"/>
        </w:rPr>
        <w:t>-1</w:t>
      </w:r>
      <w:r w:rsidR="0026238C">
        <w:t>. According to Annex 1, paragraph 2, temperature classes B and C, -10 and -20</w:t>
      </w:r>
      <w:r w:rsidR="004F65AE">
        <w:t> </w:t>
      </w:r>
      <w:r w:rsidR="0026238C">
        <w:t xml:space="preserve">°C respectively, require </w:t>
      </w:r>
      <w:r w:rsidR="004F65AE">
        <w:br/>
      </w:r>
      <w:r w:rsidR="0026238C">
        <w:t>K</w:t>
      </w:r>
      <w:r w:rsidR="00BB7B54">
        <w:t> </w:t>
      </w:r>
      <w:r w:rsidR="0026238C">
        <w:t>≤</w:t>
      </w:r>
      <w:r w:rsidR="00BB7B54">
        <w:t> </w:t>
      </w:r>
      <w:r w:rsidR="0026238C">
        <w:t>0.40</w:t>
      </w:r>
      <w:r w:rsidR="00BB7B54">
        <w:t> </w:t>
      </w:r>
      <w:r w:rsidR="0026238C">
        <w:t>W</w:t>
      </w:r>
      <w:r w:rsidR="00BB7B54">
        <w:t> </w:t>
      </w:r>
      <w:r w:rsidR="0026238C">
        <w:t>m</w:t>
      </w:r>
      <w:r w:rsidR="009A6C49" w:rsidRPr="009A6C49">
        <w:rPr>
          <w:vertAlign w:val="superscript"/>
        </w:rPr>
        <w:t>-</w:t>
      </w:r>
      <w:r w:rsidR="0026238C">
        <w:rPr>
          <w:vertAlign w:val="superscript"/>
        </w:rPr>
        <w:t>2</w:t>
      </w:r>
      <w:r w:rsidR="009A6C49">
        <w:t> </w:t>
      </w:r>
      <w:r w:rsidR="0026238C">
        <w:t>K</w:t>
      </w:r>
      <w:r w:rsidR="0026238C">
        <w:rPr>
          <w:vertAlign w:val="superscript"/>
        </w:rPr>
        <w:t>-1</w:t>
      </w:r>
      <w:r w:rsidR="0026238C">
        <w:t xml:space="preserve">. </w:t>
      </w:r>
    </w:p>
    <w:p w14:paraId="18296E2B" w14:textId="54A9A1E2" w:rsidR="0026238C" w:rsidRDefault="00A10141" w:rsidP="0026238C">
      <w:pPr>
        <w:pStyle w:val="SingleTxtG"/>
      </w:pPr>
      <w:r>
        <w:t>6.</w:t>
      </w:r>
      <w:r>
        <w:tab/>
      </w:r>
      <w:r w:rsidR="0026238C">
        <w:t>Further, the methodologies of Annex 1, Appendix 2, paragraphs 7.2.2 – 7.2.4 require operation at -20</w:t>
      </w:r>
      <w:r w:rsidR="00930A2C">
        <w:t> </w:t>
      </w:r>
      <w:r w:rsidR="0026238C">
        <w:t>°C from each evaporator of an MTMC system, therefore all MTMC refrigeration systems are class C according to Annex 1, paragraph 3. The words “</w:t>
      </w:r>
      <w:r w:rsidR="0026238C">
        <w:rPr>
          <w:i/>
        </w:rPr>
        <w:t>class under consideration</w:t>
      </w:r>
      <w:r w:rsidR="0026238C">
        <w:t xml:space="preserve">” are superfluous as a refrigeration system of any other class cannot complete the testing requirements for MTMC. </w:t>
      </w:r>
    </w:p>
    <w:p w14:paraId="6B6E06AA" w14:textId="72D5A6F1" w:rsidR="0026238C" w:rsidRDefault="005D70C3" w:rsidP="0026238C">
      <w:pPr>
        <w:pStyle w:val="SingleTxtG"/>
      </w:pPr>
      <w:r>
        <w:t>7.</w:t>
      </w:r>
      <w:r>
        <w:tab/>
      </w:r>
      <w:r w:rsidR="0026238C">
        <w:t>This means that the ΔT in equation 2, for an MTMC system, is always 50</w:t>
      </w:r>
      <w:r w:rsidR="00BB7B54">
        <w:t> </w:t>
      </w:r>
      <w:r w:rsidR="0026238C">
        <w:t>K. The K and S values are then dependent upon the nature of the equipment used. If this were not the case the minimum required refrigerating capacity would simply be equal to the mean surface area of the body multiplied by 35.</w:t>
      </w:r>
    </w:p>
    <w:p w14:paraId="370D1280" w14:textId="076732C5" w:rsidR="0026238C" w:rsidRDefault="005D70C3" w:rsidP="0026238C">
      <w:pPr>
        <w:pStyle w:val="SingleTxtG"/>
      </w:pPr>
      <w:r>
        <w:t>8.</w:t>
      </w:r>
      <w:r>
        <w:tab/>
      </w:r>
      <w:r w:rsidR="0026238C">
        <w:t>The veracity of the above interpretation is further proven by the inequality of Annex 1, Appendix 2, part 7.3.2:</w:t>
      </w:r>
    </w:p>
    <w:tbl>
      <w:tblPr>
        <w:tblW w:w="0" w:type="auto"/>
        <w:tblLook w:val="04A0" w:firstRow="1" w:lastRow="0" w:firstColumn="1" w:lastColumn="0" w:noHBand="0" w:noVBand="1"/>
      </w:tblPr>
      <w:tblGrid>
        <w:gridCol w:w="721"/>
        <w:gridCol w:w="5961"/>
        <w:gridCol w:w="2957"/>
      </w:tblGrid>
      <w:tr w:rsidR="0026238C" w14:paraId="6E0B2633" w14:textId="77777777" w:rsidTr="005D70C3">
        <w:tc>
          <w:tcPr>
            <w:tcW w:w="721" w:type="dxa"/>
            <w:shd w:val="clear" w:color="auto" w:fill="auto"/>
          </w:tcPr>
          <w:p w14:paraId="048564C4" w14:textId="77777777" w:rsidR="0026238C" w:rsidRPr="00E24679" w:rsidRDefault="0026238C" w:rsidP="0026238C">
            <w:pPr>
              <w:pStyle w:val="SingleTxtG"/>
            </w:pPr>
          </w:p>
        </w:tc>
        <w:tc>
          <w:tcPr>
            <w:tcW w:w="5961" w:type="dxa"/>
            <w:shd w:val="clear" w:color="auto" w:fill="auto"/>
          </w:tcPr>
          <w:p w14:paraId="0C7755C0" w14:textId="77777777" w:rsidR="0026238C" w:rsidRPr="006D48CC" w:rsidRDefault="00385E0B" w:rsidP="0026238C">
            <w:pPr>
              <w:pStyle w:val="SingleTxtG"/>
            </w:pPr>
            <m:oMathPara>
              <m:oMath>
                <m:sSub>
                  <m:sSubPr>
                    <m:ctrlPr>
                      <w:rPr>
                        <w:rFonts w:ascii="Cambria Math" w:hAnsi="Cambria Math"/>
                        <w:i/>
                      </w:rPr>
                    </m:ctrlPr>
                  </m:sSubPr>
                  <m:e>
                    <m:r>
                      <w:rPr>
                        <w:rFonts w:ascii="Cambria Math" w:hAnsi="Cambria Math"/>
                      </w:rPr>
                      <m:t>P</m:t>
                    </m:r>
                  </m:e>
                  <m:sub>
                    <m:r>
                      <w:rPr>
                        <w:rFonts w:ascii="Cambria Math" w:hAnsi="Cambria Math"/>
                      </w:rPr>
                      <m:t>nominal</m:t>
                    </m:r>
                  </m:sub>
                </m:sSub>
                <m:r>
                  <w:rPr>
                    <w:rFonts w:ascii="Cambria Math" w:hAnsi="Cambria Math"/>
                  </w:rPr>
                  <m:t>&gt;1.75·</m:t>
                </m:r>
                <m:sSub>
                  <m:sSubPr>
                    <m:ctrlPr>
                      <w:rPr>
                        <w:rFonts w:ascii="Cambria Math" w:hAnsi="Cambria Math"/>
                        <w:i/>
                      </w:rPr>
                    </m:ctrlPr>
                  </m:sSubPr>
                  <m:e>
                    <m:r>
                      <w:rPr>
                        <w:rFonts w:ascii="Cambria Math" w:hAnsi="Cambria Math"/>
                      </w:rPr>
                      <m:t>K</m:t>
                    </m:r>
                  </m:e>
                  <m:sub>
                    <m:r>
                      <w:rPr>
                        <w:rFonts w:ascii="Cambria Math" w:hAnsi="Cambria Math"/>
                      </w:rPr>
                      <m:t>body</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body</m:t>
                    </m:r>
                  </m:sub>
                </m:sSub>
                <m:r>
                  <w:rPr>
                    <w:rFonts w:ascii="Cambria Math" w:hAnsi="Cambria Math"/>
                  </w:rPr>
                  <m:t>·∆T</m:t>
                </m:r>
              </m:oMath>
            </m:oMathPara>
          </w:p>
        </w:tc>
        <w:tc>
          <w:tcPr>
            <w:tcW w:w="2957" w:type="dxa"/>
            <w:shd w:val="clear" w:color="auto" w:fill="auto"/>
          </w:tcPr>
          <w:p w14:paraId="5921501C" w14:textId="77777777" w:rsidR="0026238C" w:rsidRPr="00E24679" w:rsidRDefault="0026238C" w:rsidP="0026238C">
            <w:pPr>
              <w:pStyle w:val="SingleTxtG"/>
            </w:pPr>
            <w:r w:rsidRPr="00E24679">
              <w:t>Equ.3</w:t>
            </w:r>
          </w:p>
        </w:tc>
      </w:tr>
    </w:tbl>
    <w:p w14:paraId="7AE10382" w14:textId="68039CE7" w:rsidR="0026238C" w:rsidRDefault="005D70C3" w:rsidP="0026238C">
      <w:pPr>
        <w:pStyle w:val="SingleTxtG"/>
      </w:pPr>
      <w:r>
        <w:t>9.</w:t>
      </w:r>
      <w:r>
        <w:tab/>
      </w:r>
      <w:r w:rsidR="0026238C">
        <w:t>Where K and has the body subscript and is defined as “</w:t>
      </w:r>
      <w:r w:rsidR="0026238C">
        <w:rPr>
          <w:i/>
        </w:rPr>
        <w:t>the K value of the outer body</w:t>
      </w:r>
      <w:r w:rsidR="0026238C">
        <w:t xml:space="preserve">”. </w:t>
      </w:r>
      <w:proofErr w:type="spellStart"/>
      <w:r w:rsidR="0026238C">
        <w:t>P</w:t>
      </w:r>
      <w:r w:rsidR="0026238C">
        <w:rPr>
          <w:vertAlign w:val="subscript"/>
        </w:rPr>
        <w:t>nominal</w:t>
      </w:r>
      <w:proofErr w:type="spellEnd"/>
      <w:r w:rsidR="0026238C">
        <w:rPr>
          <w:vertAlign w:val="subscript"/>
        </w:rPr>
        <w:softHyphen/>
      </w:r>
      <w:r w:rsidR="0026238C">
        <w:t xml:space="preserve"> is the “</w:t>
      </w:r>
      <w:r w:rsidR="0026238C">
        <w:rPr>
          <w:i/>
        </w:rPr>
        <w:t>nominal refrigerating capacity</w:t>
      </w:r>
      <w:r w:rsidR="0026238C">
        <w:t>” referred to in Annex 1, Appendix 2, paragraph 7.3.1.</w:t>
      </w:r>
    </w:p>
    <w:p w14:paraId="1B8AA044" w14:textId="7110480D" w:rsidR="0026238C" w:rsidRDefault="005D70C3" w:rsidP="0026238C">
      <w:pPr>
        <w:pStyle w:val="SingleTxtG"/>
      </w:pPr>
      <w:r>
        <w:t>10.</w:t>
      </w:r>
      <w:r>
        <w:tab/>
      </w:r>
      <w:r w:rsidR="0026238C">
        <w:t xml:space="preserve">When chamber testing is conducted for the purpose of checking the insulating capacity of equipment in service which verifies that the K value is less than or equal to the class limit, rather than determination of the K value, the measured value should also be used. In this special case the measured value may be equal to the class value however the value obtained from testing should be used. Whilst the K value of the originally tested prototype may be less than the class limit, the verification test only shows that the K value meets the class limit and provides no evidence that it is any lower. </w:t>
      </w:r>
    </w:p>
    <w:p w14:paraId="300ECC11" w14:textId="423A65DF" w:rsidR="0026238C" w:rsidRPr="0097586F" w:rsidRDefault="005D70C3" w:rsidP="0026238C">
      <w:pPr>
        <w:pStyle w:val="SingleTxtG"/>
      </w:pPr>
      <w:r>
        <w:t>11.</w:t>
      </w:r>
      <w:r>
        <w:tab/>
      </w:r>
      <w:r w:rsidR="0026238C">
        <w:t xml:space="preserve">During inspections of in-service </w:t>
      </w:r>
      <w:proofErr w:type="gramStart"/>
      <w:r w:rsidR="0026238C">
        <w:t>equipment</w:t>
      </w:r>
      <w:proofErr w:type="gramEnd"/>
      <w:r w:rsidR="0026238C">
        <w:t xml:space="preserve"> the current condition of the equipment is being considered, not the condition the equipment was in when it was new. The presently measured K-value should, therefore, be used. </w:t>
      </w:r>
    </w:p>
    <w:p w14:paraId="117A2DDE" w14:textId="5F35B39F" w:rsidR="0026238C" w:rsidRPr="00F04ABC" w:rsidRDefault="005D70C3" w:rsidP="005D70C3">
      <w:pPr>
        <w:pStyle w:val="HChG"/>
        <w:rPr>
          <w:lang w:eastAsia="en-GB"/>
        </w:rPr>
      </w:pPr>
      <w:r>
        <w:rPr>
          <w:lang w:eastAsia="en-GB"/>
        </w:rPr>
        <w:tab/>
      </w:r>
      <w:r>
        <w:rPr>
          <w:lang w:eastAsia="en-GB"/>
        </w:rPr>
        <w:tab/>
      </w:r>
      <w:r w:rsidR="0026238C" w:rsidRPr="00F04ABC">
        <w:rPr>
          <w:lang w:eastAsia="en-GB"/>
        </w:rPr>
        <w:t>Conclusion</w:t>
      </w:r>
    </w:p>
    <w:p w14:paraId="3A71ADB0" w14:textId="0A79D497" w:rsidR="00471DFC" w:rsidRDefault="00EC11F8" w:rsidP="0026238C">
      <w:pPr>
        <w:pStyle w:val="SingleTxtG"/>
      </w:pPr>
      <w:r>
        <w:rPr>
          <w:lang w:eastAsia="en-GB"/>
        </w:rPr>
        <w:t>12.</w:t>
      </w:r>
      <w:r>
        <w:rPr>
          <w:lang w:eastAsia="en-GB"/>
        </w:rPr>
        <w:tab/>
      </w:r>
      <w:r w:rsidR="0026238C">
        <w:rPr>
          <w:lang w:eastAsia="en-GB"/>
        </w:rPr>
        <w:t xml:space="preserve">There has been confusion as whether to use the measured value or the class value in dimensioning calculations. From the above the measured </w:t>
      </w:r>
      <w:r w:rsidR="00FB5E0B">
        <w:rPr>
          <w:lang w:eastAsia="en-GB"/>
        </w:rPr>
        <w:t>K</w:t>
      </w:r>
      <w:r w:rsidR="0026238C">
        <w:rPr>
          <w:lang w:eastAsia="en-GB"/>
        </w:rPr>
        <w:t xml:space="preserve"> value of the body should always be used.</w:t>
      </w:r>
    </w:p>
    <w:p w14:paraId="1EE35FB7" w14:textId="3B3D51A3" w:rsidR="001C6663" w:rsidRPr="00CD3603" w:rsidRDefault="00CD3603" w:rsidP="00471DFC">
      <w:pPr>
        <w:spacing w:before="240"/>
        <w:jc w:val="center"/>
        <w:rPr>
          <w:u w:val="single"/>
        </w:rPr>
      </w:pPr>
      <w:r>
        <w:rPr>
          <w:u w:val="single"/>
        </w:rPr>
        <w:tab/>
      </w:r>
      <w:r>
        <w:rPr>
          <w:u w:val="single"/>
        </w:rPr>
        <w:tab/>
      </w:r>
      <w:r>
        <w:rPr>
          <w:u w:val="single"/>
        </w:rPr>
        <w:tab/>
      </w:r>
    </w:p>
    <w:sectPr w:rsidR="001C6663" w:rsidRPr="00CD3603" w:rsidSect="00063DC7">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0C8DC" w14:textId="77777777" w:rsidR="00EB6442" w:rsidRDefault="00EB6442"/>
  </w:endnote>
  <w:endnote w:type="continuationSeparator" w:id="0">
    <w:p w14:paraId="0F9740C0" w14:textId="77777777" w:rsidR="00EB6442" w:rsidRDefault="00EB6442"/>
  </w:endnote>
  <w:endnote w:type="continuationNotice" w:id="1">
    <w:p w14:paraId="4C8A704C" w14:textId="77777777" w:rsidR="00EB6442" w:rsidRDefault="00EB6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25F5C" w14:textId="107DBD00" w:rsidR="00063DC7" w:rsidRPr="00063DC7" w:rsidRDefault="00063DC7" w:rsidP="00063DC7">
    <w:pPr>
      <w:pStyle w:val="Footer"/>
      <w:tabs>
        <w:tab w:val="right" w:pos="9638"/>
      </w:tabs>
      <w:rPr>
        <w:sz w:val="18"/>
      </w:rPr>
    </w:pPr>
    <w:r w:rsidRPr="00063DC7">
      <w:rPr>
        <w:b/>
        <w:sz w:val="18"/>
      </w:rPr>
      <w:fldChar w:fldCharType="begin"/>
    </w:r>
    <w:r w:rsidRPr="00063DC7">
      <w:rPr>
        <w:b/>
        <w:sz w:val="18"/>
      </w:rPr>
      <w:instrText xml:space="preserve"> PAGE  \* MERGEFORMAT </w:instrText>
    </w:r>
    <w:r w:rsidRPr="00063DC7">
      <w:rPr>
        <w:b/>
        <w:sz w:val="18"/>
      </w:rPr>
      <w:fldChar w:fldCharType="separate"/>
    </w:r>
    <w:r w:rsidRPr="00063DC7">
      <w:rPr>
        <w:b/>
        <w:noProof/>
        <w:sz w:val="18"/>
      </w:rPr>
      <w:t>2</w:t>
    </w:r>
    <w:r w:rsidRPr="00063DC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CE3BC" w14:textId="7A769002" w:rsidR="00063DC7" w:rsidRPr="00063DC7" w:rsidRDefault="00063DC7" w:rsidP="00063DC7">
    <w:pPr>
      <w:pStyle w:val="Footer"/>
      <w:tabs>
        <w:tab w:val="right" w:pos="9638"/>
      </w:tabs>
      <w:rPr>
        <w:b/>
        <w:sz w:val="18"/>
      </w:rPr>
    </w:pPr>
    <w:r>
      <w:tab/>
    </w:r>
    <w:r w:rsidRPr="00063DC7">
      <w:rPr>
        <w:b/>
        <w:sz w:val="18"/>
      </w:rPr>
      <w:fldChar w:fldCharType="begin"/>
    </w:r>
    <w:r w:rsidRPr="00063DC7">
      <w:rPr>
        <w:b/>
        <w:sz w:val="18"/>
      </w:rPr>
      <w:instrText xml:space="preserve"> PAGE  \* MERGEFORMAT </w:instrText>
    </w:r>
    <w:r w:rsidRPr="00063DC7">
      <w:rPr>
        <w:b/>
        <w:sz w:val="18"/>
      </w:rPr>
      <w:fldChar w:fldCharType="separate"/>
    </w:r>
    <w:r w:rsidRPr="00063DC7">
      <w:rPr>
        <w:b/>
        <w:noProof/>
        <w:sz w:val="18"/>
      </w:rPr>
      <w:t>3</w:t>
    </w:r>
    <w:r w:rsidRPr="00063DC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CDA30" w14:textId="09C211FF" w:rsidR="0035223F" w:rsidRDefault="00385E0B" w:rsidP="00385E0B">
    <w:pPr>
      <w:pStyle w:val="Footer"/>
      <w:rPr>
        <w:sz w:val="20"/>
      </w:rPr>
    </w:pPr>
    <w:r w:rsidRPr="00385E0B">
      <w:rPr>
        <w:noProof/>
        <w:sz w:val="20"/>
        <w:lang w:val="en-US"/>
      </w:rPr>
      <w:drawing>
        <wp:anchor distT="0" distB="0" distL="114300" distR="114300" simplePos="0" relativeHeight="251659776" behindDoc="0" locked="1" layoutInCell="1" allowOverlap="1" wp14:anchorId="7F152A3E" wp14:editId="6A0275DF">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2A1F401" w14:textId="5FC5427C" w:rsidR="00385E0B" w:rsidRPr="00385E0B" w:rsidRDefault="00385E0B" w:rsidP="00385E0B">
    <w:pPr>
      <w:pStyle w:val="Footer"/>
      <w:ind w:right="1134"/>
      <w:rPr>
        <w:sz w:val="20"/>
      </w:rPr>
    </w:pPr>
    <w:r>
      <w:rPr>
        <w:sz w:val="20"/>
      </w:rPr>
      <w:t>GE.21-10993(E)</w:t>
    </w:r>
    <w:r>
      <w:rPr>
        <w:noProof/>
        <w:sz w:val="20"/>
      </w:rPr>
      <w:drawing>
        <wp:anchor distT="0" distB="0" distL="114300" distR="114300" simplePos="0" relativeHeight="251660800" behindDoc="0" locked="0" layoutInCell="1" allowOverlap="1" wp14:anchorId="534A4CB9" wp14:editId="46B3B6D1">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62E39" w14:textId="77777777" w:rsidR="00EB6442" w:rsidRPr="000B175B" w:rsidRDefault="00EB6442" w:rsidP="000B175B">
      <w:pPr>
        <w:tabs>
          <w:tab w:val="right" w:pos="2155"/>
        </w:tabs>
        <w:spacing w:after="80"/>
        <w:ind w:left="680"/>
        <w:rPr>
          <w:u w:val="single"/>
        </w:rPr>
      </w:pPr>
      <w:r>
        <w:rPr>
          <w:u w:val="single"/>
        </w:rPr>
        <w:tab/>
      </w:r>
    </w:p>
  </w:footnote>
  <w:footnote w:type="continuationSeparator" w:id="0">
    <w:p w14:paraId="3360E36E" w14:textId="77777777" w:rsidR="00EB6442" w:rsidRPr="00FC68B7" w:rsidRDefault="00EB6442" w:rsidP="00FC68B7">
      <w:pPr>
        <w:tabs>
          <w:tab w:val="left" w:pos="2155"/>
        </w:tabs>
        <w:spacing w:after="80"/>
        <w:ind w:left="680"/>
        <w:rPr>
          <w:u w:val="single"/>
        </w:rPr>
      </w:pPr>
      <w:r>
        <w:rPr>
          <w:u w:val="single"/>
        </w:rPr>
        <w:tab/>
      </w:r>
    </w:p>
  </w:footnote>
  <w:footnote w:type="continuationNotice" w:id="1">
    <w:p w14:paraId="0A824D01" w14:textId="77777777" w:rsidR="00EB6442" w:rsidRDefault="00EB6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5C81" w14:textId="68EC7C03" w:rsidR="00063DC7" w:rsidRPr="00063DC7" w:rsidRDefault="00063DC7">
    <w:pPr>
      <w:pStyle w:val="Header"/>
    </w:pPr>
    <w:r>
      <w:t>ECE/TRANS/WP.11/2021/</w:t>
    </w:r>
    <w:r w:rsidR="00FB3D36">
      <w:t>2</w:t>
    </w:r>
    <w:r w:rsidR="0026238C">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11600" w14:textId="38035C60" w:rsidR="00063DC7" w:rsidRPr="00063DC7" w:rsidRDefault="00063DC7" w:rsidP="00063DC7">
    <w:pPr>
      <w:pStyle w:val="Header"/>
      <w:jc w:val="right"/>
    </w:pPr>
    <w:r>
      <w:t>ECE/TRANS/WP.11/2021/1</w:t>
    </w:r>
    <w:r w:rsidR="00876C18">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3B17D6"/>
    <w:multiLevelType w:val="hybridMultilevel"/>
    <w:tmpl w:val="9FBA4F64"/>
    <w:lvl w:ilvl="0" w:tplc="53960630">
      <w:start w:val="1"/>
      <w:numFmt w:val="decimal"/>
      <w:lvlText w:val="%1."/>
      <w:lvlJc w:val="left"/>
      <w:pPr>
        <w:ind w:left="1353"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8" w15:restartNumberingAfterBreak="0">
    <w:nsid w:val="606A0920"/>
    <w:multiLevelType w:val="hybridMultilevel"/>
    <w:tmpl w:val="138C4058"/>
    <w:lvl w:ilvl="0" w:tplc="CBE6C2F6">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B57BF0"/>
    <w:multiLevelType w:val="hybridMultilevel"/>
    <w:tmpl w:val="435E0174"/>
    <w:lvl w:ilvl="0" w:tplc="4ED25E70">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2" w15:restartNumberingAfterBreak="0">
    <w:nsid w:val="78E1305B"/>
    <w:multiLevelType w:val="hybridMultilevel"/>
    <w:tmpl w:val="B09C033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D4769E2"/>
    <w:multiLevelType w:val="hybridMultilevel"/>
    <w:tmpl w:val="5C2C6C82"/>
    <w:lvl w:ilvl="0" w:tplc="04130017">
      <w:start w:val="1"/>
      <w:numFmt w:val="lowerLetter"/>
      <w:lvlText w:val="%1)"/>
      <w:lvlJc w:val="left"/>
      <w:pPr>
        <w:ind w:left="2421" w:hanging="360"/>
      </w:pPr>
      <w:rPr>
        <w:rFonts w:hint="default"/>
      </w:rPr>
    </w:lvl>
    <w:lvl w:ilvl="1" w:tplc="04130019" w:tentative="1">
      <w:start w:val="1"/>
      <w:numFmt w:val="lowerLetter"/>
      <w:lvlText w:val="%2."/>
      <w:lvlJc w:val="left"/>
      <w:pPr>
        <w:ind w:left="3141" w:hanging="360"/>
      </w:pPr>
    </w:lvl>
    <w:lvl w:ilvl="2" w:tplc="0413001B" w:tentative="1">
      <w:start w:val="1"/>
      <w:numFmt w:val="lowerRoman"/>
      <w:lvlText w:val="%3."/>
      <w:lvlJc w:val="right"/>
      <w:pPr>
        <w:ind w:left="3861" w:hanging="180"/>
      </w:p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9"/>
  </w:num>
  <w:num w:numId="18">
    <w:abstractNumId w:val="20"/>
  </w:num>
  <w:num w:numId="19">
    <w:abstractNumId w:val="11"/>
  </w:num>
  <w:num w:numId="20">
    <w:abstractNumId w:val="11"/>
  </w:num>
  <w:num w:numId="21">
    <w:abstractNumId w:val="21"/>
  </w:num>
  <w:num w:numId="22">
    <w:abstractNumId w:val="18"/>
  </w:num>
  <w:num w:numId="23">
    <w:abstractNumId w:val="22"/>
  </w:num>
  <w:num w:numId="24">
    <w:abstractNumId w:val="23"/>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C7"/>
    <w:rsid w:val="00002A7D"/>
    <w:rsid w:val="000038A8"/>
    <w:rsid w:val="00006790"/>
    <w:rsid w:val="000109A4"/>
    <w:rsid w:val="00027624"/>
    <w:rsid w:val="0003741E"/>
    <w:rsid w:val="000374C5"/>
    <w:rsid w:val="00050F6B"/>
    <w:rsid w:val="0005193E"/>
    <w:rsid w:val="00056084"/>
    <w:rsid w:val="000623D5"/>
    <w:rsid w:val="00063DC7"/>
    <w:rsid w:val="00067448"/>
    <w:rsid w:val="000678CD"/>
    <w:rsid w:val="00072C8C"/>
    <w:rsid w:val="00081CE0"/>
    <w:rsid w:val="00084D30"/>
    <w:rsid w:val="00090320"/>
    <w:rsid w:val="000931C0"/>
    <w:rsid w:val="0009732C"/>
    <w:rsid w:val="000A01F9"/>
    <w:rsid w:val="000A2E09"/>
    <w:rsid w:val="000B175B"/>
    <w:rsid w:val="000B3A0F"/>
    <w:rsid w:val="000B79A2"/>
    <w:rsid w:val="000E0415"/>
    <w:rsid w:val="000E19E0"/>
    <w:rsid w:val="000F7715"/>
    <w:rsid w:val="00117C84"/>
    <w:rsid w:val="00123C20"/>
    <w:rsid w:val="0013362E"/>
    <w:rsid w:val="00151F20"/>
    <w:rsid w:val="00156B99"/>
    <w:rsid w:val="00166124"/>
    <w:rsid w:val="00184DDA"/>
    <w:rsid w:val="001900CD"/>
    <w:rsid w:val="001A0452"/>
    <w:rsid w:val="001A727B"/>
    <w:rsid w:val="001B4B04"/>
    <w:rsid w:val="001B5875"/>
    <w:rsid w:val="001C4B9C"/>
    <w:rsid w:val="001C6663"/>
    <w:rsid w:val="001C7895"/>
    <w:rsid w:val="001D26DF"/>
    <w:rsid w:val="001D3A30"/>
    <w:rsid w:val="001F1599"/>
    <w:rsid w:val="001F19C4"/>
    <w:rsid w:val="001F5F94"/>
    <w:rsid w:val="002043F0"/>
    <w:rsid w:val="00211E0B"/>
    <w:rsid w:val="002202AC"/>
    <w:rsid w:val="00220888"/>
    <w:rsid w:val="00224B7B"/>
    <w:rsid w:val="00232575"/>
    <w:rsid w:val="00247258"/>
    <w:rsid w:val="00257CAC"/>
    <w:rsid w:val="0026238C"/>
    <w:rsid w:val="00264441"/>
    <w:rsid w:val="0027237A"/>
    <w:rsid w:val="002974E9"/>
    <w:rsid w:val="002A401F"/>
    <w:rsid w:val="002A7F94"/>
    <w:rsid w:val="002B109A"/>
    <w:rsid w:val="002C6D45"/>
    <w:rsid w:val="002D65DC"/>
    <w:rsid w:val="002D6E53"/>
    <w:rsid w:val="002F046D"/>
    <w:rsid w:val="002F3023"/>
    <w:rsid w:val="00301764"/>
    <w:rsid w:val="003229D8"/>
    <w:rsid w:val="003240AC"/>
    <w:rsid w:val="00336C97"/>
    <w:rsid w:val="00337F88"/>
    <w:rsid w:val="00342432"/>
    <w:rsid w:val="0035223F"/>
    <w:rsid w:val="00352D4B"/>
    <w:rsid w:val="00356364"/>
    <w:rsid w:val="0035638C"/>
    <w:rsid w:val="00384C4B"/>
    <w:rsid w:val="00385E0B"/>
    <w:rsid w:val="003A46BB"/>
    <w:rsid w:val="003A4EC7"/>
    <w:rsid w:val="003A7295"/>
    <w:rsid w:val="003B1F60"/>
    <w:rsid w:val="003C2CC4"/>
    <w:rsid w:val="003D4B23"/>
    <w:rsid w:val="003E278A"/>
    <w:rsid w:val="00413520"/>
    <w:rsid w:val="00420A03"/>
    <w:rsid w:val="004325CB"/>
    <w:rsid w:val="00440A07"/>
    <w:rsid w:val="00447716"/>
    <w:rsid w:val="00462880"/>
    <w:rsid w:val="00471DFC"/>
    <w:rsid w:val="00476F24"/>
    <w:rsid w:val="004815B7"/>
    <w:rsid w:val="00486BC2"/>
    <w:rsid w:val="004C55B0"/>
    <w:rsid w:val="004D3748"/>
    <w:rsid w:val="004D605B"/>
    <w:rsid w:val="004F1C79"/>
    <w:rsid w:val="004F65AE"/>
    <w:rsid w:val="004F6BA0"/>
    <w:rsid w:val="00503BEA"/>
    <w:rsid w:val="005213EB"/>
    <w:rsid w:val="0052701A"/>
    <w:rsid w:val="00533616"/>
    <w:rsid w:val="00535047"/>
    <w:rsid w:val="00535ABA"/>
    <w:rsid w:val="0053768B"/>
    <w:rsid w:val="005420F2"/>
    <w:rsid w:val="0054285C"/>
    <w:rsid w:val="00557423"/>
    <w:rsid w:val="00584173"/>
    <w:rsid w:val="00595520"/>
    <w:rsid w:val="005A44B9"/>
    <w:rsid w:val="005B1BA0"/>
    <w:rsid w:val="005B3DB3"/>
    <w:rsid w:val="005C6AFD"/>
    <w:rsid w:val="005D15CA"/>
    <w:rsid w:val="005D70C3"/>
    <w:rsid w:val="005D7969"/>
    <w:rsid w:val="005F08DF"/>
    <w:rsid w:val="005F1C3C"/>
    <w:rsid w:val="005F3066"/>
    <w:rsid w:val="005F3E61"/>
    <w:rsid w:val="00602992"/>
    <w:rsid w:val="00604DDD"/>
    <w:rsid w:val="00606020"/>
    <w:rsid w:val="006115CC"/>
    <w:rsid w:val="00611FC4"/>
    <w:rsid w:val="006176FB"/>
    <w:rsid w:val="00630FCB"/>
    <w:rsid w:val="00640B26"/>
    <w:rsid w:val="0065766B"/>
    <w:rsid w:val="006604D6"/>
    <w:rsid w:val="00676538"/>
    <w:rsid w:val="006770B2"/>
    <w:rsid w:val="00686A48"/>
    <w:rsid w:val="006940E1"/>
    <w:rsid w:val="006A3C72"/>
    <w:rsid w:val="006A7392"/>
    <w:rsid w:val="006B03A1"/>
    <w:rsid w:val="006B67D9"/>
    <w:rsid w:val="006C5535"/>
    <w:rsid w:val="006D0589"/>
    <w:rsid w:val="006D4D49"/>
    <w:rsid w:val="006E564B"/>
    <w:rsid w:val="006E7154"/>
    <w:rsid w:val="007003CD"/>
    <w:rsid w:val="0070701E"/>
    <w:rsid w:val="0072632A"/>
    <w:rsid w:val="007345D7"/>
    <w:rsid w:val="007358E8"/>
    <w:rsid w:val="00736ECE"/>
    <w:rsid w:val="0074533B"/>
    <w:rsid w:val="00755FD6"/>
    <w:rsid w:val="007643BC"/>
    <w:rsid w:val="00780C68"/>
    <w:rsid w:val="007959FE"/>
    <w:rsid w:val="007A0CF1"/>
    <w:rsid w:val="007A478E"/>
    <w:rsid w:val="007B6BA5"/>
    <w:rsid w:val="007C3059"/>
    <w:rsid w:val="007C3390"/>
    <w:rsid w:val="007C42D8"/>
    <w:rsid w:val="007C4F4B"/>
    <w:rsid w:val="007C6695"/>
    <w:rsid w:val="007D7362"/>
    <w:rsid w:val="007F5CE2"/>
    <w:rsid w:val="007F6611"/>
    <w:rsid w:val="007F6FD8"/>
    <w:rsid w:val="007F7AB8"/>
    <w:rsid w:val="00800522"/>
    <w:rsid w:val="00810BAC"/>
    <w:rsid w:val="00812C6D"/>
    <w:rsid w:val="00816F6D"/>
    <w:rsid w:val="008175E9"/>
    <w:rsid w:val="008242D7"/>
    <w:rsid w:val="0082577B"/>
    <w:rsid w:val="008272DD"/>
    <w:rsid w:val="00847F20"/>
    <w:rsid w:val="00866893"/>
    <w:rsid w:val="00866F02"/>
    <w:rsid w:val="00867D18"/>
    <w:rsid w:val="00871F9A"/>
    <w:rsid w:val="00871FD5"/>
    <w:rsid w:val="00876C18"/>
    <w:rsid w:val="0088172E"/>
    <w:rsid w:val="00881EFA"/>
    <w:rsid w:val="008879CB"/>
    <w:rsid w:val="00890C6D"/>
    <w:rsid w:val="008979B1"/>
    <w:rsid w:val="008A6B25"/>
    <w:rsid w:val="008A6C4F"/>
    <w:rsid w:val="008A77AE"/>
    <w:rsid w:val="008B389E"/>
    <w:rsid w:val="008D045E"/>
    <w:rsid w:val="008D3F25"/>
    <w:rsid w:val="008D4D82"/>
    <w:rsid w:val="008E0E46"/>
    <w:rsid w:val="008E480C"/>
    <w:rsid w:val="008E7116"/>
    <w:rsid w:val="008F143B"/>
    <w:rsid w:val="008F3882"/>
    <w:rsid w:val="008F4B7C"/>
    <w:rsid w:val="00900488"/>
    <w:rsid w:val="0092405F"/>
    <w:rsid w:val="009263AE"/>
    <w:rsid w:val="00926E47"/>
    <w:rsid w:val="00930A2C"/>
    <w:rsid w:val="00947162"/>
    <w:rsid w:val="009610D0"/>
    <w:rsid w:val="0096375C"/>
    <w:rsid w:val="009662E6"/>
    <w:rsid w:val="0097095E"/>
    <w:rsid w:val="0098592B"/>
    <w:rsid w:val="00985FC4"/>
    <w:rsid w:val="00990766"/>
    <w:rsid w:val="00991261"/>
    <w:rsid w:val="00992F9B"/>
    <w:rsid w:val="009964C4"/>
    <w:rsid w:val="0099666B"/>
    <w:rsid w:val="009A6C49"/>
    <w:rsid w:val="009A7B81"/>
    <w:rsid w:val="009C418F"/>
    <w:rsid w:val="009D01C0"/>
    <w:rsid w:val="009D6A08"/>
    <w:rsid w:val="009E0A16"/>
    <w:rsid w:val="009E6CB7"/>
    <w:rsid w:val="009E7970"/>
    <w:rsid w:val="009F2EAC"/>
    <w:rsid w:val="009F57E3"/>
    <w:rsid w:val="00A039BF"/>
    <w:rsid w:val="00A10141"/>
    <w:rsid w:val="00A10F4F"/>
    <w:rsid w:val="00A11067"/>
    <w:rsid w:val="00A1704A"/>
    <w:rsid w:val="00A425EB"/>
    <w:rsid w:val="00A71106"/>
    <w:rsid w:val="00A72F22"/>
    <w:rsid w:val="00A733BC"/>
    <w:rsid w:val="00A748A6"/>
    <w:rsid w:val="00A760A4"/>
    <w:rsid w:val="00A76A69"/>
    <w:rsid w:val="00A879A4"/>
    <w:rsid w:val="00AA0FF8"/>
    <w:rsid w:val="00AA675F"/>
    <w:rsid w:val="00AC0F2C"/>
    <w:rsid w:val="00AC502A"/>
    <w:rsid w:val="00AF58C1"/>
    <w:rsid w:val="00B04A3F"/>
    <w:rsid w:val="00B06643"/>
    <w:rsid w:val="00B126D6"/>
    <w:rsid w:val="00B15055"/>
    <w:rsid w:val="00B20551"/>
    <w:rsid w:val="00B30179"/>
    <w:rsid w:val="00B33FC7"/>
    <w:rsid w:val="00B37B15"/>
    <w:rsid w:val="00B45C02"/>
    <w:rsid w:val="00B5526A"/>
    <w:rsid w:val="00B70B63"/>
    <w:rsid w:val="00B72A1E"/>
    <w:rsid w:val="00B81E12"/>
    <w:rsid w:val="00BA339B"/>
    <w:rsid w:val="00BB23CC"/>
    <w:rsid w:val="00BB7B54"/>
    <w:rsid w:val="00BC1E7E"/>
    <w:rsid w:val="00BC337E"/>
    <w:rsid w:val="00BC74E9"/>
    <w:rsid w:val="00BE36A9"/>
    <w:rsid w:val="00BE618E"/>
    <w:rsid w:val="00BE7BEC"/>
    <w:rsid w:val="00BF0A5A"/>
    <w:rsid w:val="00BF0E63"/>
    <w:rsid w:val="00BF12A3"/>
    <w:rsid w:val="00BF16D7"/>
    <w:rsid w:val="00BF2373"/>
    <w:rsid w:val="00C0294F"/>
    <w:rsid w:val="00C044E2"/>
    <w:rsid w:val="00C048CB"/>
    <w:rsid w:val="00C066F3"/>
    <w:rsid w:val="00C408B7"/>
    <w:rsid w:val="00C411EB"/>
    <w:rsid w:val="00C4307E"/>
    <w:rsid w:val="00C463DD"/>
    <w:rsid w:val="00C745C3"/>
    <w:rsid w:val="00C81409"/>
    <w:rsid w:val="00C8622B"/>
    <w:rsid w:val="00C978F5"/>
    <w:rsid w:val="00CA24A4"/>
    <w:rsid w:val="00CB348D"/>
    <w:rsid w:val="00CD3603"/>
    <w:rsid w:val="00CD46F5"/>
    <w:rsid w:val="00CE4A8F"/>
    <w:rsid w:val="00CE78F6"/>
    <w:rsid w:val="00CF071D"/>
    <w:rsid w:val="00D0123D"/>
    <w:rsid w:val="00D128FB"/>
    <w:rsid w:val="00D15B04"/>
    <w:rsid w:val="00D2031B"/>
    <w:rsid w:val="00D25FE2"/>
    <w:rsid w:val="00D368BE"/>
    <w:rsid w:val="00D37DA9"/>
    <w:rsid w:val="00D406A7"/>
    <w:rsid w:val="00D40765"/>
    <w:rsid w:val="00D43252"/>
    <w:rsid w:val="00D44D86"/>
    <w:rsid w:val="00D50B7D"/>
    <w:rsid w:val="00D52012"/>
    <w:rsid w:val="00D53379"/>
    <w:rsid w:val="00D60738"/>
    <w:rsid w:val="00D704E5"/>
    <w:rsid w:val="00D72727"/>
    <w:rsid w:val="00D978C6"/>
    <w:rsid w:val="00DA0956"/>
    <w:rsid w:val="00DA357F"/>
    <w:rsid w:val="00DA3E12"/>
    <w:rsid w:val="00DA4153"/>
    <w:rsid w:val="00DC18AD"/>
    <w:rsid w:val="00DD2034"/>
    <w:rsid w:val="00DD5C65"/>
    <w:rsid w:val="00DE10CE"/>
    <w:rsid w:val="00DF7CAE"/>
    <w:rsid w:val="00E0160E"/>
    <w:rsid w:val="00E423C0"/>
    <w:rsid w:val="00E6414C"/>
    <w:rsid w:val="00E7260F"/>
    <w:rsid w:val="00E8702D"/>
    <w:rsid w:val="00E905F4"/>
    <w:rsid w:val="00E916A9"/>
    <w:rsid w:val="00E916DE"/>
    <w:rsid w:val="00E925AD"/>
    <w:rsid w:val="00E96630"/>
    <w:rsid w:val="00EB6442"/>
    <w:rsid w:val="00EC11F8"/>
    <w:rsid w:val="00ED18DC"/>
    <w:rsid w:val="00ED6201"/>
    <w:rsid w:val="00ED7A2A"/>
    <w:rsid w:val="00EE444E"/>
    <w:rsid w:val="00EE44A0"/>
    <w:rsid w:val="00EF1D7F"/>
    <w:rsid w:val="00F0137E"/>
    <w:rsid w:val="00F0513F"/>
    <w:rsid w:val="00F21786"/>
    <w:rsid w:val="00F36AA6"/>
    <w:rsid w:val="00F3742B"/>
    <w:rsid w:val="00F41FDB"/>
    <w:rsid w:val="00F50596"/>
    <w:rsid w:val="00F52B34"/>
    <w:rsid w:val="00F56D63"/>
    <w:rsid w:val="00F609A9"/>
    <w:rsid w:val="00F67386"/>
    <w:rsid w:val="00F80C99"/>
    <w:rsid w:val="00F867EC"/>
    <w:rsid w:val="00F91B2B"/>
    <w:rsid w:val="00FB3D36"/>
    <w:rsid w:val="00FB5E0B"/>
    <w:rsid w:val="00FC03CD"/>
    <w:rsid w:val="00FC0646"/>
    <w:rsid w:val="00FC68B7"/>
    <w:rsid w:val="00FD4B53"/>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CF174D1"/>
  <w15:docId w15:val="{C91D6DD8-340F-444F-874B-39C6D35E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eastAsia="en-US"/>
    </w:rPr>
  </w:style>
  <w:style w:type="paragraph" w:customStyle="1" w:styleId="ParNoG">
    <w:name w:val="_ParNo_G"/>
    <w:basedOn w:val="SingleTxtG"/>
    <w:qFormat/>
    <w:rsid w:val="007A478E"/>
    <w:pPr>
      <w:numPr>
        <w:numId w:val="20"/>
      </w:numPr>
      <w:suppressAutoHyphens w:val="0"/>
    </w:pPr>
  </w:style>
  <w:style w:type="paragraph" w:customStyle="1" w:styleId="Default">
    <w:name w:val="Default"/>
    <w:rsid w:val="001F5F94"/>
    <w:pPr>
      <w:autoSpaceDE w:val="0"/>
      <w:autoSpaceDN w:val="0"/>
      <w:adjustRightInd w:val="0"/>
    </w:pPr>
    <w:rPr>
      <w:color w:val="000000"/>
      <w:sz w:val="24"/>
      <w:szCs w:val="24"/>
      <w:lang w:val="en-US" w:eastAsia="en-US"/>
    </w:rPr>
  </w:style>
  <w:style w:type="character" w:customStyle="1" w:styleId="HChGChar">
    <w:name w:val="_ H _Ch_G Char"/>
    <w:link w:val="HChG"/>
    <w:rsid w:val="00992F9B"/>
    <w:rPr>
      <w:b/>
      <w:sz w:val="28"/>
      <w:lang w:val="en-GB"/>
    </w:rPr>
  </w:style>
  <w:style w:type="paragraph" w:styleId="ListParagraph">
    <w:name w:val="List Paragraph"/>
    <w:basedOn w:val="Normal"/>
    <w:uiPriority w:val="34"/>
    <w:qFormat/>
    <w:rsid w:val="00992F9B"/>
    <w:pPr>
      <w:suppressAutoHyphens w:val="0"/>
      <w:spacing w:after="200" w:line="276" w:lineRule="auto"/>
      <w:ind w:left="720"/>
      <w:contextualSpacing/>
    </w:pPr>
    <w:rPr>
      <w:rFonts w:ascii="Calibri" w:eastAsia="SimSun" w:hAnsi="Calibri" w:cs="Arial"/>
      <w:sz w:val="22"/>
      <w:szCs w:val="22"/>
      <w:lang w:val="de-DE" w:eastAsia="zh-CN"/>
    </w:rPr>
  </w:style>
  <w:style w:type="paragraph" w:customStyle="1" w:styleId="Formatvorlage">
    <w:name w:val="Formatvorlage"/>
    <w:rsid w:val="00992F9B"/>
    <w:pPr>
      <w:widowControl w:val="0"/>
      <w:autoSpaceDE w:val="0"/>
      <w:autoSpaceDN w:val="0"/>
      <w:adjustRightInd w:val="0"/>
    </w:pPr>
    <w:rPr>
      <w:rFonts w:ascii="Arial" w:eastAsia="SimSun" w:hAnsi="Arial" w:cs="Arial"/>
      <w:sz w:val="24"/>
      <w:szCs w:val="24"/>
      <w:lang w:val="de-DE" w:eastAsia="de-DE"/>
    </w:rPr>
  </w:style>
  <w:style w:type="paragraph" w:styleId="BodyText">
    <w:name w:val="Body Text"/>
    <w:basedOn w:val="Normal"/>
    <w:link w:val="BodyTextChar"/>
    <w:semiHidden/>
    <w:rsid w:val="0026238C"/>
    <w:pPr>
      <w:suppressAutoHyphens w:val="0"/>
      <w:autoSpaceDE w:val="0"/>
      <w:autoSpaceDN w:val="0"/>
      <w:adjustRightInd w:val="0"/>
      <w:spacing w:line="240" w:lineRule="auto"/>
    </w:pPr>
    <w:rPr>
      <w:rFonts w:ascii="Arial" w:hAnsi="Arial" w:cs="Arial"/>
      <w:color w:val="FF0000"/>
      <w:sz w:val="24"/>
      <w:lang w:val="en-US" w:eastAsia="en-US"/>
    </w:rPr>
  </w:style>
  <w:style w:type="character" w:customStyle="1" w:styleId="BodyTextChar">
    <w:name w:val="Body Text Char"/>
    <w:basedOn w:val="DefaultParagraphFont"/>
    <w:link w:val="BodyText"/>
    <w:semiHidden/>
    <w:rsid w:val="0026238C"/>
    <w:rPr>
      <w:rFonts w:ascii="Arial" w:hAnsi="Arial" w:cs="Arial"/>
      <w:color w:val="FF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C0F1F-CC8D-4569-BDD4-21F3E70B9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A6E79-5548-47B4-9CBF-54FC08FDB21E}">
  <ds:schemaRefs>
    <ds:schemaRef ds:uri="http://schemas.microsoft.com/sharepoint/v3/contenttype/forms"/>
  </ds:schemaRefs>
</ds:datastoreItem>
</file>

<file path=customXml/itemProps3.xml><?xml version="1.0" encoding="utf-8"?>
<ds:datastoreItem xmlns:ds="http://schemas.openxmlformats.org/officeDocument/2006/customXml" ds:itemID="{959C6A32-02A0-4458-8178-FB754E7403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b4a1c0d-4a69-4996-a84a-fc699b9f49de"/>
    <ds:schemaRef ds:uri="acccb6d4-dbe5-46d2-b4d3-5733603d8cc6"/>
    <ds:schemaRef ds:uri="http://www.w3.org/XML/1998/namespace"/>
    <ds:schemaRef ds:uri="http://purl.org/dc/dcmitype/"/>
  </ds:schemaRefs>
</ds:datastoreItem>
</file>

<file path=customXml/itemProps4.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3864</Characters>
  <Application>Microsoft Office Word</Application>
  <DocSecurity>0</DocSecurity>
  <Lines>85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ECE/TRANS/WP.11/2021/1</vt:lpstr>
      <vt:lpstr/>
    </vt:vector>
  </TitlesOfParts>
  <Company>CSD</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ECE/TRANS/WP.11/2021/21</dc:title>
  <dc:subject>2110993</dc:subject>
  <dc:creator>Una Philippa GILTSOFF</dc:creator>
  <cp:keywords/>
  <dc:description/>
  <cp:lastModifiedBy>Una Philippa GILTSOFF</cp:lastModifiedBy>
  <cp:revision>2</cp:revision>
  <cp:lastPrinted>2009-02-18T09:36:00Z</cp:lastPrinted>
  <dcterms:created xsi:type="dcterms:W3CDTF">2021-08-10T13:50:00Z</dcterms:created>
  <dcterms:modified xsi:type="dcterms:W3CDTF">2021-08-10T13:50:00Z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