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7B28BC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057EE2" w14:textId="77777777" w:rsidR="002D5AAC" w:rsidRDefault="002D5AAC" w:rsidP="00400E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E187C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21E749" w14:textId="6A7BC692" w:rsidR="002D5AAC" w:rsidRDefault="00400E5E" w:rsidP="00400E5E">
            <w:pPr>
              <w:jc w:val="right"/>
            </w:pPr>
            <w:r w:rsidRPr="00400E5E">
              <w:rPr>
                <w:sz w:val="40"/>
              </w:rPr>
              <w:t>ECE</w:t>
            </w:r>
            <w:r>
              <w:t>/TRANS/WP.11/2021/19</w:t>
            </w:r>
          </w:p>
        </w:tc>
      </w:tr>
      <w:tr w:rsidR="002D5AAC" w:rsidRPr="00400E5E" w14:paraId="7AFF790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A903D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976D81" wp14:editId="6C50AB6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064C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A900B2" w14:textId="77777777" w:rsidR="002D5AAC" w:rsidRDefault="00400E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7713B2" w14:textId="77777777" w:rsidR="00400E5E" w:rsidRDefault="00400E5E" w:rsidP="00400E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2021</w:t>
            </w:r>
          </w:p>
          <w:p w14:paraId="6F195608" w14:textId="77777777" w:rsidR="00400E5E" w:rsidRDefault="00400E5E" w:rsidP="00400E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BCC5DD" w14:textId="2253C656" w:rsidR="00400E5E" w:rsidRPr="008D53B6" w:rsidRDefault="00400E5E" w:rsidP="00400E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5D25E1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53CB7B4" w14:textId="77777777" w:rsidR="00400E5E" w:rsidRPr="004D4B5B" w:rsidRDefault="00400E5E" w:rsidP="00400E5E">
      <w:pPr>
        <w:spacing w:before="120"/>
        <w:jc w:val="both"/>
        <w:rPr>
          <w:sz w:val="28"/>
          <w:szCs w:val="28"/>
        </w:rPr>
      </w:pPr>
      <w:r w:rsidRPr="004D4B5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156054D4" w14:textId="3C1A1157" w:rsidR="00400E5E" w:rsidRPr="004D4B5B" w:rsidRDefault="00400E5E" w:rsidP="00400E5E">
      <w:pPr>
        <w:spacing w:before="120"/>
        <w:rPr>
          <w:b/>
          <w:sz w:val="24"/>
          <w:szCs w:val="24"/>
        </w:rPr>
      </w:pPr>
      <w:r w:rsidRPr="004D4B5B">
        <w:rPr>
          <w:b/>
          <w:sz w:val="24"/>
          <w:szCs w:val="24"/>
        </w:rPr>
        <w:t xml:space="preserve">Рабочая группа по перевозкам </w:t>
      </w:r>
      <w:r w:rsidRPr="004D4B5B">
        <w:rPr>
          <w:b/>
        </w:rPr>
        <w:br/>
      </w:r>
      <w:r w:rsidRPr="004D4B5B">
        <w:rPr>
          <w:b/>
          <w:sz w:val="24"/>
          <w:szCs w:val="24"/>
        </w:rPr>
        <w:t>скоропортящихся пищевых продуктов</w:t>
      </w:r>
    </w:p>
    <w:p w14:paraId="2BA2F3BA" w14:textId="77777777" w:rsidR="00400E5E" w:rsidRPr="004D4B5B" w:rsidRDefault="00400E5E" w:rsidP="00400E5E">
      <w:pPr>
        <w:spacing w:before="120"/>
        <w:rPr>
          <w:b/>
        </w:rPr>
      </w:pPr>
      <w:r w:rsidRPr="004D4B5B">
        <w:rPr>
          <w:b/>
        </w:rPr>
        <w:t>Семьдесят седьмая сессия</w:t>
      </w:r>
    </w:p>
    <w:p w14:paraId="256CEE94" w14:textId="77777777" w:rsidR="00400E5E" w:rsidRPr="004D4B5B" w:rsidRDefault="00400E5E" w:rsidP="00400E5E">
      <w:r w:rsidRPr="004D4B5B">
        <w:t>Женева, 26–29 октября 2021 года</w:t>
      </w:r>
    </w:p>
    <w:p w14:paraId="5F096C98" w14:textId="77777777" w:rsidR="00400E5E" w:rsidRPr="004D4B5B" w:rsidRDefault="00400E5E" w:rsidP="00400E5E">
      <w:r w:rsidRPr="004D4B5B">
        <w:t xml:space="preserve">Пункт </w:t>
      </w:r>
      <w:r w:rsidRPr="004D4B5B">
        <w:rPr>
          <w:bCs/>
        </w:rPr>
        <w:t xml:space="preserve">4 f) </w:t>
      </w:r>
      <w:r w:rsidRPr="004D4B5B">
        <w:rPr>
          <w:rFonts w:asciiTheme="majorBidi" w:hAnsiTheme="majorBidi" w:cstheme="majorBidi"/>
        </w:rPr>
        <w:t>предварительной повестки дня</w:t>
      </w:r>
    </w:p>
    <w:p w14:paraId="496BB37A" w14:textId="381FBFAF" w:rsidR="00E12C5F" w:rsidRDefault="00400E5E" w:rsidP="00400E5E">
      <w:r w:rsidRPr="004D4B5B">
        <w:rPr>
          <w:b/>
          <w:bCs/>
        </w:rPr>
        <w:t xml:space="preserve">Статус и осуществление Соглашения о международных </w:t>
      </w:r>
      <w:r>
        <w:rPr>
          <w:b/>
          <w:bCs/>
        </w:rPr>
        <w:br/>
      </w:r>
      <w:r w:rsidRPr="004D4B5B">
        <w:rPr>
          <w:b/>
          <w:bCs/>
        </w:rPr>
        <w:t xml:space="preserve">перевозках скоропортящихся пищевых продуктов </w:t>
      </w:r>
      <w:r>
        <w:rPr>
          <w:b/>
          <w:bCs/>
        </w:rPr>
        <w:br/>
      </w:r>
      <w:r w:rsidRPr="004D4B5B">
        <w:rPr>
          <w:b/>
          <w:bCs/>
        </w:rPr>
        <w:t xml:space="preserve">и о специальных транспортных средствах, </w:t>
      </w:r>
      <w:r>
        <w:rPr>
          <w:b/>
          <w:bCs/>
        </w:rPr>
        <w:br/>
      </w:r>
      <w:r w:rsidRPr="004D4B5B">
        <w:rPr>
          <w:b/>
          <w:bCs/>
        </w:rPr>
        <w:t>предназначенных для этих перевозок (СПС):</w:t>
      </w:r>
      <w:r w:rsidRPr="004D4B5B">
        <w:rPr>
          <w:b/>
          <w:bCs/>
        </w:rPr>
        <w:br/>
      </w:r>
      <w:r w:rsidRPr="004D4B5B">
        <w:rPr>
          <w:b/>
        </w:rPr>
        <w:t>толкование СПС</w:t>
      </w:r>
    </w:p>
    <w:p w14:paraId="7094DAB6" w14:textId="77777777" w:rsidR="00400E5E" w:rsidRPr="004D4B5B" w:rsidRDefault="00400E5E" w:rsidP="00400E5E">
      <w:pPr>
        <w:pStyle w:val="HChG"/>
      </w:pPr>
      <w:r w:rsidRPr="004D4B5B">
        <w:tab/>
      </w:r>
      <w:r w:rsidRPr="004D4B5B">
        <w:tab/>
      </w:r>
      <w:r w:rsidRPr="004D4B5B">
        <w:rPr>
          <w:shd w:val="clear" w:color="auto" w:fill="FFFFFF"/>
        </w:rPr>
        <w:t>Регистраторы температуры</w:t>
      </w:r>
    </w:p>
    <w:p w14:paraId="19975BED" w14:textId="77777777" w:rsidR="00400E5E" w:rsidRPr="004D4B5B" w:rsidRDefault="00400E5E" w:rsidP="00400E5E">
      <w:pPr>
        <w:pStyle w:val="H1G"/>
      </w:pPr>
      <w:r w:rsidRPr="004D4B5B">
        <w:tab/>
      </w:r>
      <w:r w:rsidRPr="004D4B5B">
        <w:tab/>
        <w:t>Представлено правительством Нидерландов</w:t>
      </w:r>
    </w:p>
    <w:p w14:paraId="5EAE4479" w14:textId="77777777" w:rsidR="00400E5E" w:rsidRPr="004D4B5B" w:rsidRDefault="00400E5E" w:rsidP="00400E5E">
      <w:pPr>
        <w:pStyle w:val="HChG"/>
      </w:pPr>
      <w:r w:rsidRPr="004D4B5B">
        <w:tab/>
      </w:r>
      <w:r w:rsidRPr="004D4B5B">
        <w:tab/>
        <w:t>Введение</w:t>
      </w:r>
    </w:p>
    <w:p w14:paraId="5E85CAB2" w14:textId="10BFF27A" w:rsidR="00400E5E" w:rsidRPr="004D4B5B" w:rsidRDefault="00400E5E" w:rsidP="00400E5E">
      <w:pPr>
        <w:pStyle w:val="SingleTxtG"/>
      </w:pPr>
      <w:r w:rsidRPr="004D4B5B">
        <w:t>1.</w:t>
      </w:r>
      <w:r w:rsidRPr="004D4B5B">
        <w:tab/>
        <w:t xml:space="preserve">С целью удостовериться, что </w:t>
      </w:r>
      <w:r w:rsidRPr="004D4B5B">
        <w:rPr>
          <w:shd w:val="clear" w:color="auto" w:fill="FFFFFF"/>
        </w:rPr>
        <w:t>пищевые продукты были доставлены</w:t>
      </w:r>
      <w:r w:rsidRPr="004D4B5B">
        <w:t xml:space="preserve"> </w:t>
      </w:r>
      <w:r w:rsidRPr="004D4B5B">
        <w:rPr>
          <w:shd w:val="clear" w:color="auto" w:fill="FFFFFF"/>
        </w:rPr>
        <w:t>в состоянии,</w:t>
      </w:r>
      <w:r w:rsidRPr="004D4B5B">
        <w:t xml:space="preserve"> не представляющем опасности, проводят отбор проб и температурный контроль поступивших </w:t>
      </w:r>
      <w:r w:rsidRPr="004D4B5B">
        <w:rPr>
          <w:shd w:val="clear" w:color="auto" w:fill="FFFFFF"/>
        </w:rPr>
        <w:t xml:space="preserve">продуктов питания. Однако </w:t>
      </w:r>
      <w:r w:rsidRPr="004D4B5B">
        <w:t xml:space="preserve">отбор проб и контрольные проверки отнюдь не доказывают, что на всем протяжении перевозки </w:t>
      </w:r>
      <w:r w:rsidRPr="004D4B5B">
        <w:rPr>
          <w:shd w:val="clear" w:color="auto" w:fill="FFFFFF"/>
        </w:rPr>
        <w:t>температура находилась на должном уровне и что пищевые продукты по-прежнему безопасны</w:t>
      </w:r>
      <w:r w:rsidRPr="004D4B5B">
        <w:t>. Для</w:t>
      </w:r>
      <w:r>
        <w:rPr>
          <w:lang w:val="en-US"/>
        </w:rPr>
        <w:t> </w:t>
      </w:r>
      <w:r w:rsidRPr="004D4B5B">
        <w:t xml:space="preserve">подтверждения этого </w:t>
      </w:r>
      <w:r w:rsidRPr="004D4B5B">
        <w:rPr>
          <w:shd w:val="clear" w:color="auto" w:fill="FFFFFF"/>
        </w:rPr>
        <w:t>необходим регистратор температуры</w:t>
      </w:r>
      <w:r w:rsidRPr="004D4B5B">
        <w:t xml:space="preserve">. Между тем использование </w:t>
      </w:r>
      <w:r w:rsidRPr="004D4B5B">
        <w:rPr>
          <w:shd w:val="clear" w:color="auto" w:fill="FFFFFF"/>
        </w:rPr>
        <w:t>регистратора температуры предписывается только для быстрозамороженных пищевых продуктов.</w:t>
      </w:r>
    </w:p>
    <w:p w14:paraId="4DBDE85A" w14:textId="7CD08974" w:rsidR="00400E5E" w:rsidRPr="004D4B5B" w:rsidRDefault="00400E5E" w:rsidP="00400E5E">
      <w:pPr>
        <w:pStyle w:val="SingleTxtG"/>
      </w:pPr>
      <w:r w:rsidRPr="004D4B5B">
        <w:t>2.</w:t>
      </w:r>
      <w:r w:rsidRPr="004D4B5B">
        <w:tab/>
        <w:t xml:space="preserve">Раньше регистраторы температуры были дорогостоящими, а регистрация показаний температуры </w:t>
      </w:r>
      <w:r w:rsidRPr="00400E5E">
        <w:t>—</w:t>
      </w:r>
      <w:r w:rsidRPr="004D4B5B">
        <w:t xml:space="preserve"> довольно обременительной, поскольку приборы являлись механическими, а </w:t>
      </w:r>
      <w:r w:rsidRPr="004D4B5B">
        <w:rPr>
          <w:shd w:val="clear" w:color="auto" w:fill="FFFFFF"/>
        </w:rPr>
        <w:t>записи велись в бумажной форме. Однако впоследствии на смену регистраторам такого типа пришли относительно дешевые электронные регистраторы, упростившие возможность хранения и отображения информации.</w:t>
      </w:r>
    </w:p>
    <w:p w14:paraId="0987AECC" w14:textId="77777777" w:rsidR="00400E5E" w:rsidRPr="004D4B5B" w:rsidRDefault="00400E5E" w:rsidP="00400E5E">
      <w:pPr>
        <w:pStyle w:val="SingleTxtG"/>
        <w:rPr>
          <w:shd w:val="clear" w:color="auto" w:fill="FFFFFF"/>
        </w:rPr>
      </w:pPr>
      <w:r w:rsidRPr="004D4B5B">
        <w:t>3.</w:t>
      </w:r>
      <w:r w:rsidRPr="004D4B5B">
        <w:tab/>
        <w:t xml:space="preserve">Практику использования регистраторов температуры надлежит распространить на все </w:t>
      </w:r>
      <w:r w:rsidRPr="004D4B5B">
        <w:rPr>
          <w:shd w:val="clear" w:color="auto" w:fill="FFFFFF"/>
        </w:rPr>
        <w:t>скоропортящиеся пищевые продукты, охватываемые ныне Соглашением. Однако необходимо обсудить вопрос о том, требуются ли исключения применительно к некоторым отдельным случаям, равно как оговорить их детально.</w:t>
      </w:r>
    </w:p>
    <w:p w14:paraId="35498361" w14:textId="77777777" w:rsidR="00400E5E" w:rsidRPr="004D4B5B" w:rsidRDefault="00400E5E" w:rsidP="00400E5E">
      <w:pPr>
        <w:pStyle w:val="HChG"/>
      </w:pPr>
      <w:r w:rsidRPr="004D4B5B">
        <w:lastRenderedPageBreak/>
        <w:tab/>
        <w:t>I.</w:t>
      </w:r>
      <w:r w:rsidRPr="004D4B5B">
        <w:tab/>
        <w:t>Предметы обсуждения</w:t>
      </w:r>
    </w:p>
    <w:p w14:paraId="6041EDB6" w14:textId="77777777" w:rsidR="00400E5E" w:rsidRPr="004D4B5B" w:rsidRDefault="00400E5E" w:rsidP="00400E5E">
      <w:pPr>
        <w:pStyle w:val="SingleTxtG"/>
        <w:keepNext/>
        <w:keepLines/>
      </w:pPr>
      <w:r w:rsidRPr="004D4B5B">
        <w:t>4.</w:t>
      </w:r>
      <w:r w:rsidRPr="004D4B5B">
        <w:tab/>
        <w:t>Следует обсудить вопросы, касающиеся:</w:t>
      </w:r>
    </w:p>
    <w:p w14:paraId="5C495846" w14:textId="77777777" w:rsidR="00400E5E" w:rsidRPr="004D4B5B" w:rsidRDefault="00400E5E" w:rsidP="00400E5E">
      <w:pPr>
        <w:pStyle w:val="SingleTxtG"/>
        <w:ind w:firstLine="567"/>
      </w:pPr>
      <w:r w:rsidRPr="004D4B5B">
        <w:t>a)</w:t>
      </w:r>
      <w:r w:rsidRPr="004D4B5B">
        <w:tab/>
        <w:t xml:space="preserve">распространения сферы охвата добавления 1 к приложению 2 на перевозку всех пищевых продуктов, </w:t>
      </w:r>
      <w:r w:rsidRPr="004D4B5B">
        <w:rPr>
          <w:shd w:val="clear" w:color="auto" w:fill="FFFFFF"/>
        </w:rPr>
        <w:t>подпадающих под действие Соглашения</w:t>
      </w:r>
      <w:r w:rsidRPr="004D4B5B">
        <w:t xml:space="preserve"> СПС;</w:t>
      </w:r>
    </w:p>
    <w:p w14:paraId="04CC6A9F" w14:textId="77777777" w:rsidR="00400E5E" w:rsidRPr="004D4B5B" w:rsidRDefault="00400E5E" w:rsidP="00400E5E">
      <w:pPr>
        <w:pStyle w:val="SingleTxtG"/>
        <w:ind w:firstLine="567"/>
      </w:pPr>
      <w:r w:rsidRPr="004D4B5B">
        <w:t>b)</w:t>
      </w:r>
      <w:r w:rsidRPr="004D4B5B">
        <w:tab/>
        <w:t>достижения договоренности относительно необходимости сделать изъятие из данного требования для определенных видов перевозок; и</w:t>
      </w:r>
    </w:p>
    <w:p w14:paraId="31230C89" w14:textId="77777777" w:rsidR="00400E5E" w:rsidRPr="004D4B5B" w:rsidRDefault="00400E5E" w:rsidP="00400E5E">
      <w:pPr>
        <w:pStyle w:val="SingleTxtG"/>
        <w:ind w:firstLine="567"/>
      </w:pPr>
      <w:r w:rsidRPr="004D4B5B">
        <w:t>c)</w:t>
      </w:r>
      <w:r w:rsidRPr="004D4B5B">
        <w:tab/>
        <w:t>согласования мест размещения стационарно устанавливаемых регистраторов для измерения температуры воздуха.</w:t>
      </w:r>
    </w:p>
    <w:p w14:paraId="28A4B525" w14:textId="77777777" w:rsidR="00400E5E" w:rsidRPr="004D4B5B" w:rsidRDefault="00400E5E" w:rsidP="00400E5E">
      <w:pPr>
        <w:pStyle w:val="HChG"/>
      </w:pPr>
      <w:r w:rsidRPr="004D4B5B">
        <w:tab/>
        <w:t>II.</w:t>
      </w:r>
      <w:r w:rsidRPr="004D4B5B">
        <w:tab/>
        <w:t>Обоснование</w:t>
      </w:r>
    </w:p>
    <w:p w14:paraId="51C609F5" w14:textId="16953C8D" w:rsidR="00400E5E" w:rsidRPr="004D4B5B" w:rsidRDefault="00400E5E" w:rsidP="00400E5E">
      <w:pPr>
        <w:pStyle w:val="SingleTxtG"/>
      </w:pPr>
      <w:r w:rsidRPr="004D4B5B">
        <w:t>5.</w:t>
      </w:r>
      <w:r w:rsidRPr="004D4B5B">
        <w:tab/>
      </w:r>
      <w:r w:rsidRPr="004D4B5B">
        <w:rPr>
          <w:shd w:val="clear" w:color="auto" w:fill="FFFFFF"/>
        </w:rPr>
        <w:t xml:space="preserve">Все упомянутые в приложениях 2 и 3 к Соглашению пищевые продукты </w:t>
      </w:r>
      <w:r w:rsidRPr="00400E5E">
        <w:rPr>
          <w:shd w:val="clear" w:color="auto" w:fill="FFFFFF"/>
        </w:rPr>
        <w:t>—</w:t>
      </w:r>
      <w:r w:rsidRPr="004D4B5B">
        <w:rPr>
          <w:shd w:val="clear" w:color="auto" w:fill="FFFFFF"/>
        </w:rPr>
        <w:t xml:space="preserve"> если они не хранятся при установленной температуре </w:t>
      </w:r>
      <w:r w:rsidRPr="00400E5E">
        <w:rPr>
          <w:shd w:val="clear" w:color="auto" w:fill="FFFFFF"/>
        </w:rPr>
        <w:t>—</w:t>
      </w:r>
      <w:r w:rsidRPr="004D4B5B">
        <w:rPr>
          <w:shd w:val="clear" w:color="auto" w:fill="FFFFFF"/>
        </w:rPr>
        <w:t xml:space="preserve"> могут представлять опасность для здоровья человека.</w:t>
      </w:r>
    </w:p>
    <w:p w14:paraId="3578DAB7" w14:textId="77777777" w:rsidR="00400E5E" w:rsidRPr="004D4B5B" w:rsidRDefault="00400E5E" w:rsidP="00400E5E">
      <w:pPr>
        <w:pStyle w:val="SingleTxtG"/>
      </w:pPr>
      <w:r w:rsidRPr="004D4B5B">
        <w:t>6.</w:t>
      </w:r>
      <w:r w:rsidRPr="004D4B5B">
        <w:tab/>
        <w:t xml:space="preserve">Поддержание надлежащей температуры в процессе перевозки приобретает особенно важное значение в случае быстрозамороженных пищевых продуктов, что продиктовано соображениями </w:t>
      </w:r>
      <w:r w:rsidRPr="004D4B5B">
        <w:rPr>
          <w:shd w:val="clear" w:color="auto" w:fill="FFFFFF"/>
        </w:rPr>
        <w:t>состояния и товарного вида размороженных продуктов.</w:t>
      </w:r>
    </w:p>
    <w:p w14:paraId="786B68BB" w14:textId="54D4FC42" w:rsidR="00400E5E" w:rsidRPr="004D4B5B" w:rsidRDefault="00400E5E" w:rsidP="00400E5E">
      <w:pPr>
        <w:pStyle w:val="SingleTxtG"/>
        <w:rPr>
          <w:shd w:val="clear" w:color="auto" w:fill="FFFFFF"/>
        </w:rPr>
      </w:pPr>
      <w:r w:rsidRPr="004D4B5B">
        <w:t>7.</w:t>
      </w:r>
      <w:r w:rsidRPr="004D4B5B">
        <w:rPr>
          <w:i/>
          <w:iCs/>
        </w:rPr>
        <w:tab/>
      </w:r>
      <w:r w:rsidRPr="004D4B5B">
        <w:rPr>
          <w:i/>
          <w:iCs/>
          <w:shd w:val="clear" w:color="auto" w:fill="FFFFFF"/>
        </w:rPr>
        <w:t>К подпункту a)</w:t>
      </w:r>
      <w:r w:rsidRPr="004D4B5B">
        <w:rPr>
          <w:shd w:val="clear" w:color="auto" w:fill="FFFFFF"/>
        </w:rPr>
        <w:t xml:space="preserve"> </w:t>
      </w:r>
      <w:r w:rsidRPr="00400E5E">
        <w:t>—</w:t>
      </w:r>
      <w:r w:rsidRPr="004D4B5B">
        <w:rPr>
          <w:shd w:val="clear" w:color="auto" w:fill="FFFFFF"/>
        </w:rPr>
        <w:t xml:space="preserve"> Нельзя отрицать, что регистрация температуры воздуха </w:t>
      </w:r>
      <w:r w:rsidRPr="004D4B5B">
        <w:t xml:space="preserve">на всем протяжении перевозки является важным элементом доказательства </w:t>
      </w:r>
      <w:r w:rsidRPr="004D4B5B">
        <w:rPr>
          <w:shd w:val="clear" w:color="auto" w:fill="FFFFFF"/>
        </w:rPr>
        <w:t>того, что безопасность пищевых продуктов не была поставлена под угрозу. Сегодня приборная оснащенность заметно улучшилась, связанные с ней издержки снизились, а хранение данных осуществляется в электронной форме, причем их носители дешевы и к ним легко получить доступ для целей проведения проверок. Уже имеется и все шире используется новая технология, при которой грузоотправитель осуществляет беспроводной контроль за транспортным средством. Возможно, потребуется дальнейшая регламентация свойств данных и порядка доступа к ним. Хотя во многих случаях учет температуры воздуха уже ведется на случай возникновения проблем с ответственностью, это должно стать повсеместной стандартной практикой. С</w:t>
      </w:r>
      <w:r>
        <w:rPr>
          <w:shd w:val="clear" w:color="auto" w:fill="FFFFFF"/>
          <w:lang w:val="en-US"/>
        </w:rPr>
        <w:t> </w:t>
      </w:r>
      <w:r w:rsidRPr="004D4B5B">
        <w:rPr>
          <w:shd w:val="clear" w:color="auto" w:fill="FFFFFF"/>
        </w:rPr>
        <w:t>присоединением к Соглашению СПС новых стран установление эффективных с точки зрения затрат минимальных правил приобретает все более важное значение.</w:t>
      </w:r>
    </w:p>
    <w:p w14:paraId="4B9DCE5C" w14:textId="0B0B28D9" w:rsidR="00400E5E" w:rsidRPr="004D4B5B" w:rsidRDefault="00400E5E" w:rsidP="00400E5E">
      <w:pPr>
        <w:pStyle w:val="SingleTxtG"/>
        <w:rPr>
          <w:i/>
          <w:iCs/>
        </w:rPr>
      </w:pPr>
      <w:r w:rsidRPr="004D4B5B">
        <w:t>8.</w:t>
      </w:r>
      <w:r w:rsidRPr="004D4B5B">
        <w:rPr>
          <w:i/>
          <w:iCs/>
        </w:rPr>
        <w:tab/>
      </w:r>
      <w:r w:rsidRPr="004D4B5B">
        <w:rPr>
          <w:i/>
          <w:iCs/>
          <w:shd w:val="clear" w:color="auto" w:fill="FFFFFF"/>
        </w:rPr>
        <w:t>К подпункту b)</w:t>
      </w:r>
      <w:r w:rsidRPr="004D4B5B">
        <w:rPr>
          <w:shd w:val="clear" w:color="auto" w:fill="FFFFFF"/>
        </w:rPr>
        <w:t xml:space="preserve"> </w:t>
      </w:r>
      <w:r w:rsidR="00274BAB" w:rsidRPr="00274BAB">
        <w:rPr>
          <w:shd w:val="clear" w:color="auto" w:fill="FFFFFF"/>
        </w:rPr>
        <w:t>—</w:t>
      </w:r>
      <w:r w:rsidRPr="00400E5E">
        <w:t xml:space="preserve"> </w:t>
      </w:r>
      <w:r w:rsidRPr="004D4B5B">
        <w:rPr>
          <w:shd w:val="clear" w:color="auto" w:fill="FFFFFF"/>
        </w:rPr>
        <w:t xml:space="preserve">Возможно, будет сочтено, что в отдельных случаях, например, при перевозках на очень короткие расстояния либо при перевозке в небольших коробках или контейнерах, снабженных сухим льдом или другим </w:t>
      </w:r>
      <w:proofErr w:type="spellStart"/>
      <w:r w:rsidRPr="004D4B5B">
        <w:rPr>
          <w:shd w:val="clear" w:color="auto" w:fill="FFFFFF"/>
        </w:rPr>
        <w:t>холодоносителем</w:t>
      </w:r>
      <w:proofErr w:type="spellEnd"/>
      <w:r w:rsidRPr="004D4B5B">
        <w:rPr>
          <w:shd w:val="clear" w:color="auto" w:fill="FFFFFF"/>
        </w:rPr>
        <w:t>, способным поддерживать температуру в течение определенного непродолжительного периода времени, в отношении использования регистраторов следует сделать исключение.</w:t>
      </w:r>
    </w:p>
    <w:p w14:paraId="07AFDBCC" w14:textId="5AA2A7DA" w:rsidR="00400E5E" w:rsidRDefault="00400E5E" w:rsidP="00400E5E">
      <w:pPr>
        <w:pStyle w:val="SingleTxtG"/>
      </w:pPr>
      <w:r w:rsidRPr="004D4B5B">
        <w:t>9.</w:t>
      </w:r>
      <w:r w:rsidRPr="004D4B5B">
        <w:rPr>
          <w:i/>
          <w:iCs/>
        </w:rPr>
        <w:tab/>
      </w:r>
      <w:r w:rsidRPr="004D4B5B">
        <w:rPr>
          <w:i/>
          <w:iCs/>
          <w:shd w:val="clear" w:color="auto" w:fill="FFFFFF"/>
        </w:rPr>
        <w:t>К подпункту c)</w:t>
      </w:r>
      <w:r w:rsidRPr="004D4B5B">
        <w:rPr>
          <w:shd w:val="clear" w:color="auto" w:fill="FFFFFF"/>
        </w:rPr>
        <w:t xml:space="preserve"> </w:t>
      </w:r>
      <w:r w:rsidR="00274BAB" w:rsidRPr="00274BAB">
        <w:rPr>
          <w:shd w:val="clear" w:color="auto" w:fill="FFFFFF"/>
        </w:rPr>
        <w:t>—</w:t>
      </w:r>
      <w:r w:rsidRPr="004D4B5B">
        <w:rPr>
          <w:shd w:val="clear" w:color="auto" w:fill="FFFFFF"/>
        </w:rPr>
        <w:t xml:space="preserve"> Точки, в которых надлежит производить замеры, в добавлении 1 к приложению 2 не оговорены, что приводит к различным толкованиям и проблемам в плане согласования.</w:t>
      </w:r>
    </w:p>
    <w:p w14:paraId="2A6955EF" w14:textId="5BE406BB" w:rsidR="00400E5E" w:rsidRPr="00400E5E" w:rsidRDefault="00400E5E" w:rsidP="00400E5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0E5E" w:rsidRPr="00400E5E" w:rsidSect="00400E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A5E6" w14:textId="77777777" w:rsidR="00E40B60" w:rsidRPr="00A312BC" w:rsidRDefault="00E40B60" w:rsidP="00A312BC"/>
  </w:endnote>
  <w:endnote w:type="continuationSeparator" w:id="0">
    <w:p w14:paraId="09AF7D8E" w14:textId="77777777" w:rsidR="00E40B60" w:rsidRPr="00A312BC" w:rsidRDefault="00E40B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3727" w14:textId="70728875" w:rsidR="00400E5E" w:rsidRPr="00400E5E" w:rsidRDefault="00400E5E">
    <w:pPr>
      <w:pStyle w:val="a8"/>
    </w:pPr>
    <w:r w:rsidRPr="00400E5E">
      <w:rPr>
        <w:b/>
        <w:sz w:val="18"/>
      </w:rPr>
      <w:fldChar w:fldCharType="begin"/>
    </w:r>
    <w:r w:rsidRPr="00400E5E">
      <w:rPr>
        <w:b/>
        <w:sz w:val="18"/>
      </w:rPr>
      <w:instrText xml:space="preserve"> PAGE  \* MERGEFORMAT </w:instrText>
    </w:r>
    <w:r w:rsidRPr="00400E5E">
      <w:rPr>
        <w:b/>
        <w:sz w:val="18"/>
      </w:rPr>
      <w:fldChar w:fldCharType="separate"/>
    </w:r>
    <w:r w:rsidRPr="00400E5E">
      <w:rPr>
        <w:b/>
        <w:noProof/>
        <w:sz w:val="18"/>
      </w:rPr>
      <w:t>2</w:t>
    </w:r>
    <w:r w:rsidRPr="00400E5E">
      <w:rPr>
        <w:b/>
        <w:sz w:val="18"/>
      </w:rPr>
      <w:fldChar w:fldCharType="end"/>
    </w:r>
    <w:r>
      <w:rPr>
        <w:b/>
        <w:sz w:val="18"/>
      </w:rPr>
      <w:tab/>
    </w:r>
    <w:r>
      <w:t>GE.21-10983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A4D2" w14:textId="4FFDA52A" w:rsidR="00400E5E" w:rsidRPr="00400E5E" w:rsidRDefault="00400E5E" w:rsidP="00400E5E">
    <w:pPr>
      <w:pStyle w:val="a8"/>
      <w:tabs>
        <w:tab w:val="clear" w:pos="9639"/>
        <w:tab w:val="right" w:pos="9638"/>
      </w:tabs>
      <w:rPr>
        <w:b/>
        <w:sz w:val="18"/>
      </w:rPr>
    </w:pPr>
    <w:r>
      <w:t>GE.21-10983</w:t>
    </w:r>
    <w:r>
      <w:tab/>
    </w:r>
    <w:r w:rsidRPr="00400E5E">
      <w:rPr>
        <w:b/>
        <w:sz w:val="18"/>
      </w:rPr>
      <w:fldChar w:fldCharType="begin"/>
    </w:r>
    <w:r w:rsidRPr="00400E5E">
      <w:rPr>
        <w:b/>
        <w:sz w:val="18"/>
      </w:rPr>
      <w:instrText xml:space="preserve"> PAGE  \* MERGEFORMAT </w:instrText>
    </w:r>
    <w:r w:rsidRPr="00400E5E">
      <w:rPr>
        <w:b/>
        <w:sz w:val="18"/>
      </w:rPr>
      <w:fldChar w:fldCharType="separate"/>
    </w:r>
    <w:r w:rsidRPr="00400E5E">
      <w:rPr>
        <w:b/>
        <w:noProof/>
        <w:sz w:val="18"/>
      </w:rPr>
      <w:t>3</w:t>
    </w:r>
    <w:r w:rsidRPr="00400E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461B" w14:textId="32F006E8" w:rsidR="00042B72" w:rsidRPr="00274BAB" w:rsidRDefault="00400E5E" w:rsidP="00400E5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F15125" wp14:editId="1E81B11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10983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0DEF7A" wp14:editId="58E6125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AB">
      <w:rPr>
        <w:lang w:val="en-US"/>
      </w:rPr>
      <w:t xml:space="preserve">  300821  310821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B86F2" w14:textId="77777777" w:rsidR="00E40B60" w:rsidRPr="001075E9" w:rsidRDefault="00E40B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73558C" w14:textId="77777777" w:rsidR="00E40B60" w:rsidRDefault="00E40B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072D" w14:textId="25F5A41D" w:rsidR="00400E5E" w:rsidRPr="00400E5E" w:rsidRDefault="00400E5E">
    <w:pPr>
      <w:pStyle w:val="a5"/>
    </w:pPr>
    <w:fldSimple w:instr=" TITLE  \* MERGEFORMAT ">
      <w:r w:rsidR="00452D50">
        <w:t>ECE/TRANS/WP.11/2021/19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F889" w14:textId="7E820788" w:rsidR="00400E5E" w:rsidRPr="00400E5E" w:rsidRDefault="00400E5E" w:rsidP="00400E5E">
    <w:pPr>
      <w:pStyle w:val="a5"/>
      <w:jc w:val="right"/>
    </w:pPr>
    <w:fldSimple w:instr=" TITLE  \* MERGEFORMAT ">
      <w:r w:rsidR="00452D50">
        <w:t>ECE/TRANS/WP.11/2021/19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6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4BA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0E5E"/>
    <w:rsid w:val="00407B78"/>
    <w:rsid w:val="00424203"/>
    <w:rsid w:val="00452493"/>
    <w:rsid w:val="00452D50"/>
    <w:rsid w:val="00453318"/>
    <w:rsid w:val="00454AF2"/>
    <w:rsid w:val="00454E07"/>
    <w:rsid w:val="00472C5C"/>
    <w:rsid w:val="00485F8A"/>
    <w:rsid w:val="004C582F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0B6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8A0C03"/>
  <w15:docId w15:val="{CB9C3AFE-1A10-43D3-805B-653767B6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00E5E"/>
    <w:rPr>
      <w:lang w:val="ru-RU" w:eastAsia="en-US"/>
    </w:rPr>
  </w:style>
  <w:style w:type="paragraph" w:customStyle="1" w:styleId="ParNoG">
    <w:name w:val="_ParNo_G"/>
    <w:basedOn w:val="SingleTxtG"/>
    <w:qFormat/>
    <w:rsid w:val="00400E5E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400E5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521</Words>
  <Characters>3758</Characters>
  <Application>Microsoft Office Word</Application>
  <DocSecurity>0</DocSecurity>
  <Lines>341</Lines>
  <Paragraphs>142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ECE/TRANS/WP.11/2021/19</vt:lpstr>
      <vt:lpstr>A/</vt:lpstr>
      <vt:lpstr>A/</vt:lpstr>
    </vt:vector>
  </TitlesOfParts>
  <Company>DCM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ECE/TRANS/WP.11/2021/19</dc:title>
  <dc:subject/>
  <dc:creator>Marina KOROTKOVA</dc:creator>
  <cp:keywords/>
  <cp:lastModifiedBy>Marina KOROTKOVA</cp:lastModifiedBy>
  <cp:revision>3</cp:revision>
  <cp:lastPrinted>2021-08-31T09:35:00Z</cp:lastPrinted>
  <dcterms:created xsi:type="dcterms:W3CDTF">2021-08-31T09:35:00Z</dcterms:created>
  <dcterms:modified xsi:type="dcterms:W3CDTF">2021-08-31T09:36:00Z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