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6A3E3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E9B1B3" w14:textId="77777777" w:rsidR="00F35BAF" w:rsidRPr="00DB58B5" w:rsidRDefault="00F35BAF" w:rsidP="00CE6FB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52DE7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2C7AA8" w14:textId="60365CF4" w:rsidR="00F35BAF" w:rsidRPr="00DB58B5" w:rsidRDefault="00CE6FB1" w:rsidP="00CE6FB1">
            <w:pPr>
              <w:jc w:val="right"/>
            </w:pPr>
            <w:r w:rsidRPr="00CE6FB1">
              <w:rPr>
                <w:sz w:val="40"/>
              </w:rPr>
              <w:t>ECE</w:t>
            </w:r>
            <w:r>
              <w:t>/TRANS/WP.11/2021/18</w:t>
            </w:r>
          </w:p>
        </w:tc>
      </w:tr>
      <w:tr w:rsidR="00F35BAF" w:rsidRPr="00DB58B5" w14:paraId="629D166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E0E2B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4040A5" wp14:editId="36FCC86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66B5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C02EF9" w14:textId="77777777" w:rsidR="00F35BAF" w:rsidRDefault="00CE6FB1" w:rsidP="00C97039">
            <w:pPr>
              <w:spacing w:before="240"/>
            </w:pPr>
            <w:r>
              <w:t>Distr. générale</w:t>
            </w:r>
          </w:p>
          <w:p w14:paraId="5AF928B0" w14:textId="77777777" w:rsidR="00CE6FB1" w:rsidRDefault="00CE6FB1" w:rsidP="00CE6FB1">
            <w:pPr>
              <w:spacing w:line="240" w:lineRule="exact"/>
            </w:pPr>
            <w:r>
              <w:t>10 août 2021</w:t>
            </w:r>
          </w:p>
          <w:p w14:paraId="383894DF" w14:textId="77777777" w:rsidR="00CE6FB1" w:rsidRDefault="00CE6FB1" w:rsidP="00CE6FB1">
            <w:pPr>
              <w:spacing w:line="240" w:lineRule="exact"/>
            </w:pPr>
            <w:r>
              <w:t>Français</w:t>
            </w:r>
          </w:p>
          <w:p w14:paraId="295CA7C6" w14:textId="2DC77040" w:rsidR="00CE6FB1" w:rsidRPr="00DB58B5" w:rsidRDefault="00CE6FB1" w:rsidP="00CE6FB1">
            <w:pPr>
              <w:spacing w:line="240" w:lineRule="exact"/>
            </w:pPr>
            <w:r>
              <w:t>Original : anglais</w:t>
            </w:r>
          </w:p>
        </w:tc>
      </w:tr>
    </w:tbl>
    <w:p w14:paraId="3F70F4C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B6AAF0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163B1F1" w14:textId="77777777" w:rsidR="00CE6FB1" w:rsidRPr="00CE6FB1" w:rsidRDefault="00CE6FB1" w:rsidP="00CE6FB1">
      <w:pPr>
        <w:spacing w:before="120"/>
        <w:rPr>
          <w:b/>
          <w:sz w:val="24"/>
          <w:szCs w:val="24"/>
        </w:rPr>
      </w:pPr>
      <w:r w:rsidRPr="00CE6FB1">
        <w:rPr>
          <w:b/>
          <w:bCs/>
          <w:sz w:val="24"/>
          <w:szCs w:val="24"/>
          <w:lang w:val="fr-FR"/>
        </w:rPr>
        <w:t>Groupe de travail du transport des denrées périssables</w:t>
      </w:r>
    </w:p>
    <w:p w14:paraId="28AE516E" w14:textId="77777777" w:rsidR="00CE6FB1" w:rsidRPr="00573EEC" w:rsidRDefault="00CE6FB1" w:rsidP="00CE6FB1">
      <w:pPr>
        <w:spacing w:before="120"/>
        <w:rPr>
          <w:b/>
        </w:rPr>
      </w:pPr>
      <w:r>
        <w:rPr>
          <w:b/>
          <w:bCs/>
          <w:lang w:val="fr-FR"/>
        </w:rPr>
        <w:t>Soixante-dix-septième session</w:t>
      </w:r>
    </w:p>
    <w:p w14:paraId="4276AB7F" w14:textId="77777777" w:rsidR="00CE6FB1" w:rsidRPr="00573EEC" w:rsidRDefault="00CE6FB1" w:rsidP="00CE6FB1">
      <w:r>
        <w:rPr>
          <w:lang w:val="fr-FR"/>
        </w:rPr>
        <w:t>Genève, 26-29 octobre 2021</w:t>
      </w:r>
    </w:p>
    <w:p w14:paraId="5D9E0C5D" w14:textId="77777777" w:rsidR="00CE6FB1" w:rsidRPr="00573EEC" w:rsidRDefault="00CE6FB1" w:rsidP="00CE6FB1">
      <w:r>
        <w:rPr>
          <w:lang w:val="fr-FR"/>
        </w:rPr>
        <w:t>Point 5 b) de l’ordre du jour provisoire</w:t>
      </w:r>
    </w:p>
    <w:p w14:paraId="13F0C28C" w14:textId="606CAAEF" w:rsidR="00CE6FB1" w:rsidRPr="00573EEC" w:rsidRDefault="00CE6FB1" w:rsidP="00CE6FB1">
      <w:pPr>
        <w:rPr>
          <w:b/>
        </w:rPr>
      </w:pPr>
      <w:r>
        <w:rPr>
          <w:b/>
          <w:bCs/>
          <w:lang w:val="fr-FR"/>
        </w:rPr>
        <w:t>Propositions d’amendements à l’ATP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16642F4E" w14:textId="77777777" w:rsidR="00CE6FB1" w:rsidRPr="00573EEC" w:rsidRDefault="00CE6FB1" w:rsidP="00CE6FB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Propositions du groupe de travail informel de l’amélioration du système d’homologation des engins et dispositifs thermiques ATP</w:t>
      </w:r>
    </w:p>
    <w:p w14:paraId="1C7790E4" w14:textId="43E66FBC" w:rsidR="00CE6FB1" w:rsidRPr="00573EEC" w:rsidRDefault="00CE6FB1" w:rsidP="00CE6FB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Gouvernement des Pays-Bas au nom du groupe </w:t>
      </w:r>
      <w:r>
        <w:rPr>
          <w:lang w:val="fr-FR"/>
        </w:rPr>
        <w:br/>
      </w:r>
      <w:r>
        <w:rPr>
          <w:lang w:val="fr-FR"/>
        </w:rPr>
        <w:t>de travail informel</w:t>
      </w:r>
    </w:p>
    <w:p w14:paraId="31FE2E3B" w14:textId="77777777" w:rsidR="00CE6FB1" w:rsidRPr="00573EEC" w:rsidRDefault="00CE6FB1" w:rsidP="00CE6FB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F405822" w14:textId="77777777" w:rsidR="00CE6FB1" w:rsidRPr="00573EEC" w:rsidRDefault="00CE6FB1" w:rsidP="00CE6FB1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 groupe de travail informel de l’amélioration du système d’homologation des engins et dispositifs thermiques ATP s’est réuni à trois reprises entre octobre 2020 et juillet 2021. Toutes les réunions se sont tenues sous forme virtuelle.</w:t>
      </w:r>
    </w:p>
    <w:p w14:paraId="62821439" w14:textId="77777777" w:rsidR="00CE6FB1" w:rsidRPr="00573EEC" w:rsidRDefault="00CE6FB1" w:rsidP="00CE6FB1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Le rapport du groupe de travail sera soumis en tant que document informel. </w:t>
      </w:r>
    </w:p>
    <w:p w14:paraId="334EC2EC" w14:textId="059DE698" w:rsidR="00CE6FB1" w:rsidRPr="00573EEC" w:rsidRDefault="00CE6FB1" w:rsidP="00CE6FB1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 xml:space="preserve">Le groupe de travail s’est consacré principalement à l’amélioration du document d’orientation qui est maintenant disponible sur le site Web de la CEE à l’adresse </w:t>
      </w:r>
      <w:hyperlink r:id="rId8" w:history="1">
        <w:r w:rsidRPr="00CE6FB1">
          <w:rPr>
            <w:rStyle w:val="Lienhypertexte"/>
            <w:color w:val="auto"/>
            <w:lang w:val="fr-FR"/>
          </w:rPr>
          <w:t>https://unece.org/sites/default/files/2021-05/Guidance%20document%20MTMC%20-%20Version%205.3.pdf</w:t>
        </w:r>
      </w:hyperlink>
      <w:r>
        <w:rPr>
          <w:lang w:val="fr-FR"/>
        </w:rPr>
        <w:t xml:space="preserve">. </w:t>
      </w:r>
    </w:p>
    <w:p w14:paraId="6F98A702" w14:textId="5793D5A9" w:rsidR="00CE6FB1" w:rsidRPr="00573EEC" w:rsidRDefault="00CE6FB1" w:rsidP="00CE6FB1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Le groupe de travail propose e</w:t>
      </w:r>
      <w:r w:rsidRPr="00652FE0">
        <w:rPr>
          <w:lang w:val="fr-FR"/>
        </w:rPr>
        <w:t xml:space="preserve">n outre </w:t>
      </w:r>
      <w:r>
        <w:rPr>
          <w:lang w:val="fr-FR"/>
        </w:rPr>
        <w:t>d’apporter les modifications suivantes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E4BD84F" w14:textId="5D789786" w:rsidR="00CE6FB1" w:rsidRPr="00573EEC" w:rsidRDefault="00CE6FB1" w:rsidP="00CE6FB1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Première p</w:t>
      </w:r>
      <w:r>
        <w:rPr>
          <w:bCs/>
          <w:lang w:val="fr-FR"/>
        </w:rPr>
        <w:t xml:space="preserve">roposition </w:t>
      </w:r>
    </w:p>
    <w:p w14:paraId="4EB62DC8" w14:textId="2C65C363" w:rsidR="00CE6FB1" w:rsidRPr="00573EEC" w:rsidRDefault="00CE6FB1" w:rsidP="00CE6FB1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Modifier l’en-tête de la troisième colonne du tableau du paragraphe 7.3.7 (cette modification ne concerne que la version anglaise </w:t>
      </w:r>
      <w:r>
        <w:rPr>
          <w:lang w:val="fr-FR"/>
        </w:rPr>
        <w:t>−</w:t>
      </w:r>
      <w:r>
        <w:rPr>
          <w:lang w:val="fr-FR"/>
        </w:rPr>
        <w:t xml:space="preserve"> le texte supprimé est biffé, le nouveau texte est souligné)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E073EC1" w14:textId="77777777" w:rsidR="00CE6FB1" w:rsidRPr="00573EEC" w:rsidRDefault="00CE6FB1" w:rsidP="00CE6FB1">
      <w:pPr>
        <w:pStyle w:val="SingleTxtG"/>
        <w:rPr>
          <w:i/>
          <w:iCs/>
        </w:rPr>
      </w:pPr>
      <w:r>
        <w:rPr>
          <w:i/>
          <w:iCs/>
          <w:strike/>
          <w:lang w:val="fr-FR"/>
        </w:rPr>
        <w:t>Removable</w:t>
      </w:r>
      <w:r>
        <w:rPr>
          <w:i/>
          <w:iCs/>
          <w:lang w:val="fr-FR"/>
        </w:rPr>
        <w:t xml:space="preserve"> Movable</w:t>
      </w:r>
    </w:p>
    <w:p w14:paraId="36FF3793" w14:textId="77777777" w:rsidR="00CE6FB1" w:rsidRPr="00573EEC" w:rsidRDefault="00CE6FB1" w:rsidP="00CE6FB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Justification de la première proposition </w:t>
      </w:r>
    </w:p>
    <w:p w14:paraId="7803C47C" w14:textId="77777777" w:rsidR="00CE6FB1" w:rsidRPr="00573EEC" w:rsidRDefault="00CE6FB1" w:rsidP="00CE6FB1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La modification de l’en-tête résout les problèmes de sens et de cohérence et met la version anglaise en conformité avec les versions française et russe. </w:t>
      </w:r>
    </w:p>
    <w:p w14:paraId="4395D131" w14:textId="570564C9" w:rsidR="00CE6FB1" w:rsidRPr="00573EEC" w:rsidRDefault="00CE6FB1" w:rsidP="00CE6FB1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II.</w:t>
      </w:r>
      <w:r>
        <w:rPr>
          <w:lang w:val="fr-FR"/>
        </w:rPr>
        <w:tab/>
        <w:t>Deuxième proposition</w:t>
      </w:r>
    </w:p>
    <w:p w14:paraId="65872049" w14:textId="4683B041" w:rsidR="00CE6FB1" w:rsidRPr="00573EEC" w:rsidRDefault="00CE6FB1" w:rsidP="00CE6FB1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Modifier comme suit la note de bas de page 4 de l’appendice 3 (A) de l’annexe 1 (le texte supprimé est biffé, le nouveau texte est souligné)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BEE8869" w14:textId="77777777" w:rsidR="00CE6FB1" w:rsidRPr="00573EEC" w:rsidRDefault="00CE6FB1" w:rsidP="00CE6FB1">
      <w:pPr>
        <w:pStyle w:val="SingleTxtG"/>
        <w:rPr>
          <w:i/>
          <w:iCs/>
        </w:rPr>
      </w:pPr>
      <w:r w:rsidRPr="00DC6161">
        <w:rPr>
          <w:lang w:val="fr-FR"/>
        </w:rPr>
        <w:t>«</w:t>
      </w:r>
      <w:r>
        <w:rPr>
          <w:i/>
          <w:iCs/>
          <w:lang w:val="fr-FR"/>
        </w:rPr>
        <w:t> 4.</w:t>
      </w:r>
      <w:r>
        <w:rPr>
          <w:lang w:val="fr-FR"/>
        </w:rPr>
        <w:tab/>
      </w:r>
      <w:r>
        <w:rPr>
          <w:i/>
          <w:iCs/>
          <w:strike/>
          <w:lang w:val="fr-FR"/>
        </w:rPr>
        <w:t>La procédure d’essai pour les nouveaux engins à températures multiples est présentée à la section 7 de l’appendice 2 de l’annexe 1.</w:t>
      </w:r>
      <w:r>
        <w:rPr>
          <w:lang w:val="fr-FR"/>
        </w:rPr>
        <w:t xml:space="preserve"> </w:t>
      </w:r>
      <w:r>
        <w:rPr>
          <w:i/>
          <w:iCs/>
          <w:strike/>
          <w:lang w:val="fr-FR"/>
        </w:rPr>
        <w:t>Il n’a pas encore été défini de procédure d’essai pour les engins à températures multiples en service.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Un engin à températures multiples est un engin isotherme comportant deux compartiments ou davantage, qui sont chacun à une température différente.</w:t>
      </w:r>
      <w:r>
        <w:rPr>
          <w:lang w:val="fr-FR"/>
        </w:rPr>
        <w:t xml:space="preserve"> </w:t>
      </w:r>
      <w:r>
        <w:rPr>
          <w:i/>
          <w:iCs/>
          <w:u w:val="single"/>
          <w:lang w:val="fr-FR"/>
        </w:rPr>
        <w:t>Pour les engins à températures multiples, une déclaration de conformité (voir 7.3.6 de l’ appendice 2 de l’annexe 1) est requise en plus de l’attestation ATP</w:t>
      </w:r>
      <w:r>
        <w:rPr>
          <w:i/>
          <w:iCs/>
          <w:lang w:val="fr-FR"/>
        </w:rPr>
        <w:t>. </w:t>
      </w:r>
      <w:r w:rsidRPr="00DC6161">
        <w:rPr>
          <w:lang w:val="fr-FR"/>
        </w:rPr>
        <w:t>».</w:t>
      </w:r>
    </w:p>
    <w:p w14:paraId="58F3C93C" w14:textId="77777777" w:rsidR="00CE6FB1" w:rsidRPr="00573EEC" w:rsidRDefault="00CE6FB1" w:rsidP="00CE6FB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Justification de la deuxième proposition</w:t>
      </w:r>
    </w:p>
    <w:p w14:paraId="1B7BD944" w14:textId="450D9191" w:rsidR="00CE6FB1" w:rsidRPr="00573EEC" w:rsidRDefault="00CE6FB1" w:rsidP="00CE6FB1">
      <w:pPr>
        <w:pStyle w:val="SingleTxtG"/>
        <w:rPr>
          <w:u w:val="single"/>
        </w:rPr>
      </w:pPr>
      <w:r>
        <w:rPr>
          <w:lang w:val="fr-FR"/>
        </w:rPr>
        <w:t>8.</w:t>
      </w:r>
      <w:r>
        <w:rPr>
          <w:lang w:val="fr-FR"/>
        </w:rPr>
        <w:tab/>
        <w:t>La première phrase peut être supprimée car la procédure d’homologation des nouveaux engins à températures multiples visés dans la section 7 et l’essai sur le matériel en service décrit dans le paragraphe 6.2.1 iii) de l’appendice 2 de l’annexe 1 ont été menés à bien. Une nouvelle phrase est proposée pour attirer l’attention sur le fait qu’une déclaration de conformité doit être fournie en plus de l’attestation ATP.</w:t>
      </w:r>
    </w:p>
    <w:p w14:paraId="07625880" w14:textId="4DD770A5" w:rsidR="00F9573C" w:rsidRPr="00CE6FB1" w:rsidRDefault="00CE6FB1" w:rsidP="00CE6F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E6FB1" w:rsidSect="00CE6F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583E" w14:textId="77777777" w:rsidR="00317118" w:rsidRDefault="00317118" w:rsidP="00F95C08">
      <w:pPr>
        <w:spacing w:line="240" w:lineRule="auto"/>
      </w:pPr>
    </w:p>
  </w:endnote>
  <w:endnote w:type="continuationSeparator" w:id="0">
    <w:p w14:paraId="58FFB579" w14:textId="77777777" w:rsidR="00317118" w:rsidRPr="00AC3823" w:rsidRDefault="00317118" w:rsidP="00AC3823">
      <w:pPr>
        <w:pStyle w:val="Pieddepage"/>
      </w:pPr>
    </w:p>
  </w:endnote>
  <w:endnote w:type="continuationNotice" w:id="1">
    <w:p w14:paraId="46CF04D8" w14:textId="77777777" w:rsidR="00317118" w:rsidRDefault="00317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E9EA" w14:textId="15EFE5C9" w:rsidR="00CE6FB1" w:rsidRPr="00CE6FB1" w:rsidRDefault="00CE6FB1" w:rsidP="00CE6FB1">
    <w:pPr>
      <w:pStyle w:val="Pieddepage"/>
      <w:tabs>
        <w:tab w:val="right" w:pos="9638"/>
      </w:tabs>
    </w:pPr>
    <w:r w:rsidRPr="00CE6FB1">
      <w:rPr>
        <w:b/>
        <w:sz w:val="18"/>
      </w:rPr>
      <w:fldChar w:fldCharType="begin"/>
    </w:r>
    <w:r w:rsidRPr="00CE6FB1">
      <w:rPr>
        <w:b/>
        <w:sz w:val="18"/>
      </w:rPr>
      <w:instrText xml:space="preserve"> PAGE  \* MERGEFORMAT </w:instrText>
    </w:r>
    <w:r w:rsidRPr="00CE6FB1">
      <w:rPr>
        <w:b/>
        <w:sz w:val="18"/>
      </w:rPr>
      <w:fldChar w:fldCharType="separate"/>
    </w:r>
    <w:r w:rsidRPr="00CE6FB1">
      <w:rPr>
        <w:b/>
        <w:noProof/>
        <w:sz w:val="18"/>
      </w:rPr>
      <w:t>2</w:t>
    </w:r>
    <w:r w:rsidRPr="00CE6FB1">
      <w:rPr>
        <w:b/>
        <w:sz w:val="18"/>
      </w:rPr>
      <w:fldChar w:fldCharType="end"/>
    </w:r>
    <w:r>
      <w:rPr>
        <w:b/>
        <w:sz w:val="18"/>
      </w:rPr>
      <w:tab/>
    </w:r>
    <w:r>
      <w:t>GE.21-10982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896" w14:textId="301D221B" w:rsidR="00CE6FB1" w:rsidRPr="00CE6FB1" w:rsidRDefault="00CE6FB1" w:rsidP="00CE6FB1">
    <w:pPr>
      <w:pStyle w:val="Pieddepage"/>
      <w:tabs>
        <w:tab w:val="right" w:pos="9638"/>
      </w:tabs>
      <w:rPr>
        <w:b/>
        <w:sz w:val="18"/>
      </w:rPr>
    </w:pPr>
    <w:r>
      <w:t>GE.21-10982</w:t>
    </w:r>
    <w:r>
      <w:tab/>
    </w:r>
    <w:r w:rsidRPr="00CE6FB1">
      <w:rPr>
        <w:b/>
        <w:sz w:val="18"/>
      </w:rPr>
      <w:fldChar w:fldCharType="begin"/>
    </w:r>
    <w:r w:rsidRPr="00CE6FB1">
      <w:rPr>
        <w:b/>
        <w:sz w:val="18"/>
      </w:rPr>
      <w:instrText xml:space="preserve"> PAGE  \* MERGEFORMAT </w:instrText>
    </w:r>
    <w:r w:rsidRPr="00CE6FB1">
      <w:rPr>
        <w:b/>
        <w:sz w:val="18"/>
      </w:rPr>
      <w:fldChar w:fldCharType="separate"/>
    </w:r>
    <w:r w:rsidRPr="00CE6FB1">
      <w:rPr>
        <w:b/>
        <w:noProof/>
        <w:sz w:val="18"/>
      </w:rPr>
      <w:t>3</w:t>
    </w:r>
    <w:r w:rsidRPr="00CE6F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4EE8" w14:textId="5D24249F" w:rsidR="007F20FA" w:rsidRPr="00CE6FB1" w:rsidRDefault="00CE6FB1" w:rsidP="00CE6FB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296B73" wp14:editId="1CF027A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21-10982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A491E0" wp14:editId="705C56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060921    070921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84FD" w14:textId="77777777" w:rsidR="00317118" w:rsidRPr="00AC3823" w:rsidRDefault="003171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19FFAF" w14:textId="77777777" w:rsidR="00317118" w:rsidRPr="00AC3823" w:rsidRDefault="003171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2B2B62" w14:textId="77777777" w:rsidR="00317118" w:rsidRPr="00AC3823" w:rsidRDefault="0031711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AE78" w14:textId="2E699586" w:rsidR="00CE6FB1" w:rsidRPr="00CE6FB1" w:rsidRDefault="00CE6FB1">
    <w:pPr>
      <w:pStyle w:val="En-tte"/>
    </w:pPr>
    <w:fldSimple w:instr=" TITLE  \* MERGEFORMAT ">
      <w:r>
        <w:t>ECE/TRANS/WP.11/2021/18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6B33" w14:textId="7FE873FA" w:rsidR="00CE6FB1" w:rsidRPr="00CE6FB1" w:rsidRDefault="00CE6FB1" w:rsidP="00CE6FB1">
    <w:pPr>
      <w:pStyle w:val="En-tte"/>
      <w:jc w:val="right"/>
    </w:pPr>
    <w:fldSimple w:instr=" TITLE  \* MERGEFORMAT ">
      <w:r>
        <w:t>ECE/TRANS/WP.11/2021/18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1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793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711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6FB1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214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1D220"/>
  <w15:docId w15:val="{CE375D6E-1A80-4138-9FBB-E49FF4D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CE6FB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E6FB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E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1-05/Guidance%20document%20MTMC%20-%20Version%205.3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437</Words>
  <Characters>2472</Characters>
  <Application>Microsoft Office Word</Application>
  <DocSecurity>0</DocSecurity>
  <Lines>57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ECE/TRANS/WP.11/2021/18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2021-09-07T06:18:00Z</dcterms:created>
  <dcterms:modified xsi:type="dcterms:W3CDTF">2021-09-07T06:18:00Z</dcterms:modified>
</cp:coreProperties>
</file>