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7C76C02" w14:textId="77777777" w:rsidTr="00C97039">
        <w:trPr>
          <w:trHeight w:hRule="exact" w:val="851"/>
        </w:trPr>
        <w:tc>
          <w:tcPr>
            <w:tcW w:w="1276" w:type="dxa"/>
            <w:tcBorders>
              <w:bottom w:val="single" w:sz="4" w:space="0" w:color="auto"/>
            </w:tcBorders>
          </w:tcPr>
          <w:p w14:paraId="275264A4" w14:textId="77777777" w:rsidR="00F35BAF" w:rsidRPr="00DB58B5" w:rsidRDefault="00F35BAF" w:rsidP="00951092"/>
        </w:tc>
        <w:tc>
          <w:tcPr>
            <w:tcW w:w="2268" w:type="dxa"/>
            <w:tcBorders>
              <w:bottom w:val="single" w:sz="4" w:space="0" w:color="auto"/>
            </w:tcBorders>
            <w:vAlign w:val="bottom"/>
          </w:tcPr>
          <w:p w14:paraId="1EEBBE6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4F4A0BE" w14:textId="324C02B8" w:rsidR="00F35BAF" w:rsidRPr="00DB58B5" w:rsidRDefault="00951092" w:rsidP="00951092">
            <w:pPr>
              <w:jc w:val="right"/>
            </w:pPr>
            <w:r w:rsidRPr="00951092">
              <w:rPr>
                <w:sz w:val="40"/>
              </w:rPr>
              <w:t>ECE</w:t>
            </w:r>
            <w:r>
              <w:t>/TRANS/WP.11/2021/17</w:t>
            </w:r>
          </w:p>
        </w:tc>
      </w:tr>
      <w:tr w:rsidR="00F35BAF" w:rsidRPr="00DB58B5" w14:paraId="5B5CDDC2" w14:textId="77777777" w:rsidTr="00C97039">
        <w:trPr>
          <w:trHeight w:hRule="exact" w:val="2835"/>
        </w:trPr>
        <w:tc>
          <w:tcPr>
            <w:tcW w:w="1276" w:type="dxa"/>
            <w:tcBorders>
              <w:top w:val="single" w:sz="4" w:space="0" w:color="auto"/>
              <w:bottom w:val="single" w:sz="12" w:space="0" w:color="auto"/>
            </w:tcBorders>
          </w:tcPr>
          <w:p w14:paraId="488755C1" w14:textId="77777777" w:rsidR="00F35BAF" w:rsidRPr="00DB58B5" w:rsidRDefault="00F35BAF" w:rsidP="00C97039">
            <w:pPr>
              <w:spacing w:before="120"/>
              <w:jc w:val="center"/>
            </w:pPr>
            <w:r>
              <w:rPr>
                <w:noProof/>
                <w:lang w:eastAsia="fr-CH"/>
              </w:rPr>
              <w:drawing>
                <wp:inline distT="0" distB="0" distL="0" distR="0" wp14:anchorId="75C9D0A6" wp14:editId="5A56718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F19C7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DE85BD6" w14:textId="77777777" w:rsidR="00F35BAF" w:rsidRDefault="00951092" w:rsidP="00C97039">
            <w:pPr>
              <w:spacing w:before="240"/>
            </w:pPr>
            <w:r>
              <w:t>Distr. générale</w:t>
            </w:r>
          </w:p>
          <w:p w14:paraId="160033A7" w14:textId="4A061776" w:rsidR="00951092" w:rsidRDefault="00951092" w:rsidP="00951092">
            <w:pPr>
              <w:spacing w:line="240" w:lineRule="exact"/>
            </w:pPr>
            <w:r>
              <w:t>10 août 2021</w:t>
            </w:r>
          </w:p>
          <w:p w14:paraId="14BCB96E" w14:textId="77777777" w:rsidR="00951092" w:rsidRDefault="00951092" w:rsidP="00951092">
            <w:pPr>
              <w:spacing w:line="240" w:lineRule="exact"/>
            </w:pPr>
            <w:r>
              <w:t>Français</w:t>
            </w:r>
          </w:p>
          <w:p w14:paraId="720C426A" w14:textId="41C8643B" w:rsidR="00951092" w:rsidRPr="00DB58B5" w:rsidRDefault="00951092" w:rsidP="00951092">
            <w:pPr>
              <w:spacing w:line="240" w:lineRule="exact"/>
            </w:pPr>
            <w:r>
              <w:t>Original : anglais</w:t>
            </w:r>
          </w:p>
        </w:tc>
      </w:tr>
    </w:tbl>
    <w:p w14:paraId="14B4420E" w14:textId="77777777" w:rsidR="007F20FA" w:rsidRPr="000312C0" w:rsidRDefault="007F20FA" w:rsidP="007F20FA">
      <w:pPr>
        <w:spacing w:before="120"/>
        <w:rPr>
          <w:b/>
          <w:sz w:val="28"/>
          <w:szCs w:val="28"/>
        </w:rPr>
      </w:pPr>
      <w:r w:rsidRPr="000312C0">
        <w:rPr>
          <w:b/>
          <w:sz w:val="28"/>
          <w:szCs w:val="28"/>
        </w:rPr>
        <w:t>Commission économique pour l’Europe</w:t>
      </w:r>
    </w:p>
    <w:p w14:paraId="6256E01C" w14:textId="77777777" w:rsidR="007F20FA" w:rsidRDefault="007F20FA" w:rsidP="007F20FA">
      <w:pPr>
        <w:spacing w:before="120"/>
        <w:rPr>
          <w:sz w:val="28"/>
          <w:szCs w:val="28"/>
        </w:rPr>
      </w:pPr>
      <w:r w:rsidRPr="00685843">
        <w:rPr>
          <w:sz w:val="28"/>
          <w:szCs w:val="28"/>
        </w:rPr>
        <w:t>Comité des transports intérieurs</w:t>
      </w:r>
    </w:p>
    <w:p w14:paraId="26F99DC1" w14:textId="77777777" w:rsidR="00951092" w:rsidRPr="00685843" w:rsidRDefault="00951092" w:rsidP="00305801">
      <w:pPr>
        <w:spacing w:before="120"/>
        <w:rPr>
          <w:b/>
          <w:sz w:val="24"/>
          <w:szCs w:val="24"/>
        </w:rPr>
      </w:pPr>
      <w:r>
        <w:rPr>
          <w:b/>
          <w:sz w:val="24"/>
          <w:szCs w:val="24"/>
        </w:rPr>
        <w:t>Groupe de travail du transport des denrées périssables</w:t>
      </w:r>
    </w:p>
    <w:p w14:paraId="5125C7D5" w14:textId="680520C7" w:rsidR="00951092" w:rsidRPr="00F30D47" w:rsidRDefault="00951092" w:rsidP="00305801">
      <w:pPr>
        <w:spacing w:before="120"/>
        <w:rPr>
          <w:b/>
        </w:rPr>
      </w:pPr>
      <w:r>
        <w:rPr>
          <w:b/>
        </w:rPr>
        <w:t xml:space="preserve">Soixante-dix-septième </w:t>
      </w:r>
      <w:r w:rsidRPr="00F30D47">
        <w:rPr>
          <w:b/>
        </w:rPr>
        <w:t>session</w:t>
      </w:r>
    </w:p>
    <w:p w14:paraId="3170249A" w14:textId="07E62B2C" w:rsidR="00951092" w:rsidRDefault="00951092" w:rsidP="00305801">
      <w:r>
        <w:t>Genève, 26-29 octobre 2021</w:t>
      </w:r>
    </w:p>
    <w:p w14:paraId="3638E2D7" w14:textId="61B34815" w:rsidR="00951092" w:rsidRDefault="00951092" w:rsidP="00305801">
      <w:r>
        <w:t>Point 5 b) de l’ordre du jour provisoire</w:t>
      </w:r>
    </w:p>
    <w:p w14:paraId="39AB9645" w14:textId="6A6391E3" w:rsidR="00951092" w:rsidRPr="00951092" w:rsidRDefault="00951092" w:rsidP="00951092">
      <w:pPr>
        <w:rPr>
          <w:b/>
          <w:bCs/>
          <w:lang w:val="fr-FR"/>
        </w:rPr>
      </w:pPr>
      <w:r>
        <w:rPr>
          <w:b/>
          <w:bCs/>
          <w:lang w:val="fr-FR"/>
        </w:rPr>
        <w:t>Propositions d’amendements à l’ATP</w:t>
      </w:r>
      <w:r>
        <w:rPr>
          <w:b/>
          <w:bCs/>
          <w:lang w:val="fr-FR"/>
        </w:rPr>
        <w:t> </w:t>
      </w:r>
      <w:r>
        <w:rPr>
          <w:b/>
          <w:bCs/>
          <w:lang w:val="fr-FR"/>
        </w:rPr>
        <w:t>:</w:t>
      </w:r>
      <w:r>
        <w:rPr>
          <w:b/>
          <w:bCs/>
          <w:lang w:val="fr-FR"/>
        </w:rPr>
        <w:t xml:space="preserve"> </w:t>
      </w:r>
      <w:r>
        <w:rPr>
          <w:b/>
          <w:bCs/>
          <w:lang w:val="fr-FR"/>
        </w:rPr>
        <w:br/>
      </w:r>
      <w:r>
        <w:rPr>
          <w:b/>
          <w:bCs/>
          <w:lang w:val="fr-FR"/>
        </w:rPr>
        <w:t>Nouvelles propositions</w:t>
      </w:r>
    </w:p>
    <w:p w14:paraId="06B0A3E5" w14:textId="2CDABF02" w:rsidR="00951092" w:rsidRPr="00F41F6A" w:rsidRDefault="00951092" w:rsidP="00951092">
      <w:pPr>
        <w:pStyle w:val="HChG"/>
      </w:pPr>
      <w:r>
        <w:rPr>
          <w:lang w:val="fr-FR"/>
        </w:rPr>
        <w:tab/>
      </w:r>
      <w:r>
        <w:rPr>
          <w:lang w:val="fr-FR"/>
        </w:rPr>
        <w:tab/>
      </w:r>
      <w:r w:rsidRPr="00951092">
        <w:rPr>
          <w:spacing w:val="3"/>
          <w:lang w:val="fr-FR"/>
        </w:rPr>
        <w:t>Proposition d’amendements aux alinéas</w:t>
      </w:r>
      <w:r w:rsidRPr="00951092">
        <w:rPr>
          <w:spacing w:val="3"/>
          <w:lang w:val="fr-FR"/>
        </w:rPr>
        <w:t> </w:t>
      </w:r>
      <w:r w:rsidRPr="00951092">
        <w:rPr>
          <w:spacing w:val="3"/>
          <w:lang w:val="fr-FR"/>
        </w:rPr>
        <w:t>a) et b) du</w:t>
      </w:r>
      <w:r w:rsidRPr="00951092">
        <w:rPr>
          <w:spacing w:val="3"/>
          <w:lang w:val="fr-FR"/>
        </w:rPr>
        <w:t> </w:t>
      </w:r>
      <w:r w:rsidRPr="00951092">
        <w:rPr>
          <w:spacing w:val="3"/>
          <w:lang w:val="fr-FR"/>
        </w:rPr>
        <w:t>paragraphe</w:t>
      </w:r>
      <w:r w:rsidRPr="00951092">
        <w:rPr>
          <w:spacing w:val="3"/>
          <w:lang w:val="fr-FR"/>
        </w:rPr>
        <w:t> </w:t>
      </w:r>
      <w:r w:rsidRPr="00951092">
        <w:rPr>
          <w:spacing w:val="3"/>
          <w:lang w:val="fr-FR"/>
        </w:rPr>
        <w:t>6 de l’appendice</w:t>
      </w:r>
      <w:r w:rsidRPr="00951092">
        <w:rPr>
          <w:spacing w:val="3"/>
          <w:lang w:val="fr-FR"/>
        </w:rPr>
        <w:t> </w:t>
      </w:r>
      <w:r w:rsidRPr="00951092">
        <w:rPr>
          <w:spacing w:val="3"/>
          <w:lang w:val="fr-FR"/>
        </w:rPr>
        <w:t>1 de l’annexe</w:t>
      </w:r>
      <w:r w:rsidRPr="00951092">
        <w:rPr>
          <w:spacing w:val="3"/>
          <w:lang w:val="fr-FR"/>
        </w:rPr>
        <w:t> </w:t>
      </w:r>
      <w:r w:rsidRPr="00951092">
        <w:rPr>
          <w:spacing w:val="3"/>
          <w:lang w:val="fr-FR"/>
        </w:rPr>
        <w:t xml:space="preserve">1 </w:t>
      </w:r>
      <w:r w:rsidRPr="00951092">
        <w:rPr>
          <w:spacing w:val="3"/>
          <w:lang w:val="fr-FR"/>
        </w:rPr>
        <w:br/>
      </w:r>
      <w:r>
        <w:rPr>
          <w:lang w:val="fr-FR"/>
        </w:rPr>
        <w:t xml:space="preserve">et au modèle </w:t>
      </w:r>
      <w:r w:rsidRPr="006C71A6">
        <w:rPr>
          <w:lang w:val="fr-FR"/>
        </w:rPr>
        <w:t>n</w:t>
      </w:r>
      <w:r w:rsidRPr="006C71A6">
        <w:rPr>
          <w:vertAlign w:val="superscript"/>
          <w:lang w:val="fr-FR"/>
        </w:rPr>
        <w:t>o</w:t>
      </w:r>
      <w:r>
        <w:rPr>
          <w:vertAlign w:val="superscript"/>
          <w:lang w:val="fr-FR"/>
        </w:rPr>
        <w:t> </w:t>
      </w:r>
      <w:r>
        <w:rPr>
          <w:lang w:val="fr-FR"/>
        </w:rPr>
        <w:t>12 de l’appendice</w:t>
      </w:r>
      <w:r>
        <w:rPr>
          <w:lang w:val="fr-FR"/>
        </w:rPr>
        <w:t> </w:t>
      </w:r>
      <w:r>
        <w:rPr>
          <w:lang w:val="fr-FR"/>
        </w:rPr>
        <w:t>2 de l’annexe</w:t>
      </w:r>
      <w:r>
        <w:rPr>
          <w:lang w:val="fr-FR"/>
        </w:rPr>
        <w:t> </w:t>
      </w:r>
      <w:r>
        <w:rPr>
          <w:lang w:val="fr-FR"/>
        </w:rPr>
        <w:t>1</w:t>
      </w:r>
      <w:r>
        <w:rPr>
          <w:lang w:val="fr-FR"/>
        </w:rPr>
        <w:t> </w:t>
      </w:r>
      <w:r>
        <w:rPr>
          <w:lang w:val="fr-FR"/>
        </w:rPr>
        <w:t xml:space="preserve">: </w:t>
      </w:r>
      <w:r>
        <w:rPr>
          <w:lang w:val="fr-FR"/>
        </w:rPr>
        <w:br/>
      </w:r>
      <w:r w:rsidRPr="00951092">
        <w:rPr>
          <w:spacing w:val="-2"/>
          <w:lang w:val="fr-FR"/>
        </w:rPr>
        <w:t>validité des procès-verbaux d’essai pour les groupes</w:t>
      </w:r>
      <w:r>
        <w:rPr>
          <w:lang w:val="fr-FR"/>
        </w:rPr>
        <w:t xml:space="preserve"> frigorifiques</w:t>
      </w:r>
    </w:p>
    <w:p w14:paraId="089596E5" w14:textId="6F96C6DC" w:rsidR="00F9573C" w:rsidRDefault="00951092" w:rsidP="00017CC7">
      <w:pPr>
        <w:pStyle w:val="H1G"/>
        <w:rPr>
          <w:lang w:val="fr-FR"/>
        </w:rPr>
      </w:pPr>
      <w:r>
        <w:rPr>
          <w:lang w:val="fr-FR"/>
        </w:rPr>
        <w:tab/>
      </w:r>
      <w:r>
        <w:rPr>
          <w:lang w:val="fr-FR"/>
        </w:rPr>
        <w:tab/>
        <w:t>Communication du Gouvernement allemand</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951092" w14:paraId="4CB06825" w14:textId="77777777">
        <w:trPr>
          <w:jc w:val="center"/>
        </w:trPr>
        <w:tc>
          <w:tcPr>
            <w:tcW w:w="9637" w:type="dxa"/>
            <w:shd w:val="clear" w:color="auto" w:fill="auto"/>
          </w:tcPr>
          <w:p w14:paraId="51A54762" w14:textId="77777777" w:rsidR="00951092" w:rsidRDefault="00951092">
            <w:pPr>
              <w:spacing w:before="240" w:after="120"/>
              <w:ind w:left="255"/>
              <w:rPr>
                <w:i/>
                <w:sz w:val="24"/>
              </w:rPr>
            </w:pPr>
            <w:r>
              <w:rPr>
                <w:i/>
                <w:sz w:val="24"/>
              </w:rPr>
              <w:t>Résumé</w:t>
            </w:r>
          </w:p>
        </w:tc>
      </w:tr>
      <w:tr w:rsidR="00951092" w14:paraId="3A440FD7" w14:textId="77777777">
        <w:trPr>
          <w:jc w:val="center"/>
        </w:trPr>
        <w:tc>
          <w:tcPr>
            <w:tcW w:w="9637" w:type="dxa"/>
            <w:shd w:val="clear" w:color="auto" w:fill="auto"/>
          </w:tcPr>
          <w:p w14:paraId="75116647" w14:textId="41BEC487" w:rsidR="00951092" w:rsidRPr="00F41F6A" w:rsidRDefault="00951092" w:rsidP="00017CC7">
            <w:pPr>
              <w:spacing w:before="120"/>
              <w:ind w:left="2523" w:right="1134" w:hanging="2268"/>
              <w:jc w:val="both"/>
            </w:pPr>
            <w:r>
              <w:rPr>
                <w:b/>
                <w:bCs/>
                <w:lang w:val="fr-FR"/>
              </w:rPr>
              <w:t>Résumé analytique</w:t>
            </w:r>
            <w:r w:rsidRPr="00951092">
              <w:rPr>
                <w:lang w:val="fr-FR"/>
              </w:rPr>
              <w:t> </w:t>
            </w:r>
            <w:r w:rsidRPr="00951092">
              <w:rPr>
                <w:lang w:val="fr-FR"/>
              </w:rPr>
              <w:t>:</w:t>
            </w:r>
            <w:r>
              <w:rPr>
                <w:lang w:val="fr-FR"/>
              </w:rPr>
              <w:tab/>
              <w:t>À la soixante et onzième session, en 2015, le Royaume-Uni a communiqué sous la cote ECE/TRANS/WP.11/2015/1 une proposition qui a abouti à une limitation à six ans de la validité des certificats de conformité de type des groupes frigorifiques.</w:t>
            </w:r>
          </w:p>
          <w:p w14:paraId="269842B6" w14:textId="1EAF4539" w:rsidR="00951092" w:rsidRDefault="00951092" w:rsidP="00017CC7">
            <w:pPr>
              <w:spacing w:before="120" w:after="120"/>
              <w:ind w:left="2548" w:right="1134"/>
              <w:jc w:val="both"/>
            </w:pPr>
            <w:r>
              <w:rPr>
                <w:lang w:val="fr-FR"/>
              </w:rPr>
              <w:t>Si aucune modification concernant l’ATP n’est effectuée sur un groupe frigorifique, un nouvel essai d’un type de groupe frigorifique précédemment homologué ne fait que reproduire les résultats du premier essai et n’aboutit pas à de nouvelles conclusions. Par conséquent, il devrait être possible de proroger la validité du certificat de conformité de type d’un groupe frigorifique non modifié sur la base de la vérification par l’autorité compétente que le groupe frigorifique a été fabriqué de manière conforme au type homologué antérieurement.</w:t>
            </w:r>
          </w:p>
        </w:tc>
      </w:tr>
      <w:tr w:rsidR="00951092" w14:paraId="36014072" w14:textId="77777777">
        <w:trPr>
          <w:jc w:val="center"/>
        </w:trPr>
        <w:tc>
          <w:tcPr>
            <w:tcW w:w="9637" w:type="dxa"/>
            <w:shd w:val="clear" w:color="auto" w:fill="auto"/>
          </w:tcPr>
          <w:p w14:paraId="052D4D75" w14:textId="705056D3" w:rsidR="00951092" w:rsidRPr="00017CC7" w:rsidRDefault="00951092" w:rsidP="00017CC7">
            <w:pPr>
              <w:spacing w:before="120" w:after="120"/>
              <w:ind w:left="2523" w:right="1134" w:hanging="2268"/>
              <w:jc w:val="both"/>
              <w:rPr>
                <w:b/>
                <w:bCs/>
                <w:lang w:val="fr-FR"/>
              </w:rPr>
            </w:pPr>
            <w:r>
              <w:rPr>
                <w:b/>
                <w:bCs/>
                <w:lang w:val="fr-FR"/>
              </w:rPr>
              <w:t>Mesure à prendre</w:t>
            </w:r>
            <w:r w:rsidRPr="00017CC7">
              <w:rPr>
                <w:lang w:val="fr-FR"/>
              </w:rPr>
              <w:t> :</w:t>
            </w:r>
            <w:r w:rsidRPr="00017CC7">
              <w:rPr>
                <w:b/>
                <w:bCs/>
                <w:lang w:val="fr-FR"/>
              </w:rPr>
              <w:tab/>
            </w:r>
            <w:r w:rsidRPr="00017CC7">
              <w:rPr>
                <w:lang w:val="fr-FR"/>
              </w:rPr>
              <w:t>Modifier les alinéas</w:t>
            </w:r>
            <w:r w:rsidRPr="00017CC7">
              <w:rPr>
                <w:lang w:val="fr-FR"/>
              </w:rPr>
              <w:t> </w:t>
            </w:r>
            <w:r w:rsidRPr="00017CC7">
              <w:rPr>
                <w:lang w:val="fr-FR"/>
              </w:rPr>
              <w:t>a) et b) du paragraphe</w:t>
            </w:r>
            <w:r w:rsidRPr="00017CC7">
              <w:rPr>
                <w:lang w:val="fr-FR"/>
              </w:rPr>
              <w:t> </w:t>
            </w:r>
            <w:r w:rsidRPr="00017CC7">
              <w:rPr>
                <w:lang w:val="fr-FR"/>
              </w:rPr>
              <w:t>6 de l’appendice</w:t>
            </w:r>
            <w:r w:rsidRPr="00017CC7">
              <w:rPr>
                <w:lang w:val="fr-FR"/>
              </w:rPr>
              <w:t> </w:t>
            </w:r>
            <w:r w:rsidRPr="00017CC7">
              <w:rPr>
                <w:lang w:val="fr-FR"/>
              </w:rPr>
              <w:t>1 de l’annexe</w:t>
            </w:r>
            <w:r w:rsidRPr="00017CC7">
              <w:rPr>
                <w:lang w:val="fr-FR"/>
              </w:rPr>
              <w:t> </w:t>
            </w:r>
            <w:r w:rsidRPr="00017CC7">
              <w:rPr>
                <w:lang w:val="fr-FR"/>
              </w:rPr>
              <w:t>1 et le modèle n</w:t>
            </w:r>
            <w:r w:rsidRPr="00017CC7">
              <w:rPr>
                <w:vertAlign w:val="superscript"/>
                <w:lang w:val="fr-FR"/>
              </w:rPr>
              <w:t>o</w:t>
            </w:r>
            <w:r w:rsidRPr="00017CC7">
              <w:rPr>
                <w:lang w:val="fr-FR"/>
              </w:rPr>
              <w:t> </w:t>
            </w:r>
            <w:r w:rsidRPr="00017CC7">
              <w:rPr>
                <w:lang w:val="fr-FR"/>
              </w:rPr>
              <w:t>12 de l’appendice</w:t>
            </w:r>
            <w:r w:rsidRPr="00017CC7">
              <w:rPr>
                <w:lang w:val="fr-FR"/>
              </w:rPr>
              <w:t> </w:t>
            </w:r>
            <w:r w:rsidRPr="00017CC7">
              <w:rPr>
                <w:lang w:val="fr-FR"/>
              </w:rPr>
              <w:t>2 de l’annexe</w:t>
            </w:r>
            <w:r w:rsidRPr="00017CC7">
              <w:rPr>
                <w:lang w:val="fr-FR"/>
              </w:rPr>
              <w:t> </w:t>
            </w:r>
            <w:r w:rsidRPr="00017CC7">
              <w:rPr>
                <w:lang w:val="fr-FR"/>
              </w:rPr>
              <w:t>1.</w:t>
            </w:r>
          </w:p>
        </w:tc>
      </w:tr>
      <w:tr w:rsidR="00951092" w14:paraId="2549A835" w14:textId="77777777">
        <w:trPr>
          <w:jc w:val="center"/>
        </w:trPr>
        <w:tc>
          <w:tcPr>
            <w:tcW w:w="9637" w:type="dxa"/>
            <w:shd w:val="clear" w:color="auto" w:fill="auto"/>
          </w:tcPr>
          <w:p w14:paraId="4F450124" w14:textId="79117480" w:rsidR="00951092" w:rsidRDefault="00951092" w:rsidP="00017CC7">
            <w:pPr>
              <w:spacing w:before="120" w:after="120"/>
              <w:ind w:left="2523" w:right="1134" w:hanging="2268"/>
              <w:jc w:val="both"/>
            </w:pPr>
            <w:r>
              <w:rPr>
                <w:b/>
                <w:bCs/>
                <w:lang w:val="fr-FR"/>
              </w:rPr>
              <w:t>Documents connexes</w:t>
            </w:r>
            <w:r w:rsidRPr="00951092">
              <w:rPr>
                <w:lang w:val="fr-FR"/>
              </w:rPr>
              <w:t> :</w:t>
            </w:r>
            <w:r>
              <w:rPr>
                <w:lang w:val="fr-FR"/>
              </w:rPr>
              <w:tab/>
              <w:t>ECE/TRANS/WP.11/2015/1, ECE/TRANS/WP.11/2018/13, ECE/TRANS/WP.11/2019/4 et ECE/TRANS/WP.11/2020/10</w:t>
            </w:r>
            <w:r>
              <w:rPr>
                <w:lang w:val="fr-FR"/>
              </w:rPr>
              <w:t>.</w:t>
            </w:r>
          </w:p>
        </w:tc>
      </w:tr>
      <w:tr w:rsidR="00951092" w14:paraId="5C1FF7FF" w14:textId="77777777">
        <w:trPr>
          <w:jc w:val="center"/>
        </w:trPr>
        <w:tc>
          <w:tcPr>
            <w:tcW w:w="9637" w:type="dxa"/>
            <w:shd w:val="clear" w:color="auto" w:fill="auto"/>
          </w:tcPr>
          <w:p w14:paraId="60208F22" w14:textId="77777777" w:rsidR="00951092" w:rsidRDefault="00951092"/>
        </w:tc>
      </w:tr>
    </w:tbl>
    <w:p w14:paraId="06FC5FE3" w14:textId="77777777" w:rsidR="00951092" w:rsidRPr="00550230" w:rsidRDefault="00951092" w:rsidP="00951092">
      <w:pPr>
        <w:pStyle w:val="HChG"/>
      </w:pPr>
      <w:r>
        <w:rPr>
          <w:lang w:val="fr-FR"/>
        </w:rPr>
        <w:lastRenderedPageBreak/>
        <w:tab/>
      </w:r>
      <w:r>
        <w:rPr>
          <w:lang w:val="fr-FR"/>
        </w:rPr>
        <w:tab/>
        <w:t>Introduction</w:t>
      </w:r>
    </w:p>
    <w:p w14:paraId="1AF73C4B" w14:textId="128E52D8" w:rsidR="00951092" w:rsidRPr="00F41F6A" w:rsidRDefault="00951092" w:rsidP="00951092">
      <w:pPr>
        <w:pStyle w:val="SingleTxtG"/>
      </w:pPr>
      <w:r>
        <w:rPr>
          <w:lang w:val="fr-FR"/>
        </w:rPr>
        <w:t>1.</w:t>
      </w:r>
      <w:r>
        <w:rPr>
          <w:lang w:val="fr-FR"/>
        </w:rPr>
        <w:tab/>
        <w:t xml:space="preserve">À la soixante et onzième session, en 2015, le Royaume-Uni a communiqué sous la cote ECE/TRANS/WP.11/2015/1 une proposition qui a abouti à l’ajout de l’additif suivant au modèle </w:t>
      </w:r>
      <w:r>
        <w:rPr>
          <w:lang w:val="fr-FR"/>
        </w:rPr>
        <w:t>n</w:t>
      </w:r>
      <w:r w:rsidRPr="00951092">
        <w:rPr>
          <w:vertAlign w:val="superscript"/>
          <w:lang w:val="fr-FR"/>
        </w:rPr>
        <w:t>o</w:t>
      </w:r>
      <w:r>
        <w:rPr>
          <w:lang w:val="fr-FR"/>
        </w:rPr>
        <w:t> </w:t>
      </w:r>
      <w:r>
        <w:rPr>
          <w:lang w:val="fr-FR"/>
        </w:rPr>
        <w:t>12 de l’appendice</w:t>
      </w:r>
      <w:r>
        <w:rPr>
          <w:lang w:val="fr-FR"/>
        </w:rPr>
        <w:t> </w:t>
      </w:r>
      <w:r>
        <w:rPr>
          <w:lang w:val="fr-FR"/>
        </w:rPr>
        <w:t>2 de l’annexe</w:t>
      </w:r>
      <w:r>
        <w:rPr>
          <w:lang w:val="fr-FR"/>
        </w:rPr>
        <w:t> </w:t>
      </w:r>
      <w:r>
        <w:rPr>
          <w:lang w:val="fr-FR"/>
        </w:rPr>
        <w:t>1</w:t>
      </w:r>
      <w:r>
        <w:rPr>
          <w:lang w:val="fr-FR"/>
        </w:rPr>
        <w:t> </w:t>
      </w:r>
      <w:r>
        <w:rPr>
          <w:lang w:val="fr-FR"/>
        </w:rPr>
        <w:t>:</w:t>
      </w:r>
    </w:p>
    <w:p w14:paraId="19D0BEE6" w14:textId="5B91EEB9" w:rsidR="00951092" w:rsidRPr="00EA5729" w:rsidRDefault="00951092" w:rsidP="00955CF8">
      <w:pPr>
        <w:pStyle w:val="SingleTxtG"/>
        <w:ind w:firstLine="567"/>
        <w:rPr>
          <w:lang w:val="fr-FR"/>
        </w:rPr>
      </w:pPr>
      <w:r>
        <w:rPr>
          <w:lang w:val="fr-FR"/>
        </w:rPr>
        <w:t>«</w:t>
      </w:r>
      <w:r>
        <w:rPr>
          <w:lang w:val="fr-FR"/>
        </w:rPr>
        <w:t> </w:t>
      </w:r>
      <w:r>
        <w:rPr>
          <w:lang w:val="fr-FR"/>
        </w:rPr>
        <w:t>Selon les résultats des essais ci-dessus, le présent procès-verbal est considéré comme un certificat de conformité de type au sens de l’alinéa</w:t>
      </w:r>
      <w:r>
        <w:rPr>
          <w:lang w:val="fr-FR"/>
        </w:rPr>
        <w:t> </w:t>
      </w:r>
      <w:r>
        <w:rPr>
          <w:lang w:val="fr-FR"/>
        </w:rPr>
        <w:t>a) du paragraphe</w:t>
      </w:r>
      <w:r>
        <w:rPr>
          <w:lang w:val="fr-FR"/>
        </w:rPr>
        <w:t> </w:t>
      </w:r>
      <w:r>
        <w:rPr>
          <w:lang w:val="fr-FR"/>
        </w:rPr>
        <w:t>6 de l’appendice</w:t>
      </w:r>
      <w:r>
        <w:rPr>
          <w:lang w:val="fr-FR"/>
        </w:rPr>
        <w:t> </w:t>
      </w:r>
      <w:r>
        <w:rPr>
          <w:lang w:val="fr-FR"/>
        </w:rPr>
        <w:t>1 de l’annexe</w:t>
      </w:r>
      <w:r>
        <w:rPr>
          <w:lang w:val="fr-FR"/>
        </w:rPr>
        <w:t> </w:t>
      </w:r>
      <w:r>
        <w:rPr>
          <w:lang w:val="fr-FR"/>
        </w:rPr>
        <w:t>1 de l’ATP, dont la validité ne peut dépasser une période de six ans, soit la date suivante …</w:t>
      </w:r>
      <w:r>
        <w:rPr>
          <w:lang w:val="fr-FR"/>
        </w:rPr>
        <w:t> </w:t>
      </w:r>
      <w:r>
        <w:rPr>
          <w:lang w:val="fr-FR"/>
        </w:rPr>
        <w:t>»</w:t>
      </w:r>
      <w:r w:rsidRPr="00EA5729">
        <w:rPr>
          <w:lang w:val="fr-FR"/>
        </w:rPr>
        <w:t>.</w:t>
      </w:r>
    </w:p>
    <w:p w14:paraId="78383320" w14:textId="08801C9B" w:rsidR="00951092" w:rsidRPr="00F41F6A" w:rsidRDefault="00951092" w:rsidP="00951092">
      <w:pPr>
        <w:pStyle w:val="SingleTxtG"/>
      </w:pPr>
      <w:r>
        <w:rPr>
          <w:lang w:val="fr-FR"/>
        </w:rPr>
        <w:t>2.</w:t>
      </w:r>
      <w:r>
        <w:rPr>
          <w:lang w:val="fr-FR"/>
        </w:rPr>
        <w:tab/>
        <w:t>Avant que cet additif n’entre en vigueur, la validité des certificats de conformité de type des groupes frigorifiques ne faisait l’objet d’aucune limitation dans le temps si aucune modification intéressant l’ATP n’avait été réalisée sur le type homologué antérieurement.</w:t>
      </w:r>
    </w:p>
    <w:p w14:paraId="1F0E4DF6" w14:textId="35D62147" w:rsidR="00951092" w:rsidRPr="00F41F6A" w:rsidRDefault="00951092" w:rsidP="00951092">
      <w:pPr>
        <w:pStyle w:val="SingleTxtG"/>
      </w:pPr>
      <w:r>
        <w:rPr>
          <w:lang w:val="fr-FR"/>
        </w:rPr>
        <w:t>3.</w:t>
      </w:r>
      <w:r>
        <w:rPr>
          <w:lang w:val="fr-FR"/>
        </w:rPr>
        <w:tab/>
        <w:t>Si aucune modification ayant une incidence négative sur les capacités de réfrigération n’est effectuée sur un groupe frigorifique, un nouvel essai d’un type de groupe frigorifique précédemment homologué ne fera que reproduire les résultats du premier essai. Il n’aboutira pas à de nouvelles conclusions ou à une amélioration de la sécurité alimentaire, mais désavantagera tout particulièrement les petites et moyennes entreprises fabriquant des groupes frigorifiques sur le plan de la compétitivité et produira à terme une distorsion de la concurrence. Cela a été prouvé et confirmé par plusieurs essais répétés sur des groupes frigorifiques au cours des dernières années.</w:t>
      </w:r>
    </w:p>
    <w:p w14:paraId="02D1893F" w14:textId="1DFB18E1" w:rsidR="00951092" w:rsidRPr="00F41F6A" w:rsidRDefault="00951092" w:rsidP="00951092">
      <w:pPr>
        <w:pStyle w:val="SingleTxtG"/>
        <w:rPr>
          <w:rFonts w:cs="Arial"/>
        </w:rPr>
      </w:pPr>
      <w:r>
        <w:rPr>
          <w:lang w:val="fr-FR"/>
        </w:rPr>
        <w:t>4.</w:t>
      </w:r>
      <w:r>
        <w:rPr>
          <w:lang w:val="fr-FR"/>
        </w:rPr>
        <w:tab/>
        <w:t>Pour les petites et moyennes entreprises fabriquant des groupes frigorifiques, la limitation de la validité des procès-verbaux d’essai représente une charge économique importante, car ces fabricants suivent souvent les besoins spécifiques de leurs clients. En</w:t>
      </w:r>
      <w:r>
        <w:rPr>
          <w:lang w:val="fr-FR"/>
        </w:rPr>
        <w:t> </w:t>
      </w:r>
      <w:r>
        <w:rPr>
          <w:lang w:val="fr-FR"/>
        </w:rPr>
        <w:t>conséquence, ils proposent un large éventail de produits spécialement conçus qui sont généralement fabriqués en petit nombre, ce qui est très différent de la production de masse.</w:t>
      </w:r>
    </w:p>
    <w:p w14:paraId="3B8AF62D" w14:textId="77777777" w:rsidR="00951092" w:rsidRPr="00F41F6A" w:rsidRDefault="00951092" w:rsidP="00951092">
      <w:pPr>
        <w:pStyle w:val="SingleTxtG"/>
        <w:rPr>
          <w:rFonts w:cs="Arial"/>
        </w:rPr>
      </w:pPr>
      <w:r>
        <w:rPr>
          <w:lang w:val="fr-FR"/>
        </w:rPr>
        <w:t>5.</w:t>
      </w:r>
      <w:r>
        <w:rPr>
          <w:lang w:val="fr-FR"/>
        </w:rPr>
        <w:tab/>
        <w:t>Après la délivrance du procès-verbal d’essai, les fabricants ne modifient pas le groupe frigorifique soumis à l’essai avant de nombreuses années. Toutefois, les coûts et les efforts qu’implique le fait de soumettre ces groupes frigorifiques non modifiés à des essais obligatoires tous les six ans sont indûment élevés, en particulier pour les engins à températures multiples, et désavantagent les petites et moyennes entreprises, comme il est expliqué ci-dessus.</w:t>
      </w:r>
    </w:p>
    <w:p w14:paraId="5D12F058" w14:textId="45641AD1" w:rsidR="00951092" w:rsidRPr="00F41F6A" w:rsidRDefault="00951092" w:rsidP="00951092">
      <w:pPr>
        <w:pStyle w:val="SingleTxtG"/>
        <w:rPr>
          <w:rFonts w:cs="Arial"/>
        </w:rPr>
      </w:pPr>
      <w:r>
        <w:rPr>
          <w:lang w:val="fr-FR"/>
        </w:rPr>
        <w:t>6.</w:t>
      </w:r>
      <w:r>
        <w:rPr>
          <w:lang w:val="fr-FR"/>
        </w:rPr>
        <w:tab/>
        <w:t xml:space="preserve">L’Allemagne a soumis à trois reprises </w:t>
      </w:r>
      <w:r>
        <w:rPr>
          <w:lang w:val="fr-FR"/>
        </w:rPr>
        <w:t>− </w:t>
      </w:r>
      <w:r>
        <w:rPr>
          <w:lang w:val="fr-FR"/>
        </w:rPr>
        <w:t>à la soixante-quatorzième, à la soixante</w:t>
      </w:r>
      <w:r>
        <w:rPr>
          <w:lang w:val="fr-FR"/>
        </w:rPr>
        <w:noBreakHyphen/>
      </w:r>
      <w:r>
        <w:rPr>
          <w:lang w:val="fr-FR"/>
        </w:rPr>
        <w:t xml:space="preserve">quinzième et à la soixante-seizième session du WP.11, une proposition visant à prendre en compte les intérêts des petites et moyennes entreprises. Les membres du WP.11 ont accepté la proposition sur le principe et ont demandé à l’Allemagne d’y ajouter une liste des principaux composants. La nouvelle proposition comprend désormais cette liste et limite </w:t>
      </w:r>
      <w:r w:rsidRPr="001D1791">
        <w:rPr>
          <w:lang w:val="fr-FR"/>
        </w:rPr>
        <w:t xml:space="preserve">à trois années supplémentaires </w:t>
      </w:r>
      <w:r>
        <w:rPr>
          <w:lang w:val="fr-FR"/>
        </w:rPr>
        <w:t>la prorogation de la durée de validité d</w:t>
      </w:r>
      <w:r w:rsidRPr="00951092">
        <w:rPr>
          <w:lang w:val="fr-FR"/>
        </w:rPr>
        <w:t>es procès-verbaux d’essai</w:t>
      </w:r>
      <w:r>
        <w:rPr>
          <w:lang w:val="fr-FR"/>
        </w:rPr>
        <w:t xml:space="preserve"> originaux, soit une durée maximale de neuf ans si aucune modification susceptible d’intéresser l’ATP n’a été effectuée sur un type de groupe frigorifique dont la conformité a précédemment été établie.</w:t>
      </w:r>
    </w:p>
    <w:p w14:paraId="3A9B4233" w14:textId="77777777" w:rsidR="00951092" w:rsidRPr="00F41F6A" w:rsidRDefault="00951092" w:rsidP="00951092">
      <w:pPr>
        <w:pStyle w:val="HChG"/>
      </w:pPr>
      <w:r>
        <w:rPr>
          <w:lang w:val="fr-FR"/>
        </w:rPr>
        <w:tab/>
      </w:r>
      <w:r>
        <w:rPr>
          <w:lang w:val="fr-FR"/>
        </w:rPr>
        <w:tab/>
        <w:t>Proposition d’amendement</w:t>
      </w:r>
    </w:p>
    <w:p w14:paraId="71477D62" w14:textId="0DD05764" w:rsidR="00951092" w:rsidRPr="00951092" w:rsidRDefault="00951092" w:rsidP="00951092">
      <w:pPr>
        <w:pStyle w:val="SingleTxtG"/>
        <w:rPr>
          <w:rFonts w:cs="Arial"/>
          <w:spacing w:val="-2"/>
        </w:rPr>
      </w:pPr>
      <w:r w:rsidRPr="00951092">
        <w:rPr>
          <w:spacing w:val="-2"/>
          <w:lang w:val="fr-FR"/>
        </w:rPr>
        <w:t>7.</w:t>
      </w:r>
      <w:r w:rsidRPr="00951092">
        <w:rPr>
          <w:spacing w:val="-2"/>
          <w:lang w:val="fr-FR"/>
        </w:rPr>
        <w:tab/>
        <w:t>Modifier les alinéas</w:t>
      </w:r>
      <w:r w:rsidRPr="00951092">
        <w:rPr>
          <w:spacing w:val="-2"/>
          <w:lang w:val="fr-FR"/>
        </w:rPr>
        <w:t> </w:t>
      </w:r>
      <w:r w:rsidRPr="00951092">
        <w:rPr>
          <w:spacing w:val="-2"/>
          <w:lang w:val="fr-FR"/>
        </w:rPr>
        <w:t>a) et b) du paragraphe</w:t>
      </w:r>
      <w:r w:rsidRPr="00951092">
        <w:rPr>
          <w:spacing w:val="-2"/>
          <w:lang w:val="fr-FR"/>
        </w:rPr>
        <w:t> </w:t>
      </w:r>
      <w:r w:rsidRPr="00951092">
        <w:rPr>
          <w:spacing w:val="-2"/>
          <w:lang w:val="fr-FR"/>
        </w:rPr>
        <w:t>6 de l’appendice</w:t>
      </w:r>
      <w:r w:rsidRPr="00951092">
        <w:rPr>
          <w:spacing w:val="-2"/>
          <w:lang w:val="fr-FR"/>
        </w:rPr>
        <w:t> </w:t>
      </w:r>
      <w:r w:rsidRPr="00951092">
        <w:rPr>
          <w:spacing w:val="-2"/>
          <w:lang w:val="fr-FR"/>
        </w:rPr>
        <w:t>1 de l’annexe</w:t>
      </w:r>
      <w:r w:rsidRPr="00951092">
        <w:rPr>
          <w:spacing w:val="-2"/>
          <w:lang w:val="fr-FR"/>
        </w:rPr>
        <w:t> </w:t>
      </w:r>
      <w:r w:rsidRPr="00951092">
        <w:rPr>
          <w:spacing w:val="-2"/>
          <w:lang w:val="fr-FR"/>
        </w:rPr>
        <w:t>1 comme suit</w:t>
      </w:r>
      <w:r w:rsidRPr="00951092">
        <w:rPr>
          <w:spacing w:val="-2"/>
          <w:lang w:val="fr-FR"/>
        </w:rPr>
        <w:t> </w:t>
      </w:r>
      <w:r w:rsidRPr="00951092">
        <w:rPr>
          <w:spacing w:val="-2"/>
          <w:lang w:val="fr-FR"/>
        </w:rPr>
        <w:t>:</w:t>
      </w:r>
    </w:p>
    <w:p w14:paraId="5EA21727" w14:textId="6C4ED05D" w:rsidR="00951092" w:rsidRPr="00F41F6A" w:rsidRDefault="00951092" w:rsidP="00951092">
      <w:pPr>
        <w:pStyle w:val="SingleTxtG"/>
        <w:ind w:left="1701"/>
      </w:pPr>
      <w:r>
        <w:rPr>
          <w:lang w:val="fr-FR"/>
        </w:rPr>
        <w:t>6</w:t>
      </w:r>
      <w:r>
        <w:rPr>
          <w:lang w:val="fr-FR"/>
        </w:rPr>
        <w:t> </w:t>
      </w:r>
      <w:r>
        <w:rPr>
          <w:lang w:val="fr-FR"/>
        </w:rPr>
        <w:t>a)</w:t>
      </w:r>
    </w:p>
    <w:p w14:paraId="0B5F2B6E" w14:textId="72598AF6" w:rsidR="00951092" w:rsidRPr="00F41F6A" w:rsidRDefault="00951092" w:rsidP="00951092">
      <w:pPr>
        <w:pStyle w:val="SingleTxtG"/>
        <w:ind w:left="1701"/>
        <w:rPr>
          <w:i/>
          <w:color w:val="000000"/>
        </w:rPr>
      </w:pPr>
      <w:r>
        <w:rPr>
          <w:b/>
          <w:i/>
          <w:iCs/>
          <w:lang w:val="fr-FR"/>
        </w:rPr>
        <w:t>i)</w:t>
      </w:r>
      <w:r>
        <w:rPr>
          <w:lang w:val="fr-FR"/>
        </w:rPr>
        <w:tab/>
      </w:r>
      <w:r>
        <w:rPr>
          <w:i/>
          <w:iCs/>
          <w:lang w:val="fr-FR"/>
        </w:rPr>
        <w:t xml:space="preserve">La délivrance de l’attestation de conformité des </w:t>
      </w:r>
      <w:r>
        <w:rPr>
          <w:i/>
          <w:iCs/>
          <w:strike/>
          <w:lang w:val="fr-FR"/>
        </w:rPr>
        <w:t>engins</w:t>
      </w:r>
      <w:r>
        <w:rPr>
          <w:i/>
          <w:iCs/>
          <w:lang w:val="fr-FR"/>
        </w:rPr>
        <w:t xml:space="preserve"> </w:t>
      </w:r>
      <w:r>
        <w:rPr>
          <w:b/>
          <w:i/>
          <w:iCs/>
          <w:lang w:val="fr-FR"/>
        </w:rPr>
        <w:t xml:space="preserve">dispositifs </w:t>
      </w:r>
      <w:r>
        <w:rPr>
          <w:i/>
          <w:iCs/>
          <w:lang w:val="fr-FR"/>
        </w:rPr>
        <w:t xml:space="preserve">neufs construits en série d’après un type déterminé pourra intervenir par l’essai d’un </w:t>
      </w:r>
      <w:r>
        <w:rPr>
          <w:i/>
          <w:iCs/>
          <w:strike/>
          <w:lang w:val="fr-FR"/>
        </w:rPr>
        <w:t>engin</w:t>
      </w:r>
      <w:r>
        <w:rPr>
          <w:i/>
          <w:iCs/>
          <w:lang w:val="fr-FR"/>
        </w:rPr>
        <w:t xml:space="preserve"> </w:t>
      </w:r>
      <w:r>
        <w:rPr>
          <w:b/>
          <w:i/>
          <w:iCs/>
          <w:lang w:val="fr-FR"/>
        </w:rPr>
        <w:t xml:space="preserve">dispositif </w:t>
      </w:r>
      <w:r>
        <w:rPr>
          <w:i/>
          <w:iCs/>
          <w:lang w:val="fr-FR"/>
        </w:rPr>
        <w:t xml:space="preserve">de ce type. Si </w:t>
      </w:r>
      <w:r>
        <w:rPr>
          <w:i/>
          <w:iCs/>
          <w:strike/>
          <w:lang w:val="fr-FR"/>
        </w:rPr>
        <w:t>l’engin</w:t>
      </w:r>
      <w:r>
        <w:rPr>
          <w:i/>
          <w:iCs/>
          <w:lang w:val="fr-FR"/>
        </w:rPr>
        <w:t xml:space="preserve"> </w:t>
      </w:r>
      <w:r>
        <w:rPr>
          <w:b/>
          <w:i/>
          <w:iCs/>
          <w:lang w:val="fr-FR"/>
        </w:rPr>
        <w:t>le dispositif</w:t>
      </w:r>
      <w:r>
        <w:rPr>
          <w:i/>
          <w:iCs/>
          <w:lang w:val="fr-FR"/>
        </w:rPr>
        <w:t xml:space="preserve"> soumis à l’essai satisfait aux conditions prescrites pour la classe, le procès-verbal résultant sera considéré comme un certificat de conformité de type. Ce </w:t>
      </w:r>
      <w:r w:rsidRPr="00E513C7">
        <w:rPr>
          <w:i/>
          <w:iCs/>
          <w:lang w:val="fr-FR"/>
        </w:rPr>
        <w:t>certificat</w:t>
      </w:r>
      <w:r w:rsidRPr="00955CF8">
        <w:rPr>
          <w:bCs/>
          <w:i/>
          <w:iCs/>
          <w:lang w:val="fr-FR"/>
        </w:rPr>
        <w:t xml:space="preserve"> </w:t>
      </w:r>
      <w:r>
        <w:rPr>
          <w:i/>
          <w:iCs/>
          <w:lang w:val="fr-FR"/>
        </w:rPr>
        <w:t>cessera d’être valable au bout d’une période de six ans à compter de la date de fin d’essai.</w:t>
      </w:r>
      <w:bookmarkStart w:id="0" w:name="_Hlk5631360"/>
      <w:bookmarkEnd w:id="0"/>
    </w:p>
    <w:p w14:paraId="5D11E2E4" w14:textId="37EAA7A7" w:rsidR="00951092" w:rsidRDefault="00951092" w:rsidP="00951092">
      <w:pPr>
        <w:pStyle w:val="SingleTxtG"/>
        <w:ind w:left="1701"/>
        <w:rPr>
          <w:b/>
          <w:i/>
          <w:iCs/>
          <w:lang w:val="fr-FR"/>
        </w:rPr>
      </w:pPr>
      <w:r w:rsidRPr="00AA5639">
        <w:rPr>
          <w:b/>
          <w:i/>
          <w:iCs/>
          <w:lang w:val="fr-FR"/>
        </w:rPr>
        <w:t>ii)</w:t>
      </w:r>
      <w:r>
        <w:rPr>
          <w:lang w:val="fr-FR"/>
        </w:rPr>
        <w:tab/>
      </w:r>
      <w:r>
        <w:rPr>
          <w:b/>
          <w:i/>
          <w:iCs/>
          <w:lang w:val="fr-FR"/>
        </w:rPr>
        <w:t>La délivrance de l’attestation de conformité des dispositifs thermiques neufs construits en série d’après un type déterminé pourra intervenir par l’essai d’un dispositif thermique de ce type.</w:t>
      </w:r>
      <w:r>
        <w:rPr>
          <w:lang w:val="fr-FR"/>
        </w:rPr>
        <w:t xml:space="preserve"> </w:t>
      </w:r>
      <w:r>
        <w:rPr>
          <w:b/>
          <w:i/>
          <w:iCs/>
          <w:lang w:val="fr-FR"/>
        </w:rPr>
        <w:t xml:space="preserve">Le procès-verbal d’essai résultant sera considéré </w:t>
      </w:r>
      <w:r>
        <w:rPr>
          <w:b/>
          <w:i/>
          <w:iCs/>
          <w:lang w:val="fr-FR"/>
        </w:rPr>
        <w:lastRenderedPageBreak/>
        <w:t>comme un certificat de conformité de type.</w:t>
      </w:r>
      <w:r>
        <w:rPr>
          <w:lang w:val="fr-FR"/>
        </w:rPr>
        <w:t xml:space="preserve"> </w:t>
      </w:r>
      <w:r>
        <w:rPr>
          <w:b/>
          <w:i/>
          <w:iCs/>
          <w:lang w:val="fr-FR"/>
        </w:rPr>
        <w:t>Ce certificat cessera d’être valable au bout d’une période de six ans à compter de la date de fin d’essai.</w:t>
      </w:r>
    </w:p>
    <w:p w14:paraId="123A2D0E" w14:textId="402E806B" w:rsidR="00951092" w:rsidRPr="00AA5639" w:rsidRDefault="00951092" w:rsidP="00951092">
      <w:pPr>
        <w:pStyle w:val="SingleTxtG"/>
        <w:ind w:left="1701"/>
        <w:rPr>
          <w:b/>
          <w:i/>
        </w:rPr>
      </w:pPr>
      <w:r w:rsidRPr="00AA5639">
        <w:rPr>
          <w:b/>
          <w:i/>
          <w:iCs/>
          <w:lang w:val="fr-FR"/>
        </w:rPr>
        <w:t>Dans le cas des groupes frigorifiques, si aucune modification susceptible d</w:t>
      </w:r>
      <w:r>
        <w:rPr>
          <w:b/>
          <w:i/>
          <w:iCs/>
          <w:lang w:val="fr-FR"/>
        </w:rPr>
        <w:t>’</w:t>
      </w:r>
      <w:r w:rsidRPr="00AA5639">
        <w:rPr>
          <w:b/>
          <w:i/>
          <w:iCs/>
          <w:lang w:val="fr-FR"/>
        </w:rPr>
        <w:t>intéresser l</w:t>
      </w:r>
      <w:r>
        <w:rPr>
          <w:b/>
          <w:i/>
          <w:iCs/>
          <w:lang w:val="fr-FR"/>
        </w:rPr>
        <w:t>’</w:t>
      </w:r>
      <w:r w:rsidRPr="00AA5639">
        <w:rPr>
          <w:b/>
          <w:i/>
          <w:iCs/>
          <w:lang w:val="fr-FR"/>
        </w:rPr>
        <w:t>ATP n</w:t>
      </w:r>
      <w:r>
        <w:rPr>
          <w:b/>
          <w:i/>
          <w:iCs/>
          <w:lang w:val="fr-FR"/>
        </w:rPr>
        <w:t>’</w:t>
      </w:r>
      <w:r w:rsidRPr="00AA5639">
        <w:rPr>
          <w:b/>
          <w:i/>
          <w:iCs/>
          <w:lang w:val="fr-FR"/>
        </w:rPr>
        <w:t>a été effectuée sur un type de groupe dont la conformité a précédemment été établie, la validité du certificat de conformité de type de ce groupe frigorifique peut être prolongée pour une période de trois ans sur la base de la vérification par l</w:t>
      </w:r>
      <w:r>
        <w:rPr>
          <w:b/>
          <w:i/>
          <w:iCs/>
          <w:lang w:val="fr-FR"/>
        </w:rPr>
        <w:t>’</w:t>
      </w:r>
      <w:r w:rsidRPr="00AA5639">
        <w:rPr>
          <w:b/>
          <w:i/>
          <w:iCs/>
          <w:lang w:val="fr-FR"/>
        </w:rPr>
        <w:t>autorité compétente que ce groupe a été fabriqué de manière conforme au type homologué antérieurement.</w:t>
      </w:r>
    </w:p>
    <w:p w14:paraId="5CDF3EF6" w14:textId="201B2722" w:rsidR="00951092" w:rsidRPr="00F41F6A" w:rsidRDefault="00951092" w:rsidP="00951092">
      <w:pPr>
        <w:pStyle w:val="SingleTxtG"/>
        <w:ind w:left="1701"/>
        <w:rPr>
          <w:i/>
          <w:color w:val="000000"/>
        </w:rPr>
      </w:pPr>
      <w:r>
        <w:rPr>
          <w:lang w:val="fr-FR"/>
        </w:rPr>
        <w:tab/>
      </w:r>
      <w:r>
        <w:rPr>
          <w:i/>
          <w:iCs/>
          <w:lang w:val="fr-FR"/>
        </w:rPr>
        <w:t>La limite de validité des procès-verbaux sera mentionnée en mois et années</w:t>
      </w:r>
      <w:r>
        <w:rPr>
          <w:i/>
          <w:iCs/>
          <w:lang w:val="fr-FR"/>
        </w:rPr>
        <w:t> </w:t>
      </w:r>
      <w:r>
        <w:rPr>
          <w:i/>
          <w:iCs/>
          <w:lang w:val="fr-FR"/>
        </w:rPr>
        <w:t>;</w:t>
      </w:r>
    </w:p>
    <w:p w14:paraId="7B7F4B24" w14:textId="53C21236" w:rsidR="00951092" w:rsidRPr="00F41F6A" w:rsidRDefault="00951092" w:rsidP="00951092">
      <w:pPr>
        <w:pStyle w:val="SingleTxtG"/>
        <w:ind w:left="1701"/>
        <w:rPr>
          <w:i/>
          <w:color w:val="000000"/>
        </w:rPr>
      </w:pPr>
      <w:r>
        <w:rPr>
          <w:lang w:val="fr-FR"/>
        </w:rPr>
        <w:tab/>
      </w:r>
      <w:r>
        <w:rPr>
          <w:i/>
          <w:iCs/>
          <w:lang w:val="fr-FR"/>
        </w:rPr>
        <w:t>6</w:t>
      </w:r>
      <w:r>
        <w:rPr>
          <w:i/>
          <w:iCs/>
          <w:lang w:val="fr-FR"/>
        </w:rPr>
        <w:t> </w:t>
      </w:r>
      <w:r>
        <w:rPr>
          <w:i/>
          <w:iCs/>
          <w:lang w:val="fr-FR"/>
        </w:rPr>
        <w:t>b)</w:t>
      </w:r>
      <w:r>
        <w:rPr>
          <w:lang w:val="fr-FR"/>
        </w:rPr>
        <w:tab/>
      </w:r>
      <w:r>
        <w:rPr>
          <w:i/>
          <w:iCs/>
          <w:lang w:val="fr-FR"/>
        </w:rPr>
        <w:t xml:space="preserve">L’autorité compétente prendra des mesures pour vérifier que la production </w:t>
      </w:r>
      <w:r w:rsidRPr="00E73333">
        <w:rPr>
          <w:i/>
          <w:iCs/>
          <w:strike/>
          <w:lang w:val="fr-FR"/>
        </w:rPr>
        <w:t>des</w:t>
      </w:r>
      <w:r>
        <w:rPr>
          <w:i/>
          <w:iCs/>
          <w:lang w:val="fr-FR"/>
        </w:rPr>
        <w:t xml:space="preserve"> </w:t>
      </w:r>
      <w:r>
        <w:rPr>
          <w:i/>
          <w:iCs/>
          <w:strike/>
          <w:lang w:val="fr-FR"/>
        </w:rPr>
        <w:t>autres engins</w:t>
      </w:r>
      <w:r>
        <w:rPr>
          <w:i/>
          <w:iCs/>
          <w:lang w:val="fr-FR"/>
        </w:rPr>
        <w:t xml:space="preserve"> </w:t>
      </w:r>
      <w:r w:rsidRPr="00E73333">
        <w:rPr>
          <w:b/>
          <w:i/>
          <w:iCs/>
          <w:lang w:val="fr-FR"/>
        </w:rPr>
        <w:t>de tous les</w:t>
      </w:r>
      <w:r>
        <w:rPr>
          <w:i/>
          <w:iCs/>
          <w:lang w:val="fr-FR"/>
        </w:rPr>
        <w:t xml:space="preserve"> </w:t>
      </w:r>
      <w:r>
        <w:rPr>
          <w:b/>
          <w:i/>
          <w:iCs/>
          <w:lang w:val="fr-FR"/>
        </w:rPr>
        <w:t xml:space="preserve">dispositifs </w:t>
      </w:r>
      <w:r>
        <w:rPr>
          <w:i/>
          <w:iCs/>
          <w:lang w:val="fr-FR"/>
        </w:rPr>
        <w:t>est conforme au type agréé.</w:t>
      </w:r>
      <w:r>
        <w:rPr>
          <w:lang w:val="fr-FR"/>
        </w:rPr>
        <w:t xml:space="preserve"> </w:t>
      </w:r>
      <w:r>
        <w:rPr>
          <w:i/>
          <w:iCs/>
          <w:lang w:val="fr-FR"/>
        </w:rPr>
        <w:t xml:space="preserve">À cette fin, </w:t>
      </w:r>
      <w:r>
        <w:rPr>
          <w:i/>
          <w:iCs/>
          <w:strike/>
          <w:lang w:val="fr-FR"/>
        </w:rPr>
        <w:t>elle</w:t>
      </w:r>
      <w:r>
        <w:rPr>
          <w:i/>
          <w:iCs/>
          <w:lang w:val="fr-FR"/>
        </w:rPr>
        <w:t xml:space="preserve"> </w:t>
      </w:r>
      <w:r w:rsidRPr="00E73333">
        <w:rPr>
          <w:b/>
          <w:i/>
          <w:iCs/>
          <w:lang w:val="fr-FR"/>
        </w:rPr>
        <w:t>l</w:t>
      </w:r>
      <w:r>
        <w:rPr>
          <w:b/>
          <w:i/>
          <w:iCs/>
          <w:lang w:val="fr-FR"/>
        </w:rPr>
        <w:t>’</w:t>
      </w:r>
      <w:r w:rsidRPr="00E73333">
        <w:rPr>
          <w:b/>
          <w:i/>
          <w:iCs/>
          <w:lang w:val="fr-FR"/>
        </w:rPr>
        <w:t>autorité compétente du pays de fabrication</w:t>
      </w:r>
      <w:r>
        <w:rPr>
          <w:i/>
          <w:iCs/>
          <w:lang w:val="fr-FR"/>
        </w:rPr>
        <w:t xml:space="preserve"> pourra procéder à des vérifications par l’essai d’échantillons </w:t>
      </w:r>
      <w:r>
        <w:rPr>
          <w:i/>
          <w:iCs/>
          <w:strike/>
          <w:lang w:val="fr-FR"/>
        </w:rPr>
        <w:t>d’engins</w:t>
      </w:r>
      <w:r>
        <w:rPr>
          <w:i/>
          <w:iCs/>
          <w:lang w:val="fr-FR"/>
        </w:rPr>
        <w:t xml:space="preserve"> </w:t>
      </w:r>
      <w:r>
        <w:rPr>
          <w:b/>
          <w:i/>
          <w:iCs/>
          <w:lang w:val="fr-FR"/>
        </w:rPr>
        <w:t>de dispositifs</w:t>
      </w:r>
      <w:r>
        <w:rPr>
          <w:i/>
          <w:iCs/>
          <w:lang w:val="fr-FR"/>
        </w:rPr>
        <w:t xml:space="preserve"> pris au hasard dans la série de production.</w:t>
      </w:r>
    </w:p>
    <w:p w14:paraId="5D7293DF" w14:textId="03DFC2A1" w:rsidR="00951092" w:rsidRPr="00F41F6A" w:rsidRDefault="00951092" w:rsidP="00951092">
      <w:pPr>
        <w:pStyle w:val="SingleTxtG"/>
      </w:pPr>
      <w:r>
        <w:rPr>
          <w:lang w:val="fr-FR"/>
        </w:rPr>
        <w:t>8.</w:t>
      </w:r>
      <w:r>
        <w:rPr>
          <w:lang w:val="fr-FR"/>
        </w:rPr>
        <w:tab/>
        <w:t xml:space="preserve">Insérer </w:t>
      </w:r>
      <w:r w:rsidRPr="002E4F5C">
        <w:rPr>
          <w:lang w:val="fr-FR"/>
        </w:rPr>
        <w:t>d</w:t>
      </w:r>
      <w:r>
        <w:rPr>
          <w:lang w:val="fr-FR"/>
        </w:rPr>
        <w:t>ans le</w:t>
      </w:r>
      <w:r w:rsidRPr="002E4F5C">
        <w:rPr>
          <w:lang w:val="fr-FR"/>
        </w:rPr>
        <w:t xml:space="preserve"> modèle </w:t>
      </w:r>
      <w:r>
        <w:rPr>
          <w:lang w:val="fr-FR"/>
        </w:rPr>
        <w:t>n</w:t>
      </w:r>
      <w:r w:rsidRPr="00951092">
        <w:rPr>
          <w:vertAlign w:val="superscript"/>
          <w:lang w:val="fr-FR"/>
        </w:rPr>
        <w:t>o</w:t>
      </w:r>
      <w:r>
        <w:rPr>
          <w:lang w:val="fr-FR"/>
        </w:rPr>
        <w:t> </w:t>
      </w:r>
      <w:r w:rsidRPr="002E4F5C">
        <w:rPr>
          <w:lang w:val="fr-FR"/>
        </w:rPr>
        <w:t>12</w:t>
      </w:r>
      <w:r>
        <w:rPr>
          <w:lang w:val="fr-FR"/>
        </w:rPr>
        <w:t xml:space="preserve"> de l’appendice</w:t>
      </w:r>
      <w:r>
        <w:rPr>
          <w:lang w:val="fr-FR"/>
        </w:rPr>
        <w:t> </w:t>
      </w:r>
      <w:r>
        <w:rPr>
          <w:lang w:val="fr-FR"/>
        </w:rPr>
        <w:t>2 de l’annexe</w:t>
      </w:r>
      <w:r>
        <w:rPr>
          <w:lang w:val="fr-FR"/>
        </w:rPr>
        <w:t> </w:t>
      </w:r>
      <w:r>
        <w:rPr>
          <w:lang w:val="fr-FR"/>
        </w:rPr>
        <w:t>1</w:t>
      </w:r>
      <w:r w:rsidRPr="006B359A">
        <w:t xml:space="preserve"> </w:t>
      </w:r>
      <w:r w:rsidRPr="006B359A">
        <w:rPr>
          <w:lang w:val="fr-FR"/>
        </w:rPr>
        <w:t>le texte suivant</w:t>
      </w:r>
      <w:r>
        <w:rPr>
          <w:lang w:val="fr-FR"/>
        </w:rPr>
        <w:t>, après d)</w:t>
      </w:r>
      <w:r>
        <w:rPr>
          <w:lang w:val="fr-FR"/>
        </w:rPr>
        <w:t> </w:t>
      </w:r>
      <w:r>
        <w:rPr>
          <w:lang w:val="fr-FR"/>
        </w:rPr>
        <w:t>Observations</w:t>
      </w:r>
      <w:r>
        <w:rPr>
          <w:lang w:val="fr-FR"/>
        </w:rPr>
        <w:t> </w:t>
      </w:r>
      <w:r>
        <w:rPr>
          <w:lang w:val="fr-FR"/>
        </w:rPr>
        <w:t>:</w:t>
      </w:r>
    </w:p>
    <w:p w14:paraId="0F9FAC27" w14:textId="6B1B3F66" w:rsidR="00951092" w:rsidRPr="00F41F6A" w:rsidRDefault="00951092" w:rsidP="00951092">
      <w:pPr>
        <w:pStyle w:val="SingleTxtG"/>
        <w:ind w:left="1701"/>
        <w:rPr>
          <w:rFonts w:cs="Arial"/>
          <w:b/>
          <w:i/>
        </w:rPr>
      </w:pPr>
      <w:r>
        <w:rPr>
          <w:b/>
          <w:i/>
          <w:iCs/>
          <w:lang w:val="fr-FR"/>
        </w:rPr>
        <w:t>Nouvelle homologation de type</w:t>
      </w:r>
      <w:r w:rsidRPr="00955CF8">
        <w:rPr>
          <w:bCs/>
          <w:i/>
          <w:iCs/>
          <w:lang w:val="fr-FR"/>
        </w:rPr>
        <w:t> </w:t>
      </w:r>
      <w:r w:rsidRPr="00955CF8">
        <w:rPr>
          <w:bCs/>
          <w:i/>
          <w:iCs/>
          <w:lang w:val="fr-FR"/>
        </w:rPr>
        <w:t>:</w:t>
      </w:r>
    </w:p>
    <w:p w14:paraId="7B9C1B59" w14:textId="081641B7" w:rsidR="00951092" w:rsidRPr="00F41F6A" w:rsidRDefault="00951092" w:rsidP="00951092">
      <w:pPr>
        <w:pStyle w:val="SingleTxtG"/>
        <w:ind w:left="1701"/>
        <w:rPr>
          <w:b/>
          <w:i/>
          <w:color w:val="000000"/>
        </w:rPr>
      </w:pPr>
      <w:r>
        <w:rPr>
          <w:i/>
          <w:iCs/>
          <w:lang w:val="fr-FR"/>
        </w:rPr>
        <w:t xml:space="preserve">Selon les résultats des essais ci-dessus, le présent procès-verbal est considéré comme un certificat </w:t>
      </w:r>
      <w:r>
        <w:rPr>
          <w:b/>
          <w:i/>
          <w:iCs/>
          <w:lang w:val="fr-FR"/>
        </w:rPr>
        <w:t>de nouvelle</w:t>
      </w:r>
      <w:r>
        <w:rPr>
          <w:i/>
          <w:iCs/>
          <w:lang w:val="fr-FR"/>
        </w:rPr>
        <w:t xml:space="preserve"> homologation de type au sens de l’alinéa a) du paragraphe 6 de l’appendice 1 de l’annexe 1 de l’ATP, dont la validité ne peut dépasser une période de six ans, soit la date suivante :…………………………</w:t>
      </w:r>
    </w:p>
    <w:p w14:paraId="2ED2149A" w14:textId="003C8105" w:rsidR="00951092" w:rsidRPr="00A3381F" w:rsidRDefault="00951092" w:rsidP="00951092">
      <w:pPr>
        <w:pStyle w:val="SingleTxtG"/>
        <w:ind w:left="1701"/>
        <w:rPr>
          <w:rFonts w:ascii="Times New Roman Gras" w:hAnsi="Times New Roman Gras"/>
          <w:b/>
          <w:i/>
          <w:color w:val="000000"/>
          <w:spacing w:val="-3"/>
        </w:rPr>
      </w:pPr>
      <w:r w:rsidRPr="00A3381F">
        <w:rPr>
          <w:rFonts w:ascii="Times New Roman Gras" w:hAnsi="Times New Roman Gras"/>
          <w:b/>
          <w:i/>
          <w:iCs/>
          <w:spacing w:val="-3"/>
          <w:lang w:val="fr-FR"/>
        </w:rPr>
        <w:t>Extension d’homologation de type</w:t>
      </w:r>
      <w:r w:rsidRPr="00A3381F">
        <w:rPr>
          <w:rFonts w:ascii="Times New Roman Gras" w:hAnsi="Times New Roman Gras"/>
          <w:b/>
          <w:i/>
          <w:iCs/>
          <w:spacing w:val="-3"/>
          <w:lang w:val="fr-FR"/>
        </w:rPr>
        <w:t> </w:t>
      </w:r>
      <w:r w:rsidRPr="00A3381F">
        <w:rPr>
          <w:rFonts w:ascii="Times New Roman Gras" w:hAnsi="Times New Roman Gras"/>
          <w:b/>
          <w:i/>
          <w:iCs/>
          <w:spacing w:val="-3"/>
          <w:lang w:val="fr-FR"/>
        </w:rPr>
        <w:t>:</w:t>
      </w:r>
      <w:r w:rsidRPr="00A3381F">
        <w:rPr>
          <w:rFonts w:ascii="Times New Roman Gras" w:hAnsi="Times New Roman Gras"/>
          <w:spacing w:val="-3"/>
          <w:lang w:val="fr-FR"/>
        </w:rPr>
        <w:t xml:space="preserve"> </w:t>
      </w:r>
      <w:r w:rsidRPr="00A3381F">
        <w:rPr>
          <w:rFonts w:ascii="Times New Roman Gras" w:hAnsi="Times New Roman Gras"/>
          <w:b/>
          <w:i/>
          <w:iCs/>
          <w:spacing w:val="-3"/>
          <w:lang w:val="fr-FR"/>
        </w:rPr>
        <w:t>Compte tenu des résultats des essais ci-dessus et de la liste des principaux composants ci-après, dont les valeurs doivent être égales, équivalentes ou supérieures à ces résultats, la validité du présent procès</w:t>
      </w:r>
      <w:r w:rsidR="00955CF8" w:rsidRPr="00A3381F">
        <w:rPr>
          <w:rFonts w:ascii="Times New Roman Gras" w:hAnsi="Times New Roman Gras"/>
          <w:b/>
          <w:i/>
          <w:iCs/>
          <w:spacing w:val="-3"/>
          <w:lang w:val="fr-FR"/>
        </w:rPr>
        <w:noBreakHyphen/>
      </w:r>
      <w:r w:rsidRPr="00A3381F">
        <w:rPr>
          <w:rFonts w:ascii="Times New Roman Gras" w:hAnsi="Times New Roman Gras"/>
          <w:b/>
          <w:i/>
          <w:iCs/>
          <w:spacing w:val="-3"/>
          <w:lang w:val="fr-FR"/>
        </w:rPr>
        <w:t>verbal fera l’objet d’une prorogation sous forme de certificat au sens de l’alinéa</w:t>
      </w:r>
      <w:r w:rsidRPr="00A3381F">
        <w:rPr>
          <w:rFonts w:ascii="Times New Roman Gras" w:hAnsi="Times New Roman Gras"/>
          <w:b/>
          <w:i/>
          <w:iCs/>
          <w:spacing w:val="-3"/>
          <w:lang w:val="fr-FR"/>
        </w:rPr>
        <w:t> </w:t>
      </w:r>
      <w:r w:rsidRPr="00A3381F">
        <w:rPr>
          <w:rFonts w:ascii="Times New Roman Gras" w:hAnsi="Times New Roman Gras"/>
          <w:b/>
          <w:i/>
          <w:iCs/>
          <w:spacing w:val="-3"/>
          <w:lang w:val="fr-FR"/>
        </w:rPr>
        <w:t>a) du paragraphe</w:t>
      </w:r>
      <w:r w:rsidRPr="00A3381F">
        <w:rPr>
          <w:rFonts w:ascii="Times New Roman Gras" w:hAnsi="Times New Roman Gras"/>
          <w:b/>
          <w:i/>
          <w:iCs/>
          <w:spacing w:val="-3"/>
          <w:lang w:val="fr-FR"/>
        </w:rPr>
        <w:t> </w:t>
      </w:r>
      <w:r w:rsidRPr="00A3381F">
        <w:rPr>
          <w:rFonts w:ascii="Times New Roman Gras" w:hAnsi="Times New Roman Gras"/>
          <w:b/>
          <w:i/>
          <w:iCs/>
          <w:spacing w:val="-3"/>
          <w:lang w:val="fr-FR"/>
        </w:rPr>
        <w:t>6 de l’appendice</w:t>
      </w:r>
      <w:r w:rsidRPr="00A3381F">
        <w:rPr>
          <w:rFonts w:ascii="Times New Roman Gras" w:hAnsi="Times New Roman Gras"/>
          <w:b/>
          <w:i/>
          <w:iCs/>
          <w:spacing w:val="-3"/>
          <w:lang w:val="fr-FR"/>
        </w:rPr>
        <w:t> </w:t>
      </w:r>
      <w:r w:rsidRPr="00A3381F">
        <w:rPr>
          <w:rFonts w:ascii="Times New Roman Gras" w:hAnsi="Times New Roman Gras"/>
          <w:b/>
          <w:i/>
          <w:iCs/>
          <w:spacing w:val="-3"/>
          <w:lang w:val="fr-FR"/>
        </w:rPr>
        <w:t>1 de l’annexe</w:t>
      </w:r>
      <w:r w:rsidRPr="00A3381F">
        <w:rPr>
          <w:rFonts w:ascii="Times New Roman Gras" w:hAnsi="Times New Roman Gras"/>
          <w:b/>
          <w:i/>
          <w:iCs/>
          <w:spacing w:val="-3"/>
          <w:lang w:val="fr-FR"/>
        </w:rPr>
        <w:t> </w:t>
      </w:r>
      <w:r w:rsidRPr="00A3381F">
        <w:rPr>
          <w:rFonts w:ascii="Times New Roman Gras" w:hAnsi="Times New Roman Gras"/>
          <w:b/>
          <w:i/>
          <w:iCs/>
          <w:spacing w:val="-3"/>
          <w:lang w:val="fr-FR"/>
        </w:rPr>
        <w:t>1 de l’ATP, une seule fois et pour une période ne dépassant pas trois ans, c’est-à-dire jusqu’à</w:t>
      </w:r>
      <w:r w:rsidRPr="00A3381F">
        <w:rPr>
          <w:rFonts w:ascii="Times New Roman Gras" w:hAnsi="Times New Roman Gras"/>
          <w:b/>
          <w:i/>
          <w:iCs/>
          <w:spacing w:val="-3"/>
          <w:lang w:val="fr-FR"/>
        </w:rPr>
        <w:t> </w:t>
      </w:r>
      <w:r w:rsidRPr="00A3381F">
        <w:rPr>
          <w:rFonts w:ascii="Times New Roman Gras" w:hAnsi="Times New Roman Gras"/>
          <w:b/>
          <w:i/>
          <w:iCs/>
          <w:spacing w:val="-3"/>
          <w:lang w:val="fr-FR"/>
        </w:rPr>
        <w:t>:</w:t>
      </w:r>
      <w:r w:rsidR="00955CF8" w:rsidRPr="00A3381F">
        <w:rPr>
          <w:rFonts w:ascii="Times New Roman Gras" w:hAnsi="Times New Roman Gras"/>
          <w:b/>
          <w:i/>
          <w:iCs/>
          <w:spacing w:val="-3"/>
          <w:lang w:val="fr-FR"/>
        </w:rPr>
        <w:t> </w:t>
      </w:r>
      <w:r w:rsidRPr="00A3381F">
        <w:rPr>
          <w:rFonts w:ascii="Times New Roman Gras" w:hAnsi="Times New Roman Gras"/>
          <w:b/>
          <w:i/>
          <w:iCs/>
          <w:spacing w:val="-3"/>
          <w:lang w:val="fr-FR"/>
        </w:rPr>
        <w:t>........................................</w:t>
      </w:r>
    </w:p>
    <w:p w14:paraId="434CCC2E" w14:textId="02F7A73F" w:rsidR="00951092" w:rsidRPr="00951092" w:rsidRDefault="00951092" w:rsidP="00955CF8">
      <w:pPr>
        <w:pStyle w:val="SingleTxtG"/>
        <w:rPr>
          <w:b/>
          <w:i/>
          <w:iCs/>
          <w:lang w:val="fr-FR"/>
        </w:rPr>
      </w:pPr>
      <w:r>
        <w:rPr>
          <w:b/>
          <w:i/>
          <w:iCs/>
          <w:lang w:val="fr-FR"/>
        </w:rPr>
        <w:t xml:space="preserve">Liste des principaux composants fondée </w:t>
      </w:r>
      <w:r w:rsidRPr="00951092">
        <w:rPr>
          <w:b/>
          <w:i/>
          <w:iCs/>
          <w:lang w:val="fr-FR"/>
        </w:rPr>
        <w:t>sur le procès-verbal d’essai</w:t>
      </w:r>
      <w:r>
        <w:rPr>
          <w:b/>
          <w:i/>
          <w:iCs/>
          <w:lang w:val="fr-FR"/>
        </w:rPr>
        <w:t xml:space="preserve"> ci-dessus</w:t>
      </w:r>
      <w:r>
        <w:rPr>
          <w:b/>
          <w:i/>
          <w:iCs/>
          <w:lang w:val="fr-FR"/>
        </w:rPr>
        <w:t> </w:t>
      </w:r>
      <w:r>
        <w:rPr>
          <w:b/>
          <w:i/>
          <w:iCs/>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2856"/>
        <w:gridCol w:w="3113"/>
        <w:gridCol w:w="1401"/>
      </w:tblGrid>
      <w:tr w:rsidR="00951092" w:rsidRPr="00951092" w14:paraId="1FC4B4ED" w14:textId="29CE1D59" w:rsidTr="00A3381F">
        <w:tc>
          <w:tcPr>
            <w:tcW w:w="2856" w:type="dxa"/>
            <w:shd w:val="clear" w:color="auto" w:fill="auto"/>
          </w:tcPr>
          <w:p w14:paraId="1E9D7CF6" w14:textId="1D1ED185" w:rsidR="00951092" w:rsidRPr="00951092" w:rsidRDefault="00951092" w:rsidP="00955CF8">
            <w:pPr>
              <w:ind w:right="224"/>
              <w:rPr>
                <w:b/>
                <w:bCs/>
                <w:i/>
                <w:lang w:val="en-US"/>
              </w:rPr>
            </w:pPr>
            <w:r w:rsidRPr="00951092">
              <w:rPr>
                <w:b/>
                <w:bCs/>
                <w:i/>
                <w:lang w:val="fr-FR"/>
              </w:rPr>
              <w:t>Agent frigorigène</w:t>
            </w:r>
          </w:p>
        </w:tc>
        <w:tc>
          <w:tcPr>
            <w:tcW w:w="3113" w:type="dxa"/>
            <w:shd w:val="clear" w:color="auto" w:fill="auto"/>
          </w:tcPr>
          <w:p w14:paraId="1ACFA204" w14:textId="2C2446F3" w:rsidR="00951092" w:rsidRPr="00951092" w:rsidRDefault="00951092" w:rsidP="00951092">
            <w:pPr>
              <w:ind w:right="1134"/>
              <w:rPr>
                <w:b/>
                <w:bCs/>
                <w:i/>
                <w:lang w:val="fr-FR"/>
              </w:rPr>
            </w:pPr>
            <w:r w:rsidRPr="00951092">
              <w:rPr>
                <w:b/>
                <w:bCs/>
                <w:i/>
                <w:lang w:val="fr-FR"/>
              </w:rPr>
              <w:t>Fluide frigorigène</w:t>
            </w:r>
          </w:p>
        </w:tc>
        <w:tc>
          <w:tcPr>
            <w:tcW w:w="1401" w:type="dxa"/>
            <w:shd w:val="clear" w:color="auto" w:fill="auto"/>
          </w:tcPr>
          <w:p w14:paraId="2A873338" w14:textId="77777777" w:rsidR="00951092" w:rsidRPr="00951092" w:rsidRDefault="00951092" w:rsidP="00951092">
            <w:pPr>
              <w:ind w:right="1134"/>
              <w:rPr>
                <w:b/>
                <w:bCs/>
                <w:i/>
                <w:lang w:val="fr-FR"/>
              </w:rPr>
            </w:pPr>
          </w:p>
        </w:tc>
      </w:tr>
      <w:tr w:rsidR="00951092" w:rsidRPr="00951092" w14:paraId="4B5AB3DB" w14:textId="74400955" w:rsidTr="00A3381F">
        <w:tc>
          <w:tcPr>
            <w:tcW w:w="2856" w:type="dxa"/>
            <w:shd w:val="clear" w:color="auto" w:fill="auto"/>
          </w:tcPr>
          <w:p w14:paraId="7780A02D" w14:textId="77777777" w:rsidR="00951092" w:rsidRPr="00951092" w:rsidRDefault="00951092" w:rsidP="00951092">
            <w:pPr>
              <w:ind w:right="1134"/>
              <w:rPr>
                <w:b/>
                <w:bCs/>
                <w:i/>
                <w:lang w:val="en-US"/>
              </w:rPr>
            </w:pPr>
          </w:p>
        </w:tc>
        <w:tc>
          <w:tcPr>
            <w:tcW w:w="3113" w:type="dxa"/>
            <w:shd w:val="clear" w:color="auto" w:fill="auto"/>
          </w:tcPr>
          <w:p w14:paraId="1C8DC633" w14:textId="77777777" w:rsidR="00951092" w:rsidRPr="00951092" w:rsidRDefault="00951092" w:rsidP="00951092">
            <w:pPr>
              <w:ind w:right="1134"/>
              <w:rPr>
                <w:b/>
                <w:bCs/>
                <w:i/>
              </w:rPr>
            </w:pPr>
            <w:r w:rsidRPr="00951092">
              <w:rPr>
                <w:b/>
                <w:bCs/>
                <w:i/>
                <w:lang w:val="fr-FR"/>
              </w:rPr>
              <w:t>Charge de frigorigène</w:t>
            </w:r>
          </w:p>
        </w:tc>
        <w:tc>
          <w:tcPr>
            <w:tcW w:w="1401" w:type="dxa"/>
            <w:shd w:val="clear" w:color="auto" w:fill="auto"/>
          </w:tcPr>
          <w:p w14:paraId="05F96314" w14:textId="77777777" w:rsidR="00951092" w:rsidRPr="00951092" w:rsidRDefault="00951092" w:rsidP="00951092">
            <w:pPr>
              <w:ind w:right="1134"/>
              <w:rPr>
                <w:b/>
                <w:bCs/>
                <w:i/>
              </w:rPr>
            </w:pPr>
            <w:r w:rsidRPr="00951092">
              <w:rPr>
                <w:b/>
                <w:bCs/>
                <w:i/>
                <w:lang w:val="fr-FR"/>
              </w:rPr>
              <w:t>kg</w:t>
            </w:r>
          </w:p>
        </w:tc>
      </w:tr>
      <w:tr w:rsidR="00951092" w:rsidRPr="00951092" w14:paraId="0535E7B5" w14:textId="0627D6A0" w:rsidTr="00A3381F">
        <w:tc>
          <w:tcPr>
            <w:tcW w:w="2856" w:type="dxa"/>
            <w:shd w:val="clear" w:color="auto" w:fill="auto"/>
          </w:tcPr>
          <w:p w14:paraId="71B2BE3C" w14:textId="77777777" w:rsidR="00951092" w:rsidRPr="00951092" w:rsidRDefault="00951092" w:rsidP="00951092">
            <w:pPr>
              <w:ind w:right="508"/>
              <w:rPr>
                <w:b/>
                <w:bCs/>
                <w:i/>
                <w:lang w:val="en-US"/>
              </w:rPr>
            </w:pPr>
          </w:p>
        </w:tc>
        <w:tc>
          <w:tcPr>
            <w:tcW w:w="3113" w:type="dxa"/>
            <w:shd w:val="clear" w:color="auto" w:fill="auto"/>
          </w:tcPr>
          <w:p w14:paraId="7138F04A" w14:textId="77777777" w:rsidR="00951092" w:rsidRPr="00951092" w:rsidRDefault="00951092" w:rsidP="00951092">
            <w:pPr>
              <w:ind w:right="1134"/>
              <w:rPr>
                <w:b/>
                <w:bCs/>
                <w:i/>
                <w:lang w:val="en-US"/>
              </w:rPr>
            </w:pPr>
          </w:p>
        </w:tc>
        <w:tc>
          <w:tcPr>
            <w:tcW w:w="1401" w:type="dxa"/>
            <w:shd w:val="clear" w:color="auto" w:fill="auto"/>
          </w:tcPr>
          <w:p w14:paraId="306747B0" w14:textId="77777777" w:rsidR="00951092" w:rsidRPr="00951092" w:rsidRDefault="00951092" w:rsidP="00951092">
            <w:pPr>
              <w:ind w:right="1134"/>
              <w:rPr>
                <w:b/>
                <w:bCs/>
                <w:i/>
                <w:lang w:val="en-US"/>
              </w:rPr>
            </w:pPr>
          </w:p>
        </w:tc>
      </w:tr>
      <w:tr w:rsidR="00951092" w:rsidRPr="00951092" w14:paraId="35F3E8A1" w14:textId="5207DD81" w:rsidTr="00A3381F">
        <w:tc>
          <w:tcPr>
            <w:tcW w:w="2856" w:type="dxa"/>
            <w:shd w:val="clear" w:color="auto" w:fill="auto"/>
          </w:tcPr>
          <w:p w14:paraId="0006CA26" w14:textId="77777777" w:rsidR="00951092" w:rsidRPr="00951092" w:rsidRDefault="00951092" w:rsidP="00951092">
            <w:pPr>
              <w:ind w:right="508"/>
              <w:rPr>
                <w:b/>
                <w:bCs/>
                <w:i/>
              </w:rPr>
            </w:pPr>
            <w:r w:rsidRPr="00951092">
              <w:rPr>
                <w:b/>
                <w:bCs/>
                <w:i/>
                <w:lang w:val="fr-FR"/>
              </w:rPr>
              <w:t>Compresseur</w:t>
            </w:r>
          </w:p>
        </w:tc>
        <w:tc>
          <w:tcPr>
            <w:tcW w:w="3113" w:type="dxa"/>
            <w:shd w:val="clear" w:color="auto" w:fill="auto"/>
          </w:tcPr>
          <w:p w14:paraId="1F85BA8C" w14:textId="77777777" w:rsidR="00951092" w:rsidRPr="00951092" w:rsidRDefault="00951092" w:rsidP="00951092">
            <w:pPr>
              <w:ind w:right="1134"/>
              <w:rPr>
                <w:b/>
                <w:bCs/>
                <w:i/>
              </w:rPr>
            </w:pPr>
            <w:r w:rsidRPr="00951092">
              <w:rPr>
                <w:b/>
                <w:bCs/>
                <w:i/>
                <w:lang w:val="fr-FR"/>
              </w:rPr>
              <w:t>Type</w:t>
            </w:r>
          </w:p>
        </w:tc>
        <w:tc>
          <w:tcPr>
            <w:tcW w:w="1401" w:type="dxa"/>
            <w:shd w:val="clear" w:color="auto" w:fill="auto"/>
          </w:tcPr>
          <w:p w14:paraId="68523CD0" w14:textId="77777777" w:rsidR="00951092" w:rsidRPr="00951092" w:rsidRDefault="00951092" w:rsidP="00951092">
            <w:pPr>
              <w:ind w:right="1134"/>
              <w:rPr>
                <w:b/>
                <w:bCs/>
                <w:i/>
                <w:lang w:val="en-US"/>
              </w:rPr>
            </w:pPr>
          </w:p>
        </w:tc>
      </w:tr>
      <w:tr w:rsidR="00951092" w:rsidRPr="00951092" w14:paraId="54C78153" w14:textId="5677E0C2" w:rsidTr="00A3381F">
        <w:tc>
          <w:tcPr>
            <w:tcW w:w="2856" w:type="dxa"/>
            <w:shd w:val="clear" w:color="auto" w:fill="auto"/>
          </w:tcPr>
          <w:p w14:paraId="693045FF" w14:textId="77777777" w:rsidR="00951092" w:rsidRPr="00951092" w:rsidRDefault="00951092" w:rsidP="00951092">
            <w:pPr>
              <w:ind w:right="1134"/>
              <w:rPr>
                <w:b/>
                <w:bCs/>
                <w:i/>
                <w:lang w:val="en-US"/>
              </w:rPr>
            </w:pPr>
          </w:p>
        </w:tc>
        <w:tc>
          <w:tcPr>
            <w:tcW w:w="3113" w:type="dxa"/>
            <w:shd w:val="clear" w:color="auto" w:fill="auto"/>
          </w:tcPr>
          <w:p w14:paraId="7BFA3BD9" w14:textId="77777777" w:rsidR="00951092" w:rsidRPr="00951092" w:rsidRDefault="00951092" w:rsidP="00951092">
            <w:pPr>
              <w:ind w:right="1134"/>
              <w:rPr>
                <w:b/>
                <w:bCs/>
                <w:i/>
              </w:rPr>
            </w:pPr>
            <w:r w:rsidRPr="00951092">
              <w:rPr>
                <w:b/>
                <w:bCs/>
                <w:i/>
                <w:lang w:val="fr-FR"/>
              </w:rPr>
              <w:t>Nombre de cylindres</w:t>
            </w:r>
          </w:p>
        </w:tc>
        <w:tc>
          <w:tcPr>
            <w:tcW w:w="1401" w:type="dxa"/>
            <w:shd w:val="clear" w:color="auto" w:fill="auto"/>
          </w:tcPr>
          <w:p w14:paraId="49D6E978" w14:textId="77777777" w:rsidR="00951092" w:rsidRPr="00951092" w:rsidRDefault="00951092" w:rsidP="00951092">
            <w:pPr>
              <w:ind w:right="1134"/>
              <w:rPr>
                <w:b/>
                <w:bCs/>
                <w:i/>
                <w:lang w:val="en-US"/>
              </w:rPr>
            </w:pPr>
          </w:p>
        </w:tc>
      </w:tr>
      <w:tr w:rsidR="00951092" w:rsidRPr="00951092" w14:paraId="689F5244" w14:textId="3A360A6E" w:rsidTr="00A3381F">
        <w:tc>
          <w:tcPr>
            <w:tcW w:w="2856" w:type="dxa"/>
            <w:shd w:val="clear" w:color="auto" w:fill="auto"/>
          </w:tcPr>
          <w:p w14:paraId="04B93A1A" w14:textId="77777777" w:rsidR="00951092" w:rsidRPr="00951092" w:rsidRDefault="00951092" w:rsidP="00951092">
            <w:pPr>
              <w:ind w:right="1134"/>
              <w:rPr>
                <w:b/>
                <w:bCs/>
                <w:i/>
                <w:lang w:val="en-US"/>
              </w:rPr>
            </w:pPr>
          </w:p>
        </w:tc>
        <w:tc>
          <w:tcPr>
            <w:tcW w:w="3113" w:type="dxa"/>
            <w:shd w:val="clear" w:color="auto" w:fill="auto"/>
          </w:tcPr>
          <w:p w14:paraId="50F6AEF7" w14:textId="77777777" w:rsidR="00951092" w:rsidRPr="00951092" w:rsidRDefault="00951092" w:rsidP="00951092">
            <w:pPr>
              <w:ind w:right="1134"/>
              <w:rPr>
                <w:b/>
                <w:bCs/>
                <w:i/>
              </w:rPr>
            </w:pPr>
            <w:r w:rsidRPr="00951092">
              <w:rPr>
                <w:b/>
                <w:bCs/>
                <w:i/>
                <w:lang w:val="fr-FR"/>
              </w:rPr>
              <w:t>Cylindrée</w:t>
            </w:r>
          </w:p>
        </w:tc>
        <w:tc>
          <w:tcPr>
            <w:tcW w:w="1401" w:type="dxa"/>
            <w:shd w:val="clear" w:color="auto" w:fill="auto"/>
          </w:tcPr>
          <w:p w14:paraId="22A32A6D" w14:textId="77777777" w:rsidR="00951092" w:rsidRPr="00951092" w:rsidRDefault="00951092" w:rsidP="00951092">
            <w:pPr>
              <w:ind w:right="1134"/>
              <w:rPr>
                <w:b/>
                <w:bCs/>
                <w:i/>
              </w:rPr>
            </w:pPr>
            <w:r w:rsidRPr="00951092">
              <w:rPr>
                <w:b/>
                <w:bCs/>
                <w:i/>
                <w:lang w:val="fr-FR"/>
              </w:rPr>
              <w:t>cc</w:t>
            </w:r>
          </w:p>
        </w:tc>
      </w:tr>
      <w:tr w:rsidR="00951092" w:rsidRPr="00951092" w14:paraId="51C601A2" w14:textId="5E80ADCF" w:rsidTr="00A3381F">
        <w:tc>
          <w:tcPr>
            <w:tcW w:w="2856" w:type="dxa"/>
            <w:shd w:val="clear" w:color="auto" w:fill="auto"/>
          </w:tcPr>
          <w:p w14:paraId="4323DD29" w14:textId="77777777" w:rsidR="00951092" w:rsidRPr="00951092" w:rsidRDefault="00951092" w:rsidP="00951092">
            <w:pPr>
              <w:ind w:right="1134"/>
              <w:rPr>
                <w:b/>
                <w:bCs/>
                <w:i/>
                <w:lang w:val="en-US"/>
              </w:rPr>
            </w:pPr>
          </w:p>
        </w:tc>
        <w:tc>
          <w:tcPr>
            <w:tcW w:w="3113" w:type="dxa"/>
            <w:shd w:val="clear" w:color="auto" w:fill="auto"/>
          </w:tcPr>
          <w:p w14:paraId="51E83B4B" w14:textId="4D30A0E7" w:rsidR="00951092" w:rsidRPr="00951092" w:rsidRDefault="00951092" w:rsidP="00A3381F">
            <w:pPr>
              <w:ind w:right="378"/>
              <w:rPr>
                <w:b/>
                <w:bCs/>
                <w:i/>
              </w:rPr>
            </w:pPr>
            <w:r w:rsidRPr="00951092">
              <w:rPr>
                <w:b/>
                <w:bCs/>
                <w:i/>
                <w:lang w:val="fr-FR"/>
              </w:rPr>
              <w:t>Vitesse nominale de rotation</w:t>
            </w:r>
            <w:r>
              <w:rPr>
                <w:b/>
                <w:bCs/>
                <w:i/>
                <w:lang w:val="fr-FR"/>
              </w:rPr>
              <w:t> </w:t>
            </w:r>
            <w:r w:rsidRPr="00951092">
              <w:rPr>
                <w:b/>
                <w:bCs/>
                <w:i/>
                <w:lang w:val="fr-FR"/>
              </w:rPr>
              <w:t>:</w:t>
            </w:r>
          </w:p>
        </w:tc>
        <w:tc>
          <w:tcPr>
            <w:tcW w:w="1401" w:type="dxa"/>
            <w:shd w:val="clear" w:color="auto" w:fill="auto"/>
          </w:tcPr>
          <w:p w14:paraId="55379E70" w14:textId="77777777" w:rsidR="00951092" w:rsidRPr="00951092" w:rsidRDefault="00951092" w:rsidP="00951092">
            <w:pPr>
              <w:ind w:right="564"/>
              <w:rPr>
                <w:b/>
                <w:bCs/>
                <w:i/>
              </w:rPr>
            </w:pPr>
            <w:r w:rsidRPr="00951092">
              <w:rPr>
                <w:b/>
                <w:bCs/>
                <w:i/>
                <w:lang w:val="fr-FR"/>
              </w:rPr>
              <w:t>tr/min</w:t>
            </w:r>
          </w:p>
        </w:tc>
      </w:tr>
      <w:tr w:rsidR="00951092" w:rsidRPr="00951092" w14:paraId="2B022FF7" w14:textId="43EA3D05" w:rsidTr="00A3381F">
        <w:tc>
          <w:tcPr>
            <w:tcW w:w="2856" w:type="dxa"/>
            <w:shd w:val="clear" w:color="auto" w:fill="auto"/>
          </w:tcPr>
          <w:p w14:paraId="3439809D" w14:textId="77777777" w:rsidR="00951092" w:rsidRPr="00951092" w:rsidRDefault="00951092" w:rsidP="00951092">
            <w:pPr>
              <w:ind w:right="1134"/>
              <w:rPr>
                <w:b/>
                <w:bCs/>
                <w:i/>
                <w:lang w:val="en-US"/>
              </w:rPr>
            </w:pPr>
          </w:p>
        </w:tc>
        <w:tc>
          <w:tcPr>
            <w:tcW w:w="3113" w:type="dxa"/>
            <w:shd w:val="clear" w:color="auto" w:fill="auto"/>
          </w:tcPr>
          <w:p w14:paraId="1D07DBEE" w14:textId="77777777" w:rsidR="00951092" w:rsidRPr="00951092" w:rsidRDefault="00951092" w:rsidP="00951092">
            <w:pPr>
              <w:ind w:right="1134"/>
              <w:rPr>
                <w:b/>
                <w:bCs/>
                <w:i/>
                <w:lang w:val="en-US"/>
              </w:rPr>
            </w:pPr>
          </w:p>
        </w:tc>
        <w:tc>
          <w:tcPr>
            <w:tcW w:w="1401" w:type="dxa"/>
            <w:shd w:val="clear" w:color="auto" w:fill="auto"/>
          </w:tcPr>
          <w:p w14:paraId="518D0B95" w14:textId="77777777" w:rsidR="00951092" w:rsidRPr="00951092" w:rsidRDefault="00951092" w:rsidP="00951092">
            <w:pPr>
              <w:ind w:right="1134"/>
              <w:rPr>
                <w:b/>
                <w:bCs/>
                <w:i/>
                <w:lang w:val="en-US"/>
              </w:rPr>
            </w:pPr>
          </w:p>
        </w:tc>
      </w:tr>
      <w:tr w:rsidR="00951092" w:rsidRPr="00951092" w14:paraId="015473EE" w14:textId="3780670F" w:rsidTr="00A3381F">
        <w:tc>
          <w:tcPr>
            <w:tcW w:w="2856" w:type="dxa"/>
            <w:shd w:val="clear" w:color="auto" w:fill="auto"/>
          </w:tcPr>
          <w:p w14:paraId="0DF6F299" w14:textId="77777777" w:rsidR="00951092" w:rsidRPr="00951092" w:rsidRDefault="00951092" w:rsidP="00A3381F">
            <w:pPr>
              <w:rPr>
                <w:b/>
                <w:bCs/>
                <w:i/>
              </w:rPr>
            </w:pPr>
            <w:r w:rsidRPr="00951092">
              <w:rPr>
                <w:b/>
                <w:bCs/>
                <w:i/>
                <w:lang w:val="fr-FR"/>
              </w:rPr>
              <w:t>Échangeurs thermiques</w:t>
            </w:r>
          </w:p>
        </w:tc>
        <w:tc>
          <w:tcPr>
            <w:tcW w:w="3113" w:type="dxa"/>
            <w:shd w:val="clear" w:color="auto" w:fill="auto"/>
          </w:tcPr>
          <w:p w14:paraId="55C57F38" w14:textId="77777777" w:rsidR="00951092" w:rsidRPr="00951092" w:rsidRDefault="00951092" w:rsidP="00951092">
            <w:pPr>
              <w:ind w:right="1134"/>
              <w:rPr>
                <w:b/>
                <w:bCs/>
                <w:i/>
              </w:rPr>
            </w:pPr>
            <w:r w:rsidRPr="00951092">
              <w:rPr>
                <w:b/>
                <w:bCs/>
                <w:i/>
                <w:lang w:val="fr-FR"/>
              </w:rPr>
              <w:t>Type</w:t>
            </w:r>
          </w:p>
        </w:tc>
        <w:tc>
          <w:tcPr>
            <w:tcW w:w="1401" w:type="dxa"/>
            <w:shd w:val="clear" w:color="auto" w:fill="auto"/>
          </w:tcPr>
          <w:p w14:paraId="14AE648F" w14:textId="77777777" w:rsidR="00951092" w:rsidRPr="00951092" w:rsidRDefault="00951092" w:rsidP="00951092">
            <w:pPr>
              <w:ind w:right="1134"/>
              <w:rPr>
                <w:b/>
                <w:bCs/>
                <w:i/>
                <w:lang w:val="en-US"/>
              </w:rPr>
            </w:pPr>
          </w:p>
        </w:tc>
      </w:tr>
      <w:tr w:rsidR="00951092" w:rsidRPr="00951092" w14:paraId="4ACF706B" w14:textId="65A4825F" w:rsidTr="00A3381F">
        <w:tc>
          <w:tcPr>
            <w:tcW w:w="2856" w:type="dxa"/>
            <w:shd w:val="clear" w:color="auto" w:fill="auto"/>
          </w:tcPr>
          <w:p w14:paraId="1FF02ADC" w14:textId="77777777" w:rsidR="00951092" w:rsidRPr="00951092" w:rsidRDefault="00951092" w:rsidP="00951092">
            <w:pPr>
              <w:rPr>
                <w:b/>
                <w:bCs/>
                <w:i/>
              </w:rPr>
            </w:pPr>
            <w:r w:rsidRPr="00951092">
              <w:rPr>
                <w:b/>
                <w:bCs/>
                <w:i/>
                <w:lang w:val="fr-FR"/>
              </w:rPr>
              <w:t>(Condenseur, évaporateur(s))</w:t>
            </w:r>
          </w:p>
        </w:tc>
        <w:tc>
          <w:tcPr>
            <w:tcW w:w="3113" w:type="dxa"/>
            <w:shd w:val="clear" w:color="auto" w:fill="auto"/>
          </w:tcPr>
          <w:p w14:paraId="5BA8F2A4" w14:textId="77777777" w:rsidR="00951092" w:rsidRPr="00951092" w:rsidRDefault="00951092" w:rsidP="00951092">
            <w:pPr>
              <w:ind w:right="1134"/>
              <w:rPr>
                <w:b/>
                <w:bCs/>
                <w:i/>
              </w:rPr>
            </w:pPr>
            <w:r w:rsidRPr="00951092">
              <w:rPr>
                <w:b/>
                <w:bCs/>
                <w:i/>
                <w:lang w:val="fr-FR"/>
              </w:rPr>
              <w:t>Nombre de tubes</w:t>
            </w:r>
          </w:p>
        </w:tc>
        <w:tc>
          <w:tcPr>
            <w:tcW w:w="1401" w:type="dxa"/>
            <w:shd w:val="clear" w:color="auto" w:fill="auto"/>
          </w:tcPr>
          <w:p w14:paraId="7B71762C" w14:textId="77777777" w:rsidR="00951092" w:rsidRPr="00951092" w:rsidRDefault="00951092" w:rsidP="00951092">
            <w:pPr>
              <w:ind w:right="1134"/>
              <w:rPr>
                <w:b/>
                <w:bCs/>
                <w:i/>
                <w:lang w:val="en-US"/>
              </w:rPr>
            </w:pPr>
          </w:p>
        </w:tc>
      </w:tr>
      <w:tr w:rsidR="00951092" w:rsidRPr="00951092" w14:paraId="1278F4E2" w14:textId="3E1387EC" w:rsidTr="00A3381F">
        <w:tc>
          <w:tcPr>
            <w:tcW w:w="2856" w:type="dxa"/>
            <w:shd w:val="clear" w:color="auto" w:fill="auto"/>
          </w:tcPr>
          <w:p w14:paraId="13188B38" w14:textId="77777777" w:rsidR="00951092" w:rsidRPr="00951092" w:rsidRDefault="00951092" w:rsidP="00951092">
            <w:pPr>
              <w:ind w:right="1134"/>
              <w:rPr>
                <w:b/>
                <w:bCs/>
                <w:i/>
                <w:lang w:val="en-US"/>
              </w:rPr>
            </w:pPr>
          </w:p>
        </w:tc>
        <w:tc>
          <w:tcPr>
            <w:tcW w:w="3113" w:type="dxa"/>
            <w:shd w:val="clear" w:color="auto" w:fill="auto"/>
          </w:tcPr>
          <w:p w14:paraId="2FA1AEB9" w14:textId="77777777" w:rsidR="00951092" w:rsidRPr="00951092" w:rsidRDefault="00951092" w:rsidP="00951092">
            <w:pPr>
              <w:ind w:right="1134"/>
              <w:rPr>
                <w:b/>
                <w:bCs/>
                <w:i/>
              </w:rPr>
            </w:pPr>
            <w:r w:rsidRPr="00951092">
              <w:rPr>
                <w:b/>
                <w:bCs/>
                <w:i/>
                <w:lang w:val="fr-FR"/>
              </w:rPr>
              <w:t>Pas des ailettes</w:t>
            </w:r>
          </w:p>
        </w:tc>
        <w:tc>
          <w:tcPr>
            <w:tcW w:w="1401" w:type="dxa"/>
            <w:shd w:val="clear" w:color="auto" w:fill="auto"/>
          </w:tcPr>
          <w:p w14:paraId="68B8BEB4" w14:textId="77777777" w:rsidR="00951092" w:rsidRPr="00951092" w:rsidRDefault="00951092" w:rsidP="00A3381F">
            <w:pPr>
              <w:ind w:right="564"/>
              <w:rPr>
                <w:b/>
                <w:bCs/>
                <w:i/>
              </w:rPr>
            </w:pPr>
            <w:r w:rsidRPr="00951092">
              <w:rPr>
                <w:b/>
                <w:bCs/>
                <w:i/>
                <w:lang w:val="fr-FR"/>
              </w:rPr>
              <w:t>mm</w:t>
            </w:r>
          </w:p>
        </w:tc>
      </w:tr>
      <w:tr w:rsidR="00951092" w:rsidRPr="00951092" w14:paraId="2F1AD407" w14:textId="0377E299" w:rsidTr="00A3381F">
        <w:tc>
          <w:tcPr>
            <w:tcW w:w="2856" w:type="dxa"/>
            <w:shd w:val="clear" w:color="auto" w:fill="auto"/>
          </w:tcPr>
          <w:p w14:paraId="45572E62" w14:textId="77777777" w:rsidR="00951092" w:rsidRPr="00951092" w:rsidRDefault="00951092" w:rsidP="00951092">
            <w:pPr>
              <w:ind w:right="1134"/>
              <w:rPr>
                <w:b/>
                <w:bCs/>
                <w:i/>
                <w:lang w:val="en-US"/>
              </w:rPr>
            </w:pPr>
          </w:p>
        </w:tc>
        <w:tc>
          <w:tcPr>
            <w:tcW w:w="3113" w:type="dxa"/>
            <w:shd w:val="clear" w:color="auto" w:fill="auto"/>
          </w:tcPr>
          <w:p w14:paraId="3C9B4CDA" w14:textId="77777777" w:rsidR="00951092" w:rsidRPr="00951092" w:rsidRDefault="00951092" w:rsidP="00951092">
            <w:pPr>
              <w:ind w:right="1134"/>
              <w:rPr>
                <w:b/>
                <w:bCs/>
                <w:i/>
              </w:rPr>
            </w:pPr>
            <w:r w:rsidRPr="00951092">
              <w:rPr>
                <w:b/>
                <w:bCs/>
                <w:i/>
                <w:lang w:val="fr-FR"/>
              </w:rPr>
              <w:t>Nature du tube</w:t>
            </w:r>
          </w:p>
        </w:tc>
        <w:tc>
          <w:tcPr>
            <w:tcW w:w="1401" w:type="dxa"/>
            <w:shd w:val="clear" w:color="auto" w:fill="auto"/>
          </w:tcPr>
          <w:p w14:paraId="2CE02C93" w14:textId="77777777" w:rsidR="00951092" w:rsidRPr="00951092" w:rsidRDefault="00951092" w:rsidP="00951092">
            <w:pPr>
              <w:ind w:right="1134"/>
              <w:rPr>
                <w:b/>
                <w:bCs/>
                <w:i/>
                <w:lang w:val="en-US"/>
              </w:rPr>
            </w:pPr>
          </w:p>
        </w:tc>
      </w:tr>
      <w:tr w:rsidR="00951092" w:rsidRPr="00951092" w14:paraId="4BBF6601" w14:textId="192EC824" w:rsidTr="00A3381F">
        <w:tc>
          <w:tcPr>
            <w:tcW w:w="2856" w:type="dxa"/>
            <w:shd w:val="clear" w:color="auto" w:fill="auto"/>
          </w:tcPr>
          <w:p w14:paraId="3344D51A" w14:textId="77777777" w:rsidR="00951092" w:rsidRPr="00951092" w:rsidRDefault="00951092" w:rsidP="00951092">
            <w:pPr>
              <w:ind w:right="1134"/>
              <w:rPr>
                <w:b/>
                <w:bCs/>
                <w:i/>
                <w:lang w:val="en-US"/>
              </w:rPr>
            </w:pPr>
          </w:p>
        </w:tc>
        <w:tc>
          <w:tcPr>
            <w:tcW w:w="3113" w:type="dxa"/>
            <w:shd w:val="clear" w:color="auto" w:fill="auto"/>
          </w:tcPr>
          <w:p w14:paraId="72B02800" w14:textId="77777777" w:rsidR="00951092" w:rsidRPr="00951092" w:rsidRDefault="00951092" w:rsidP="00951092">
            <w:pPr>
              <w:ind w:right="1134"/>
              <w:rPr>
                <w:b/>
                <w:bCs/>
                <w:i/>
              </w:rPr>
            </w:pPr>
            <w:r w:rsidRPr="00951092">
              <w:rPr>
                <w:b/>
                <w:bCs/>
                <w:i/>
                <w:lang w:val="fr-FR"/>
              </w:rPr>
              <w:t>Diamètre du tube</w:t>
            </w:r>
          </w:p>
        </w:tc>
        <w:tc>
          <w:tcPr>
            <w:tcW w:w="1401" w:type="dxa"/>
            <w:shd w:val="clear" w:color="auto" w:fill="auto"/>
          </w:tcPr>
          <w:p w14:paraId="6AFB74DE" w14:textId="77777777" w:rsidR="00951092" w:rsidRPr="00951092" w:rsidRDefault="00951092" w:rsidP="00A3381F">
            <w:pPr>
              <w:ind w:right="564"/>
              <w:rPr>
                <w:b/>
                <w:bCs/>
                <w:i/>
              </w:rPr>
            </w:pPr>
            <w:r w:rsidRPr="00951092">
              <w:rPr>
                <w:b/>
                <w:bCs/>
                <w:i/>
                <w:lang w:val="fr-FR"/>
              </w:rPr>
              <w:t>mm</w:t>
            </w:r>
          </w:p>
        </w:tc>
      </w:tr>
      <w:tr w:rsidR="00951092" w:rsidRPr="00951092" w14:paraId="7A74F6DA" w14:textId="2B622E53" w:rsidTr="00A3381F">
        <w:tc>
          <w:tcPr>
            <w:tcW w:w="2856" w:type="dxa"/>
            <w:shd w:val="clear" w:color="auto" w:fill="auto"/>
          </w:tcPr>
          <w:p w14:paraId="08B909DC" w14:textId="77777777" w:rsidR="00951092" w:rsidRPr="00951092" w:rsidRDefault="00951092" w:rsidP="00951092">
            <w:pPr>
              <w:ind w:right="1134"/>
              <w:rPr>
                <w:b/>
                <w:bCs/>
                <w:i/>
                <w:lang w:val="en-US"/>
              </w:rPr>
            </w:pPr>
          </w:p>
        </w:tc>
        <w:tc>
          <w:tcPr>
            <w:tcW w:w="3113" w:type="dxa"/>
            <w:shd w:val="clear" w:color="auto" w:fill="auto"/>
          </w:tcPr>
          <w:p w14:paraId="3DBBFA10" w14:textId="77777777" w:rsidR="00951092" w:rsidRPr="00951092" w:rsidRDefault="00951092" w:rsidP="00951092">
            <w:pPr>
              <w:ind w:right="1134"/>
              <w:rPr>
                <w:b/>
                <w:bCs/>
                <w:i/>
              </w:rPr>
            </w:pPr>
            <w:r w:rsidRPr="00951092">
              <w:rPr>
                <w:b/>
                <w:bCs/>
                <w:i/>
                <w:lang w:val="fr-FR"/>
              </w:rPr>
              <w:t>Surface d’échange</w:t>
            </w:r>
          </w:p>
        </w:tc>
        <w:tc>
          <w:tcPr>
            <w:tcW w:w="1401" w:type="dxa"/>
            <w:shd w:val="clear" w:color="auto" w:fill="auto"/>
          </w:tcPr>
          <w:p w14:paraId="6F751A0A" w14:textId="77777777" w:rsidR="00951092" w:rsidRPr="00951092" w:rsidRDefault="00951092" w:rsidP="00951092">
            <w:pPr>
              <w:ind w:right="1134"/>
              <w:rPr>
                <w:b/>
                <w:bCs/>
                <w:i/>
              </w:rPr>
            </w:pPr>
            <w:r w:rsidRPr="00951092">
              <w:rPr>
                <w:b/>
                <w:bCs/>
                <w:i/>
                <w:lang w:val="fr-FR"/>
              </w:rPr>
              <w:t>m</w:t>
            </w:r>
            <w:r w:rsidRPr="00951092">
              <w:rPr>
                <w:b/>
                <w:bCs/>
                <w:i/>
                <w:vertAlign w:val="superscript"/>
                <w:lang w:val="fr-FR"/>
              </w:rPr>
              <w:t>2</w:t>
            </w:r>
          </w:p>
        </w:tc>
      </w:tr>
      <w:tr w:rsidR="00951092" w:rsidRPr="00951092" w14:paraId="0DD5204D" w14:textId="0E61F1B2" w:rsidTr="00A3381F">
        <w:tc>
          <w:tcPr>
            <w:tcW w:w="2856" w:type="dxa"/>
            <w:shd w:val="clear" w:color="auto" w:fill="auto"/>
          </w:tcPr>
          <w:p w14:paraId="742F07E5" w14:textId="77777777" w:rsidR="00951092" w:rsidRPr="00951092" w:rsidRDefault="00951092" w:rsidP="00951092">
            <w:pPr>
              <w:ind w:right="1134"/>
              <w:rPr>
                <w:b/>
                <w:bCs/>
                <w:i/>
                <w:lang w:val="en-US"/>
              </w:rPr>
            </w:pPr>
          </w:p>
        </w:tc>
        <w:tc>
          <w:tcPr>
            <w:tcW w:w="3113" w:type="dxa"/>
            <w:shd w:val="clear" w:color="auto" w:fill="auto"/>
          </w:tcPr>
          <w:p w14:paraId="4B4EE263" w14:textId="77777777" w:rsidR="00951092" w:rsidRPr="00951092" w:rsidRDefault="00951092" w:rsidP="00951092">
            <w:pPr>
              <w:ind w:right="1134"/>
              <w:rPr>
                <w:b/>
                <w:bCs/>
                <w:i/>
              </w:rPr>
            </w:pPr>
            <w:r w:rsidRPr="00951092">
              <w:rPr>
                <w:b/>
                <w:bCs/>
                <w:i/>
                <w:lang w:val="fr-FR"/>
              </w:rPr>
              <w:t>Surface frontale</w:t>
            </w:r>
          </w:p>
        </w:tc>
        <w:tc>
          <w:tcPr>
            <w:tcW w:w="1401" w:type="dxa"/>
            <w:shd w:val="clear" w:color="auto" w:fill="auto"/>
          </w:tcPr>
          <w:p w14:paraId="2C4FD618" w14:textId="77777777" w:rsidR="00951092" w:rsidRPr="00951092" w:rsidRDefault="00951092" w:rsidP="00951092">
            <w:pPr>
              <w:ind w:right="1134"/>
              <w:rPr>
                <w:b/>
                <w:bCs/>
                <w:i/>
              </w:rPr>
            </w:pPr>
            <w:r w:rsidRPr="00951092">
              <w:rPr>
                <w:b/>
                <w:bCs/>
                <w:i/>
                <w:lang w:val="fr-FR"/>
              </w:rPr>
              <w:t>m</w:t>
            </w:r>
            <w:r w:rsidRPr="00951092">
              <w:rPr>
                <w:b/>
                <w:bCs/>
                <w:i/>
                <w:vertAlign w:val="superscript"/>
                <w:lang w:val="fr-FR"/>
              </w:rPr>
              <w:t>2</w:t>
            </w:r>
          </w:p>
        </w:tc>
      </w:tr>
      <w:tr w:rsidR="00951092" w:rsidRPr="00951092" w14:paraId="54F3ED5F" w14:textId="3A594568" w:rsidTr="00A3381F">
        <w:tc>
          <w:tcPr>
            <w:tcW w:w="2856" w:type="dxa"/>
            <w:shd w:val="clear" w:color="auto" w:fill="auto"/>
          </w:tcPr>
          <w:p w14:paraId="4444EBAF" w14:textId="77777777" w:rsidR="00951092" w:rsidRPr="00951092" w:rsidRDefault="00951092" w:rsidP="00951092">
            <w:pPr>
              <w:ind w:right="1134"/>
              <w:rPr>
                <w:b/>
                <w:bCs/>
                <w:i/>
                <w:lang w:val="en-US"/>
              </w:rPr>
            </w:pPr>
          </w:p>
        </w:tc>
        <w:tc>
          <w:tcPr>
            <w:tcW w:w="3113" w:type="dxa"/>
            <w:shd w:val="clear" w:color="auto" w:fill="auto"/>
          </w:tcPr>
          <w:p w14:paraId="23127DE1" w14:textId="77777777" w:rsidR="00951092" w:rsidRPr="00951092" w:rsidRDefault="00951092" w:rsidP="00951092">
            <w:pPr>
              <w:ind w:right="1134"/>
              <w:rPr>
                <w:b/>
                <w:bCs/>
                <w:i/>
                <w:lang w:val="en-US"/>
              </w:rPr>
            </w:pPr>
          </w:p>
        </w:tc>
        <w:tc>
          <w:tcPr>
            <w:tcW w:w="1401" w:type="dxa"/>
            <w:shd w:val="clear" w:color="auto" w:fill="auto"/>
          </w:tcPr>
          <w:p w14:paraId="1773EA65" w14:textId="77777777" w:rsidR="00951092" w:rsidRPr="00951092" w:rsidRDefault="00951092" w:rsidP="00951092">
            <w:pPr>
              <w:ind w:right="1134"/>
              <w:rPr>
                <w:b/>
                <w:bCs/>
                <w:i/>
                <w:lang w:val="en-US"/>
              </w:rPr>
            </w:pPr>
          </w:p>
        </w:tc>
      </w:tr>
      <w:tr w:rsidR="00951092" w:rsidRPr="00951092" w14:paraId="0E0F2C3C" w14:textId="5C800D86" w:rsidTr="00A3381F">
        <w:tc>
          <w:tcPr>
            <w:tcW w:w="2856" w:type="dxa"/>
            <w:shd w:val="clear" w:color="auto" w:fill="auto"/>
          </w:tcPr>
          <w:p w14:paraId="2CE636B2" w14:textId="77777777" w:rsidR="00951092" w:rsidRPr="00951092" w:rsidRDefault="00951092" w:rsidP="00A3381F">
            <w:pPr>
              <w:rPr>
                <w:b/>
                <w:bCs/>
                <w:i/>
              </w:rPr>
            </w:pPr>
            <w:r w:rsidRPr="00951092">
              <w:rPr>
                <w:b/>
                <w:bCs/>
                <w:i/>
                <w:lang w:val="fr-FR"/>
              </w:rPr>
              <w:t>Ventilateurs d’échangeurs thermiques</w:t>
            </w:r>
          </w:p>
        </w:tc>
        <w:tc>
          <w:tcPr>
            <w:tcW w:w="3113" w:type="dxa"/>
            <w:shd w:val="clear" w:color="auto" w:fill="auto"/>
          </w:tcPr>
          <w:p w14:paraId="16CD14B2" w14:textId="77777777" w:rsidR="00951092" w:rsidRPr="00951092" w:rsidRDefault="00951092" w:rsidP="00951092">
            <w:pPr>
              <w:ind w:right="1134"/>
              <w:rPr>
                <w:b/>
                <w:bCs/>
                <w:i/>
              </w:rPr>
            </w:pPr>
            <w:r w:rsidRPr="00951092">
              <w:rPr>
                <w:b/>
                <w:bCs/>
                <w:i/>
                <w:lang w:val="fr-FR"/>
              </w:rPr>
              <w:t>Nombre de ventilateurs</w:t>
            </w:r>
          </w:p>
        </w:tc>
        <w:tc>
          <w:tcPr>
            <w:tcW w:w="1401" w:type="dxa"/>
            <w:shd w:val="clear" w:color="auto" w:fill="auto"/>
          </w:tcPr>
          <w:p w14:paraId="549FB5D2" w14:textId="77777777" w:rsidR="00951092" w:rsidRPr="00951092" w:rsidRDefault="00951092" w:rsidP="00951092">
            <w:pPr>
              <w:ind w:right="1134"/>
              <w:rPr>
                <w:b/>
                <w:bCs/>
                <w:i/>
                <w:lang w:val="en-US"/>
              </w:rPr>
            </w:pPr>
          </w:p>
        </w:tc>
      </w:tr>
      <w:tr w:rsidR="00951092" w:rsidRPr="00951092" w14:paraId="646F0840" w14:textId="3837D7D9" w:rsidTr="00A3381F">
        <w:tc>
          <w:tcPr>
            <w:tcW w:w="2856" w:type="dxa"/>
            <w:shd w:val="clear" w:color="auto" w:fill="auto"/>
          </w:tcPr>
          <w:p w14:paraId="77209F55" w14:textId="77777777" w:rsidR="00951092" w:rsidRPr="00951092" w:rsidRDefault="00951092" w:rsidP="00951092">
            <w:pPr>
              <w:ind w:right="1134"/>
              <w:rPr>
                <w:b/>
                <w:bCs/>
                <w:i/>
                <w:lang w:val="en-US"/>
              </w:rPr>
            </w:pPr>
          </w:p>
        </w:tc>
        <w:tc>
          <w:tcPr>
            <w:tcW w:w="3113" w:type="dxa"/>
            <w:shd w:val="clear" w:color="auto" w:fill="auto"/>
          </w:tcPr>
          <w:p w14:paraId="398D8028" w14:textId="77777777" w:rsidR="00951092" w:rsidRPr="00951092" w:rsidRDefault="00951092" w:rsidP="00951092">
            <w:pPr>
              <w:ind w:right="1134"/>
              <w:rPr>
                <w:b/>
                <w:bCs/>
                <w:i/>
              </w:rPr>
            </w:pPr>
            <w:r w:rsidRPr="00951092">
              <w:rPr>
                <w:b/>
                <w:bCs/>
                <w:i/>
                <w:lang w:val="fr-FR"/>
              </w:rPr>
              <w:t>Nombre de pales par ventilateur</w:t>
            </w:r>
          </w:p>
        </w:tc>
        <w:tc>
          <w:tcPr>
            <w:tcW w:w="1401" w:type="dxa"/>
            <w:shd w:val="clear" w:color="auto" w:fill="auto"/>
          </w:tcPr>
          <w:p w14:paraId="047A572D" w14:textId="77777777" w:rsidR="00951092" w:rsidRPr="00951092" w:rsidRDefault="00951092" w:rsidP="00951092">
            <w:pPr>
              <w:ind w:right="1134"/>
              <w:rPr>
                <w:b/>
                <w:bCs/>
                <w:i/>
              </w:rPr>
            </w:pPr>
          </w:p>
        </w:tc>
      </w:tr>
      <w:tr w:rsidR="00951092" w:rsidRPr="00951092" w14:paraId="04B35A74" w14:textId="7DACC734" w:rsidTr="00A3381F">
        <w:tc>
          <w:tcPr>
            <w:tcW w:w="2856" w:type="dxa"/>
            <w:shd w:val="clear" w:color="auto" w:fill="auto"/>
          </w:tcPr>
          <w:p w14:paraId="129C7437" w14:textId="77777777" w:rsidR="00951092" w:rsidRPr="00951092" w:rsidRDefault="00951092" w:rsidP="00951092">
            <w:pPr>
              <w:ind w:right="1134"/>
              <w:rPr>
                <w:b/>
                <w:bCs/>
                <w:i/>
              </w:rPr>
            </w:pPr>
          </w:p>
        </w:tc>
        <w:tc>
          <w:tcPr>
            <w:tcW w:w="3113" w:type="dxa"/>
            <w:shd w:val="clear" w:color="auto" w:fill="auto"/>
          </w:tcPr>
          <w:p w14:paraId="17232A37" w14:textId="77777777" w:rsidR="00951092" w:rsidRPr="00951092" w:rsidRDefault="00951092" w:rsidP="00951092">
            <w:pPr>
              <w:ind w:right="1134"/>
              <w:rPr>
                <w:b/>
                <w:bCs/>
                <w:i/>
              </w:rPr>
            </w:pPr>
            <w:r w:rsidRPr="00951092">
              <w:rPr>
                <w:b/>
                <w:bCs/>
                <w:i/>
                <w:lang w:val="fr-FR"/>
              </w:rPr>
              <w:t>Diamètre du ventilateur</w:t>
            </w:r>
          </w:p>
        </w:tc>
        <w:tc>
          <w:tcPr>
            <w:tcW w:w="1401" w:type="dxa"/>
            <w:shd w:val="clear" w:color="auto" w:fill="auto"/>
          </w:tcPr>
          <w:p w14:paraId="3B17375A" w14:textId="77777777" w:rsidR="00951092" w:rsidRPr="00951092" w:rsidRDefault="00951092" w:rsidP="00A3381F">
            <w:pPr>
              <w:ind w:right="280"/>
              <w:rPr>
                <w:b/>
                <w:bCs/>
                <w:i/>
              </w:rPr>
            </w:pPr>
            <w:r w:rsidRPr="00951092">
              <w:rPr>
                <w:b/>
                <w:bCs/>
                <w:i/>
                <w:lang w:val="fr-FR"/>
              </w:rPr>
              <w:t>mm</w:t>
            </w:r>
          </w:p>
        </w:tc>
      </w:tr>
      <w:tr w:rsidR="00951092" w:rsidRPr="00951092" w14:paraId="7EEC1B74" w14:textId="3C98655D" w:rsidTr="00A3381F">
        <w:tc>
          <w:tcPr>
            <w:tcW w:w="2856" w:type="dxa"/>
            <w:shd w:val="clear" w:color="auto" w:fill="auto"/>
          </w:tcPr>
          <w:p w14:paraId="6FA1D70D" w14:textId="77777777" w:rsidR="00951092" w:rsidRPr="00951092" w:rsidRDefault="00951092" w:rsidP="00951092">
            <w:pPr>
              <w:ind w:right="1134"/>
              <w:rPr>
                <w:b/>
                <w:bCs/>
                <w:i/>
                <w:lang w:val="en-US"/>
              </w:rPr>
            </w:pPr>
          </w:p>
        </w:tc>
        <w:tc>
          <w:tcPr>
            <w:tcW w:w="3113" w:type="dxa"/>
            <w:shd w:val="clear" w:color="auto" w:fill="auto"/>
          </w:tcPr>
          <w:p w14:paraId="2EC3EF6E" w14:textId="77777777" w:rsidR="00951092" w:rsidRPr="00951092" w:rsidRDefault="00951092" w:rsidP="00951092">
            <w:pPr>
              <w:ind w:right="1134"/>
              <w:rPr>
                <w:b/>
                <w:bCs/>
                <w:i/>
              </w:rPr>
            </w:pPr>
            <w:r w:rsidRPr="00951092">
              <w:rPr>
                <w:b/>
                <w:bCs/>
                <w:i/>
                <w:lang w:val="fr-FR"/>
              </w:rPr>
              <w:t>Puissance nominale</w:t>
            </w:r>
          </w:p>
        </w:tc>
        <w:tc>
          <w:tcPr>
            <w:tcW w:w="1401" w:type="dxa"/>
            <w:shd w:val="clear" w:color="auto" w:fill="auto"/>
          </w:tcPr>
          <w:p w14:paraId="2DC52368" w14:textId="77777777" w:rsidR="00951092" w:rsidRPr="00951092" w:rsidRDefault="00951092" w:rsidP="00951092">
            <w:pPr>
              <w:ind w:right="1134"/>
              <w:rPr>
                <w:b/>
                <w:bCs/>
                <w:i/>
              </w:rPr>
            </w:pPr>
            <w:r w:rsidRPr="00951092">
              <w:rPr>
                <w:b/>
                <w:bCs/>
                <w:i/>
                <w:lang w:val="fr-FR"/>
              </w:rPr>
              <w:t>W</w:t>
            </w:r>
          </w:p>
        </w:tc>
      </w:tr>
      <w:tr w:rsidR="00951092" w:rsidRPr="00951092" w14:paraId="60B2DF6A" w14:textId="5C9558D3" w:rsidTr="00A3381F">
        <w:tc>
          <w:tcPr>
            <w:tcW w:w="2856" w:type="dxa"/>
            <w:shd w:val="clear" w:color="auto" w:fill="auto"/>
          </w:tcPr>
          <w:p w14:paraId="42E626B4" w14:textId="77777777" w:rsidR="00951092" w:rsidRPr="00951092" w:rsidRDefault="00951092" w:rsidP="00951092">
            <w:pPr>
              <w:ind w:right="1134"/>
              <w:rPr>
                <w:b/>
                <w:bCs/>
                <w:i/>
                <w:lang w:val="en-US"/>
              </w:rPr>
            </w:pPr>
          </w:p>
        </w:tc>
        <w:tc>
          <w:tcPr>
            <w:tcW w:w="3113" w:type="dxa"/>
            <w:shd w:val="clear" w:color="auto" w:fill="auto"/>
          </w:tcPr>
          <w:p w14:paraId="1267A115" w14:textId="77777777" w:rsidR="00951092" w:rsidRPr="00951092" w:rsidRDefault="00951092" w:rsidP="00A3381F">
            <w:pPr>
              <w:ind w:right="154"/>
              <w:rPr>
                <w:b/>
                <w:bCs/>
                <w:i/>
              </w:rPr>
            </w:pPr>
            <w:r w:rsidRPr="00951092">
              <w:rPr>
                <w:b/>
                <w:bCs/>
                <w:i/>
                <w:lang w:val="fr-FR"/>
              </w:rPr>
              <w:t>Débit total nominal sous une pression définie</w:t>
            </w:r>
          </w:p>
        </w:tc>
        <w:tc>
          <w:tcPr>
            <w:tcW w:w="1401" w:type="dxa"/>
            <w:shd w:val="clear" w:color="auto" w:fill="auto"/>
          </w:tcPr>
          <w:p w14:paraId="2C9B665E" w14:textId="77777777" w:rsidR="00951092" w:rsidRPr="00951092" w:rsidRDefault="00951092" w:rsidP="00A3381F">
            <w:pPr>
              <w:ind w:right="705"/>
              <w:rPr>
                <w:b/>
                <w:bCs/>
                <w:i/>
              </w:rPr>
            </w:pPr>
            <w:r w:rsidRPr="00951092">
              <w:rPr>
                <w:b/>
                <w:bCs/>
                <w:i/>
                <w:lang w:val="fr-FR"/>
              </w:rPr>
              <w:t>(m</w:t>
            </w:r>
            <w:r w:rsidRPr="00951092">
              <w:rPr>
                <w:b/>
                <w:bCs/>
                <w:i/>
                <w:vertAlign w:val="superscript"/>
                <w:lang w:val="fr-FR"/>
              </w:rPr>
              <w:t>3</w:t>
            </w:r>
            <w:r w:rsidRPr="00951092">
              <w:rPr>
                <w:b/>
                <w:bCs/>
                <w:i/>
                <w:lang w:val="fr-FR"/>
              </w:rPr>
              <w:t>/h)</w:t>
            </w:r>
          </w:p>
        </w:tc>
      </w:tr>
      <w:tr w:rsidR="00951092" w:rsidRPr="00951092" w14:paraId="7C6F36B2" w14:textId="31D82659" w:rsidTr="00A3381F">
        <w:tc>
          <w:tcPr>
            <w:tcW w:w="2856" w:type="dxa"/>
            <w:shd w:val="clear" w:color="auto" w:fill="auto"/>
          </w:tcPr>
          <w:p w14:paraId="4931D959" w14:textId="77777777" w:rsidR="00951092" w:rsidRPr="00951092" w:rsidRDefault="00951092" w:rsidP="00951092">
            <w:pPr>
              <w:ind w:right="1134"/>
              <w:rPr>
                <w:b/>
                <w:bCs/>
                <w:i/>
                <w:lang w:val="en-US"/>
              </w:rPr>
            </w:pPr>
          </w:p>
        </w:tc>
        <w:tc>
          <w:tcPr>
            <w:tcW w:w="3113" w:type="dxa"/>
            <w:shd w:val="clear" w:color="auto" w:fill="auto"/>
          </w:tcPr>
          <w:p w14:paraId="186BFE21" w14:textId="77777777" w:rsidR="00951092" w:rsidRPr="00951092" w:rsidRDefault="00951092" w:rsidP="00951092">
            <w:pPr>
              <w:ind w:right="1134"/>
              <w:rPr>
                <w:b/>
                <w:bCs/>
                <w:i/>
              </w:rPr>
            </w:pPr>
            <w:r w:rsidRPr="00951092">
              <w:rPr>
                <w:b/>
                <w:bCs/>
                <w:i/>
                <w:lang w:val="fr-FR"/>
              </w:rPr>
              <w:t>Mode d’entraînement</w:t>
            </w:r>
          </w:p>
        </w:tc>
        <w:tc>
          <w:tcPr>
            <w:tcW w:w="1401" w:type="dxa"/>
            <w:shd w:val="clear" w:color="auto" w:fill="auto"/>
          </w:tcPr>
          <w:p w14:paraId="020106D1" w14:textId="77777777" w:rsidR="00951092" w:rsidRPr="00951092" w:rsidRDefault="00951092" w:rsidP="00951092">
            <w:pPr>
              <w:ind w:right="1134"/>
              <w:rPr>
                <w:b/>
                <w:bCs/>
                <w:i/>
                <w:lang w:val="en-US"/>
              </w:rPr>
            </w:pPr>
          </w:p>
        </w:tc>
      </w:tr>
      <w:tr w:rsidR="00951092" w:rsidRPr="00951092" w14:paraId="0D88215A" w14:textId="666F5BAE" w:rsidTr="00A3381F">
        <w:tc>
          <w:tcPr>
            <w:tcW w:w="2856" w:type="dxa"/>
            <w:shd w:val="clear" w:color="auto" w:fill="auto"/>
          </w:tcPr>
          <w:p w14:paraId="51924267" w14:textId="77777777" w:rsidR="00951092" w:rsidRPr="00951092" w:rsidRDefault="00951092" w:rsidP="00951092">
            <w:pPr>
              <w:ind w:right="1134"/>
              <w:rPr>
                <w:b/>
                <w:bCs/>
                <w:i/>
                <w:lang w:val="en-US"/>
              </w:rPr>
            </w:pPr>
          </w:p>
        </w:tc>
        <w:tc>
          <w:tcPr>
            <w:tcW w:w="3113" w:type="dxa"/>
            <w:shd w:val="clear" w:color="auto" w:fill="auto"/>
          </w:tcPr>
          <w:p w14:paraId="730A3E02" w14:textId="77777777" w:rsidR="00951092" w:rsidRPr="00951092" w:rsidRDefault="00951092" w:rsidP="00951092">
            <w:pPr>
              <w:ind w:right="1134"/>
              <w:rPr>
                <w:b/>
                <w:bCs/>
                <w:i/>
                <w:lang w:val="en-US"/>
              </w:rPr>
            </w:pPr>
          </w:p>
        </w:tc>
        <w:tc>
          <w:tcPr>
            <w:tcW w:w="1401" w:type="dxa"/>
            <w:shd w:val="clear" w:color="auto" w:fill="auto"/>
          </w:tcPr>
          <w:p w14:paraId="6AF9D5B3" w14:textId="77777777" w:rsidR="00951092" w:rsidRPr="00951092" w:rsidRDefault="00951092" w:rsidP="00951092">
            <w:pPr>
              <w:ind w:right="1134"/>
              <w:rPr>
                <w:b/>
                <w:bCs/>
                <w:i/>
                <w:lang w:val="en-US"/>
              </w:rPr>
            </w:pPr>
          </w:p>
        </w:tc>
      </w:tr>
      <w:tr w:rsidR="00951092" w:rsidRPr="00951092" w14:paraId="2362FF15" w14:textId="4D9E6F9A" w:rsidTr="00A3381F">
        <w:tc>
          <w:tcPr>
            <w:tcW w:w="2856" w:type="dxa"/>
            <w:shd w:val="clear" w:color="auto" w:fill="auto"/>
          </w:tcPr>
          <w:p w14:paraId="3A742DC5" w14:textId="77777777" w:rsidR="00951092" w:rsidRPr="00951092" w:rsidRDefault="00951092" w:rsidP="00951092">
            <w:pPr>
              <w:ind w:right="1134"/>
              <w:rPr>
                <w:b/>
                <w:bCs/>
                <w:i/>
              </w:rPr>
            </w:pPr>
            <w:r w:rsidRPr="00951092">
              <w:rPr>
                <w:b/>
                <w:bCs/>
                <w:i/>
                <w:lang w:val="fr-FR"/>
              </w:rPr>
              <w:t>Détendeur</w:t>
            </w:r>
          </w:p>
        </w:tc>
        <w:tc>
          <w:tcPr>
            <w:tcW w:w="3113" w:type="dxa"/>
            <w:shd w:val="clear" w:color="auto" w:fill="auto"/>
          </w:tcPr>
          <w:p w14:paraId="160CC1A0" w14:textId="77777777" w:rsidR="00951092" w:rsidRPr="00951092" w:rsidRDefault="00951092" w:rsidP="00951092">
            <w:pPr>
              <w:ind w:right="1134"/>
              <w:rPr>
                <w:b/>
                <w:bCs/>
                <w:i/>
              </w:rPr>
            </w:pPr>
            <w:r w:rsidRPr="00951092">
              <w:rPr>
                <w:b/>
                <w:bCs/>
                <w:i/>
                <w:lang w:val="fr-FR"/>
              </w:rPr>
              <w:t>Type</w:t>
            </w:r>
          </w:p>
        </w:tc>
        <w:tc>
          <w:tcPr>
            <w:tcW w:w="1401" w:type="dxa"/>
            <w:shd w:val="clear" w:color="auto" w:fill="auto"/>
          </w:tcPr>
          <w:p w14:paraId="026CCF8D" w14:textId="77777777" w:rsidR="00951092" w:rsidRPr="00951092" w:rsidRDefault="00951092" w:rsidP="00951092">
            <w:pPr>
              <w:ind w:right="1134"/>
              <w:rPr>
                <w:b/>
                <w:bCs/>
                <w:i/>
                <w:lang w:val="en-US"/>
              </w:rPr>
            </w:pPr>
          </w:p>
        </w:tc>
      </w:tr>
    </w:tbl>
    <w:p w14:paraId="27E09E93" w14:textId="58844050" w:rsidR="00951092" w:rsidRPr="00A3381F" w:rsidRDefault="00951092" w:rsidP="00A3381F">
      <w:pPr>
        <w:pStyle w:val="SingleTxtG"/>
      </w:pPr>
    </w:p>
    <w:tbl>
      <w:tblPr>
        <w:tblW w:w="8505" w:type="dxa"/>
        <w:tblInd w:w="1134" w:type="dxa"/>
        <w:tblLayout w:type="fixed"/>
        <w:tblCellMar>
          <w:left w:w="0" w:type="dxa"/>
          <w:right w:w="0" w:type="dxa"/>
        </w:tblCellMar>
        <w:tblLook w:val="04A0" w:firstRow="1" w:lastRow="0" w:firstColumn="1" w:lastColumn="0" w:noHBand="0" w:noVBand="1"/>
      </w:tblPr>
      <w:tblGrid>
        <w:gridCol w:w="3119"/>
        <w:gridCol w:w="3716"/>
        <w:gridCol w:w="1670"/>
      </w:tblGrid>
      <w:tr w:rsidR="00951092" w14:paraId="6EC185BB" w14:textId="77777777" w:rsidTr="00951092">
        <w:tc>
          <w:tcPr>
            <w:tcW w:w="3119" w:type="dxa"/>
            <w:shd w:val="clear" w:color="auto" w:fill="auto"/>
          </w:tcPr>
          <w:p w14:paraId="6FAC91C4" w14:textId="77777777" w:rsidR="00951092" w:rsidRPr="00A950E7" w:rsidRDefault="00951092" w:rsidP="00F575B9">
            <w:pPr>
              <w:tabs>
                <w:tab w:val="left" w:pos="1676"/>
                <w:tab w:val="left" w:pos="2132"/>
              </w:tabs>
              <w:jc w:val="both"/>
              <w:rPr>
                <w:b/>
                <w:i/>
                <w:color w:val="000000"/>
              </w:rPr>
            </w:pPr>
            <w:r>
              <w:rPr>
                <w:b/>
                <w:bCs/>
                <w:i/>
                <w:iCs/>
                <w:lang w:val="fr-FR"/>
              </w:rPr>
              <w:t>Entraînement du compresseur</w:t>
            </w:r>
          </w:p>
        </w:tc>
        <w:tc>
          <w:tcPr>
            <w:tcW w:w="3716" w:type="dxa"/>
            <w:shd w:val="clear" w:color="auto" w:fill="auto"/>
          </w:tcPr>
          <w:p w14:paraId="4A610B95" w14:textId="77777777" w:rsidR="00951092" w:rsidRPr="00A950E7" w:rsidRDefault="00951092" w:rsidP="00F575B9">
            <w:pPr>
              <w:tabs>
                <w:tab w:val="left" w:pos="923"/>
              </w:tabs>
              <w:ind w:right="1134"/>
              <w:jc w:val="both"/>
              <w:rPr>
                <w:b/>
                <w:i/>
                <w:color w:val="000000"/>
                <w:lang w:val="en-US"/>
              </w:rPr>
            </w:pPr>
          </w:p>
        </w:tc>
        <w:tc>
          <w:tcPr>
            <w:tcW w:w="1670" w:type="dxa"/>
            <w:shd w:val="clear" w:color="auto" w:fill="auto"/>
          </w:tcPr>
          <w:p w14:paraId="080624E1" w14:textId="77777777" w:rsidR="00951092" w:rsidRPr="00A950E7" w:rsidRDefault="00951092" w:rsidP="00F575B9">
            <w:pPr>
              <w:tabs>
                <w:tab w:val="left" w:pos="923"/>
              </w:tabs>
              <w:ind w:right="1134"/>
              <w:jc w:val="both"/>
              <w:rPr>
                <w:b/>
                <w:i/>
                <w:color w:val="000000"/>
                <w:lang w:val="en-US"/>
              </w:rPr>
            </w:pPr>
          </w:p>
        </w:tc>
      </w:tr>
      <w:tr w:rsidR="00951092" w14:paraId="3FCBE698" w14:textId="77777777" w:rsidTr="00951092">
        <w:tc>
          <w:tcPr>
            <w:tcW w:w="3119" w:type="dxa"/>
            <w:shd w:val="clear" w:color="auto" w:fill="auto"/>
          </w:tcPr>
          <w:p w14:paraId="11344767" w14:textId="77777777" w:rsidR="00951092" w:rsidRPr="00A950E7" w:rsidRDefault="00951092" w:rsidP="00F575B9">
            <w:pPr>
              <w:tabs>
                <w:tab w:val="left" w:pos="1676"/>
                <w:tab w:val="left" w:pos="2132"/>
              </w:tabs>
              <w:jc w:val="both"/>
              <w:rPr>
                <w:b/>
                <w:i/>
                <w:color w:val="000000"/>
              </w:rPr>
            </w:pPr>
            <w:r>
              <w:rPr>
                <w:b/>
                <w:bCs/>
                <w:i/>
                <w:iCs/>
                <w:lang w:val="fr-FR"/>
              </w:rPr>
              <w:t>Moteur électrique</w:t>
            </w:r>
          </w:p>
        </w:tc>
        <w:tc>
          <w:tcPr>
            <w:tcW w:w="3716" w:type="dxa"/>
            <w:shd w:val="clear" w:color="auto" w:fill="auto"/>
          </w:tcPr>
          <w:p w14:paraId="1DA4069F" w14:textId="77777777" w:rsidR="00951092" w:rsidRPr="00A950E7" w:rsidRDefault="00951092" w:rsidP="00F575B9">
            <w:pPr>
              <w:tabs>
                <w:tab w:val="left" w:pos="923"/>
              </w:tabs>
              <w:ind w:right="1134"/>
              <w:jc w:val="both"/>
              <w:rPr>
                <w:b/>
                <w:i/>
                <w:color w:val="000000"/>
              </w:rPr>
            </w:pPr>
            <w:r>
              <w:rPr>
                <w:b/>
                <w:bCs/>
                <w:i/>
                <w:iCs/>
                <w:lang w:val="fr-FR"/>
              </w:rPr>
              <w:t>Type</w:t>
            </w:r>
          </w:p>
        </w:tc>
        <w:tc>
          <w:tcPr>
            <w:tcW w:w="1670" w:type="dxa"/>
            <w:shd w:val="clear" w:color="auto" w:fill="auto"/>
          </w:tcPr>
          <w:p w14:paraId="389ED130" w14:textId="77777777" w:rsidR="00951092" w:rsidRPr="00A950E7" w:rsidRDefault="00951092" w:rsidP="00F575B9">
            <w:pPr>
              <w:tabs>
                <w:tab w:val="left" w:pos="923"/>
              </w:tabs>
              <w:ind w:right="1134"/>
              <w:jc w:val="both"/>
              <w:rPr>
                <w:b/>
                <w:i/>
                <w:color w:val="000000"/>
                <w:lang w:val="en-US"/>
              </w:rPr>
            </w:pPr>
          </w:p>
        </w:tc>
      </w:tr>
      <w:tr w:rsidR="00951092" w14:paraId="7ED80694" w14:textId="77777777" w:rsidTr="00951092">
        <w:tc>
          <w:tcPr>
            <w:tcW w:w="3119" w:type="dxa"/>
            <w:shd w:val="clear" w:color="auto" w:fill="auto"/>
          </w:tcPr>
          <w:p w14:paraId="0C5A2BFD" w14:textId="77777777" w:rsidR="00951092" w:rsidRPr="00A950E7" w:rsidRDefault="00951092" w:rsidP="00F575B9">
            <w:pPr>
              <w:tabs>
                <w:tab w:val="left" w:pos="923"/>
              </w:tabs>
              <w:ind w:right="1134"/>
              <w:jc w:val="both"/>
              <w:rPr>
                <w:b/>
                <w:i/>
                <w:color w:val="000000"/>
                <w:lang w:val="en-US"/>
              </w:rPr>
            </w:pPr>
          </w:p>
        </w:tc>
        <w:tc>
          <w:tcPr>
            <w:tcW w:w="3716" w:type="dxa"/>
            <w:shd w:val="clear" w:color="auto" w:fill="auto"/>
          </w:tcPr>
          <w:p w14:paraId="7A56496C" w14:textId="77777777" w:rsidR="00951092" w:rsidRPr="00A950E7" w:rsidRDefault="00951092" w:rsidP="00F575B9">
            <w:pPr>
              <w:tabs>
                <w:tab w:val="left" w:pos="923"/>
              </w:tabs>
              <w:ind w:right="1134"/>
              <w:jc w:val="both"/>
              <w:rPr>
                <w:b/>
                <w:i/>
                <w:color w:val="000000"/>
              </w:rPr>
            </w:pPr>
            <w:r>
              <w:rPr>
                <w:b/>
                <w:bCs/>
                <w:i/>
                <w:iCs/>
                <w:lang w:val="fr-FR"/>
              </w:rPr>
              <w:t>Puissance nominale</w:t>
            </w:r>
          </w:p>
        </w:tc>
        <w:tc>
          <w:tcPr>
            <w:tcW w:w="1670" w:type="dxa"/>
            <w:shd w:val="clear" w:color="auto" w:fill="auto"/>
          </w:tcPr>
          <w:p w14:paraId="5B4B9D22" w14:textId="77777777" w:rsidR="00951092" w:rsidRPr="00A950E7" w:rsidRDefault="00951092" w:rsidP="00F575B9">
            <w:pPr>
              <w:tabs>
                <w:tab w:val="left" w:pos="923"/>
              </w:tabs>
              <w:ind w:right="1134"/>
              <w:jc w:val="both"/>
              <w:rPr>
                <w:b/>
                <w:i/>
                <w:color w:val="000000"/>
              </w:rPr>
            </w:pPr>
            <w:r>
              <w:rPr>
                <w:b/>
                <w:bCs/>
                <w:i/>
                <w:iCs/>
                <w:lang w:val="fr-FR"/>
              </w:rPr>
              <w:t>kW</w:t>
            </w:r>
          </w:p>
        </w:tc>
      </w:tr>
      <w:tr w:rsidR="00951092" w14:paraId="7765CC91" w14:textId="77777777" w:rsidTr="00951092">
        <w:tc>
          <w:tcPr>
            <w:tcW w:w="3119" w:type="dxa"/>
            <w:shd w:val="clear" w:color="auto" w:fill="auto"/>
          </w:tcPr>
          <w:p w14:paraId="408144D1" w14:textId="77777777" w:rsidR="00951092" w:rsidRPr="00A950E7" w:rsidRDefault="00951092" w:rsidP="00F575B9">
            <w:pPr>
              <w:tabs>
                <w:tab w:val="left" w:pos="923"/>
              </w:tabs>
              <w:ind w:right="1134"/>
              <w:jc w:val="both"/>
              <w:rPr>
                <w:b/>
                <w:i/>
                <w:color w:val="000000"/>
                <w:lang w:val="en-US"/>
              </w:rPr>
            </w:pPr>
          </w:p>
        </w:tc>
        <w:tc>
          <w:tcPr>
            <w:tcW w:w="3716" w:type="dxa"/>
            <w:shd w:val="clear" w:color="auto" w:fill="auto"/>
          </w:tcPr>
          <w:p w14:paraId="3A39D2E1" w14:textId="77777777" w:rsidR="00951092" w:rsidRPr="00A950E7" w:rsidRDefault="00951092" w:rsidP="00F575B9">
            <w:pPr>
              <w:tabs>
                <w:tab w:val="left" w:pos="923"/>
              </w:tabs>
              <w:ind w:right="1134"/>
              <w:jc w:val="both"/>
              <w:rPr>
                <w:b/>
                <w:i/>
                <w:color w:val="000000"/>
              </w:rPr>
            </w:pPr>
            <w:r>
              <w:rPr>
                <w:b/>
                <w:bCs/>
                <w:i/>
                <w:iCs/>
                <w:lang w:val="fr-FR"/>
              </w:rPr>
              <w:t>Vitesse nominale</w:t>
            </w:r>
          </w:p>
        </w:tc>
        <w:tc>
          <w:tcPr>
            <w:tcW w:w="1670" w:type="dxa"/>
            <w:shd w:val="clear" w:color="auto" w:fill="auto"/>
          </w:tcPr>
          <w:p w14:paraId="575BCA1E" w14:textId="77777777" w:rsidR="00951092" w:rsidRPr="00A950E7" w:rsidRDefault="00951092" w:rsidP="00F575B9">
            <w:pPr>
              <w:tabs>
                <w:tab w:val="left" w:pos="923"/>
              </w:tabs>
              <w:ind w:right="1134"/>
              <w:jc w:val="both"/>
              <w:rPr>
                <w:b/>
                <w:i/>
                <w:color w:val="000000"/>
              </w:rPr>
            </w:pPr>
            <w:r>
              <w:rPr>
                <w:b/>
                <w:bCs/>
                <w:i/>
                <w:iCs/>
                <w:lang w:val="fr-FR"/>
              </w:rPr>
              <w:t>tr/min</w:t>
            </w:r>
          </w:p>
        </w:tc>
      </w:tr>
      <w:tr w:rsidR="00951092" w14:paraId="202C07D2" w14:textId="77777777" w:rsidTr="00951092">
        <w:tc>
          <w:tcPr>
            <w:tcW w:w="3119" w:type="dxa"/>
            <w:shd w:val="clear" w:color="auto" w:fill="auto"/>
          </w:tcPr>
          <w:p w14:paraId="1765D78E" w14:textId="77777777" w:rsidR="00951092" w:rsidRPr="00A950E7" w:rsidRDefault="00951092" w:rsidP="00F575B9">
            <w:pPr>
              <w:tabs>
                <w:tab w:val="left" w:pos="923"/>
              </w:tabs>
              <w:ind w:right="1134"/>
              <w:jc w:val="both"/>
              <w:rPr>
                <w:b/>
                <w:i/>
                <w:color w:val="000000"/>
                <w:lang w:val="en-US"/>
              </w:rPr>
            </w:pPr>
          </w:p>
        </w:tc>
        <w:tc>
          <w:tcPr>
            <w:tcW w:w="3716" w:type="dxa"/>
            <w:shd w:val="clear" w:color="auto" w:fill="auto"/>
          </w:tcPr>
          <w:p w14:paraId="390B263F" w14:textId="77777777" w:rsidR="00951092" w:rsidRPr="00A950E7" w:rsidRDefault="00951092" w:rsidP="00F575B9">
            <w:pPr>
              <w:tabs>
                <w:tab w:val="left" w:pos="923"/>
              </w:tabs>
              <w:ind w:right="1134"/>
              <w:jc w:val="both"/>
              <w:rPr>
                <w:b/>
                <w:i/>
                <w:color w:val="000000"/>
              </w:rPr>
            </w:pPr>
            <w:r>
              <w:rPr>
                <w:b/>
                <w:bCs/>
                <w:i/>
                <w:iCs/>
                <w:lang w:val="fr-FR"/>
              </w:rPr>
              <w:t>Tension d’alimentation</w:t>
            </w:r>
          </w:p>
        </w:tc>
        <w:tc>
          <w:tcPr>
            <w:tcW w:w="1670" w:type="dxa"/>
            <w:shd w:val="clear" w:color="auto" w:fill="auto"/>
          </w:tcPr>
          <w:p w14:paraId="7BC7198C" w14:textId="77777777" w:rsidR="00951092" w:rsidRPr="00A950E7" w:rsidRDefault="00951092" w:rsidP="00F575B9">
            <w:pPr>
              <w:tabs>
                <w:tab w:val="left" w:pos="923"/>
              </w:tabs>
              <w:ind w:right="1134"/>
              <w:jc w:val="both"/>
              <w:rPr>
                <w:b/>
                <w:i/>
                <w:color w:val="000000"/>
              </w:rPr>
            </w:pPr>
            <w:r>
              <w:rPr>
                <w:b/>
                <w:bCs/>
                <w:i/>
                <w:iCs/>
                <w:lang w:val="fr-FR"/>
              </w:rPr>
              <w:t>V</w:t>
            </w:r>
          </w:p>
        </w:tc>
      </w:tr>
      <w:tr w:rsidR="00951092" w14:paraId="52F3A15F" w14:textId="77777777" w:rsidTr="00951092">
        <w:tc>
          <w:tcPr>
            <w:tcW w:w="3119" w:type="dxa"/>
            <w:shd w:val="clear" w:color="auto" w:fill="auto"/>
          </w:tcPr>
          <w:p w14:paraId="5434D5C9" w14:textId="77777777" w:rsidR="00951092" w:rsidRPr="00A950E7" w:rsidRDefault="00951092" w:rsidP="00F575B9">
            <w:pPr>
              <w:tabs>
                <w:tab w:val="left" w:pos="923"/>
              </w:tabs>
              <w:ind w:right="1134"/>
              <w:jc w:val="both"/>
              <w:rPr>
                <w:b/>
                <w:i/>
                <w:color w:val="000000"/>
                <w:lang w:val="en-US"/>
              </w:rPr>
            </w:pPr>
          </w:p>
        </w:tc>
        <w:tc>
          <w:tcPr>
            <w:tcW w:w="3716" w:type="dxa"/>
            <w:shd w:val="clear" w:color="auto" w:fill="auto"/>
          </w:tcPr>
          <w:p w14:paraId="09FA5956" w14:textId="77777777" w:rsidR="00951092" w:rsidRPr="00A950E7" w:rsidRDefault="00951092" w:rsidP="00F575B9">
            <w:pPr>
              <w:tabs>
                <w:tab w:val="left" w:pos="923"/>
              </w:tabs>
              <w:ind w:right="1134"/>
              <w:jc w:val="both"/>
              <w:rPr>
                <w:b/>
                <w:i/>
                <w:color w:val="000000"/>
              </w:rPr>
            </w:pPr>
            <w:r>
              <w:rPr>
                <w:b/>
                <w:bCs/>
                <w:i/>
                <w:iCs/>
                <w:lang w:val="fr-FR"/>
              </w:rPr>
              <w:t>Fréquence</w:t>
            </w:r>
          </w:p>
        </w:tc>
        <w:tc>
          <w:tcPr>
            <w:tcW w:w="1670" w:type="dxa"/>
            <w:shd w:val="clear" w:color="auto" w:fill="auto"/>
          </w:tcPr>
          <w:p w14:paraId="6441FF7F" w14:textId="77777777" w:rsidR="00951092" w:rsidRPr="00A950E7" w:rsidRDefault="00951092" w:rsidP="00F575B9">
            <w:pPr>
              <w:tabs>
                <w:tab w:val="left" w:pos="923"/>
              </w:tabs>
              <w:ind w:right="1134"/>
              <w:jc w:val="both"/>
              <w:rPr>
                <w:b/>
                <w:i/>
                <w:color w:val="000000"/>
              </w:rPr>
            </w:pPr>
            <w:r>
              <w:rPr>
                <w:b/>
                <w:bCs/>
                <w:i/>
                <w:iCs/>
                <w:lang w:val="fr-FR"/>
              </w:rPr>
              <w:t>Hz</w:t>
            </w:r>
          </w:p>
        </w:tc>
      </w:tr>
      <w:tr w:rsidR="00951092" w14:paraId="30034DA6" w14:textId="77777777" w:rsidTr="00951092">
        <w:tc>
          <w:tcPr>
            <w:tcW w:w="3119" w:type="dxa"/>
            <w:shd w:val="clear" w:color="auto" w:fill="auto"/>
          </w:tcPr>
          <w:p w14:paraId="6782AB7A" w14:textId="77777777" w:rsidR="00951092" w:rsidRPr="00A950E7" w:rsidRDefault="00951092" w:rsidP="00F575B9">
            <w:pPr>
              <w:tabs>
                <w:tab w:val="left" w:pos="923"/>
              </w:tabs>
              <w:ind w:right="1134"/>
              <w:jc w:val="both"/>
              <w:rPr>
                <w:b/>
                <w:i/>
                <w:color w:val="000000"/>
                <w:lang w:val="en-US"/>
              </w:rPr>
            </w:pPr>
          </w:p>
        </w:tc>
        <w:tc>
          <w:tcPr>
            <w:tcW w:w="3716" w:type="dxa"/>
            <w:shd w:val="clear" w:color="auto" w:fill="auto"/>
          </w:tcPr>
          <w:p w14:paraId="1AF94BBA" w14:textId="77777777" w:rsidR="00951092" w:rsidRPr="00A950E7" w:rsidRDefault="00951092" w:rsidP="00F575B9">
            <w:pPr>
              <w:tabs>
                <w:tab w:val="left" w:pos="923"/>
              </w:tabs>
              <w:ind w:right="1134"/>
              <w:jc w:val="both"/>
              <w:rPr>
                <w:b/>
                <w:i/>
                <w:color w:val="000000"/>
                <w:lang w:val="en-US"/>
              </w:rPr>
            </w:pPr>
          </w:p>
        </w:tc>
        <w:tc>
          <w:tcPr>
            <w:tcW w:w="1670" w:type="dxa"/>
            <w:shd w:val="clear" w:color="auto" w:fill="auto"/>
          </w:tcPr>
          <w:p w14:paraId="68DAE154" w14:textId="77777777" w:rsidR="00951092" w:rsidRPr="00A950E7" w:rsidRDefault="00951092" w:rsidP="00F575B9">
            <w:pPr>
              <w:tabs>
                <w:tab w:val="left" w:pos="923"/>
              </w:tabs>
              <w:ind w:right="1134"/>
              <w:jc w:val="both"/>
              <w:rPr>
                <w:b/>
                <w:i/>
                <w:color w:val="000000"/>
                <w:lang w:val="en-US"/>
              </w:rPr>
            </w:pPr>
          </w:p>
        </w:tc>
      </w:tr>
      <w:tr w:rsidR="00951092" w14:paraId="23D68B08" w14:textId="77777777" w:rsidTr="00951092">
        <w:tc>
          <w:tcPr>
            <w:tcW w:w="3119" w:type="dxa"/>
            <w:shd w:val="clear" w:color="auto" w:fill="auto"/>
          </w:tcPr>
          <w:p w14:paraId="09C6B5FF" w14:textId="77777777" w:rsidR="00951092" w:rsidRPr="00A950E7" w:rsidRDefault="00951092" w:rsidP="00F575B9">
            <w:pPr>
              <w:tabs>
                <w:tab w:val="left" w:pos="2132"/>
              </w:tabs>
              <w:rPr>
                <w:b/>
                <w:i/>
                <w:color w:val="000000"/>
              </w:rPr>
            </w:pPr>
            <w:r>
              <w:rPr>
                <w:b/>
                <w:bCs/>
                <w:i/>
                <w:iCs/>
                <w:lang w:val="fr-FR"/>
              </w:rPr>
              <w:t>Moteur thermique</w:t>
            </w:r>
          </w:p>
        </w:tc>
        <w:tc>
          <w:tcPr>
            <w:tcW w:w="3716" w:type="dxa"/>
            <w:shd w:val="clear" w:color="auto" w:fill="auto"/>
          </w:tcPr>
          <w:p w14:paraId="27409F33" w14:textId="77777777" w:rsidR="00951092" w:rsidRPr="00A950E7" w:rsidRDefault="00951092" w:rsidP="00F575B9">
            <w:pPr>
              <w:tabs>
                <w:tab w:val="left" w:pos="923"/>
              </w:tabs>
              <w:ind w:right="1134"/>
              <w:jc w:val="both"/>
              <w:rPr>
                <w:b/>
                <w:i/>
                <w:color w:val="000000"/>
              </w:rPr>
            </w:pPr>
            <w:r>
              <w:rPr>
                <w:b/>
                <w:bCs/>
                <w:i/>
                <w:iCs/>
                <w:lang w:val="fr-FR"/>
              </w:rPr>
              <w:t>Type</w:t>
            </w:r>
          </w:p>
        </w:tc>
        <w:tc>
          <w:tcPr>
            <w:tcW w:w="1670" w:type="dxa"/>
            <w:shd w:val="clear" w:color="auto" w:fill="auto"/>
          </w:tcPr>
          <w:p w14:paraId="75283DC4" w14:textId="77777777" w:rsidR="00951092" w:rsidRPr="00A950E7" w:rsidRDefault="00951092" w:rsidP="00F575B9">
            <w:pPr>
              <w:tabs>
                <w:tab w:val="left" w:pos="923"/>
              </w:tabs>
              <w:ind w:right="1134"/>
              <w:jc w:val="both"/>
              <w:rPr>
                <w:b/>
                <w:i/>
                <w:color w:val="000000"/>
                <w:lang w:val="en-US"/>
              </w:rPr>
            </w:pPr>
          </w:p>
        </w:tc>
      </w:tr>
      <w:tr w:rsidR="00951092" w14:paraId="22F755AB" w14:textId="77777777" w:rsidTr="00951092">
        <w:tc>
          <w:tcPr>
            <w:tcW w:w="3119" w:type="dxa"/>
            <w:shd w:val="clear" w:color="auto" w:fill="auto"/>
          </w:tcPr>
          <w:p w14:paraId="78A06B13" w14:textId="77777777" w:rsidR="00951092" w:rsidRPr="00A950E7" w:rsidRDefault="00951092" w:rsidP="00F575B9">
            <w:pPr>
              <w:tabs>
                <w:tab w:val="left" w:pos="2132"/>
              </w:tabs>
              <w:rPr>
                <w:b/>
                <w:i/>
                <w:color w:val="000000"/>
                <w:lang w:val="en-US"/>
              </w:rPr>
            </w:pPr>
          </w:p>
        </w:tc>
        <w:tc>
          <w:tcPr>
            <w:tcW w:w="3716" w:type="dxa"/>
            <w:shd w:val="clear" w:color="auto" w:fill="auto"/>
          </w:tcPr>
          <w:p w14:paraId="3D38A872" w14:textId="77777777" w:rsidR="00951092" w:rsidRPr="00A950E7" w:rsidRDefault="00951092" w:rsidP="00F575B9">
            <w:pPr>
              <w:tabs>
                <w:tab w:val="left" w:pos="923"/>
              </w:tabs>
              <w:ind w:right="1134"/>
              <w:jc w:val="both"/>
              <w:rPr>
                <w:b/>
                <w:i/>
                <w:color w:val="000000"/>
              </w:rPr>
            </w:pPr>
            <w:r>
              <w:rPr>
                <w:b/>
                <w:bCs/>
                <w:i/>
                <w:iCs/>
                <w:lang w:val="fr-FR"/>
              </w:rPr>
              <w:t>Nombre de cylindres</w:t>
            </w:r>
          </w:p>
        </w:tc>
        <w:tc>
          <w:tcPr>
            <w:tcW w:w="1670" w:type="dxa"/>
            <w:shd w:val="clear" w:color="auto" w:fill="auto"/>
          </w:tcPr>
          <w:p w14:paraId="41A2F0A9" w14:textId="77777777" w:rsidR="00951092" w:rsidRPr="00A950E7" w:rsidRDefault="00951092" w:rsidP="00F575B9">
            <w:pPr>
              <w:tabs>
                <w:tab w:val="left" w:pos="923"/>
              </w:tabs>
              <w:ind w:right="1134"/>
              <w:jc w:val="both"/>
              <w:rPr>
                <w:b/>
                <w:i/>
                <w:color w:val="000000"/>
                <w:lang w:val="en-US"/>
              </w:rPr>
            </w:pPr>
          </w:p>
        </w:tc>
      </w:tr>
      <w:tr w:rsidR="00951092" w14:paraId="7AD59869" w14:textId="77777777" w:rsidTr="00951092">
        <w:tc>
          <w:tcPr>
            <w:tcW w:w="3119" w:type="dxa"/>
            <w:shd w:val="clear" w:color="auto" w:fill="auto"/>
          </w:tcPr>
          <w:p w14:paraId="059E4589" w14:textId="77777777" w:rsidR="00951092" w:rsidRPr="00A950E7" w:rsidRDefault="00951092" w:rsidP="00F575B9">
            <w:pPr>
              <w:tabs>
                <w:tab w:val="left" w:pos="2132"/>
              </w:tabs>
              <w:rPr>
                <w:b/>
                <w:i/>
                <w:color w:val="000000"/>
                <w:lang w:val="en-US"/>
              </w:rPr>
            </w:pPr>
          </w:p>
        </w:tc>
        <w:tc>
          <w:tcPr>
            <w:tcW w:w="3716" w:type="dxa"/>
            <w:shd w:val="clear" w:color="auto" w:fill="auto"/>
          </w:tcPr>
          <w:p w14:paraId="23DE4607" w14:textId="77777777" w:rsidR="00951092" w:rsidRPr="00A950E7" w:rsidRDefault="00951092" w:rsidP="00F575B9">
            <w:pPr>
              <w:tabs>
                <w:tab w:val="left" w:pos="923"/>
              </w:tabs>
              <w:ind w:right="1134"/>
              <w:jc w:val="both"/>
              <w:rPr>
                <w:b/>
                <w:i/>
                <w:color w:val="000000"/>
              </w:rPr>
            </w:pPr>
            <w:r>
              <w:rPr>
                <w:b/>
                <w:bCs/>
                <w:i/>
                <w:iCs/>
                <w:lang w:val="fr-FR"/>
              </w:rPr>
              <w:t>Cylindrée</w:t>
            </w:r>
          </w:p>
        </w:tc>
        <w:tc>
          <w:tcPr>
            <w:tcW w:w="1670" w:type="dxa"/>
            <w:shd w:val="clear" w:color="auto" w:fill="auto"/>
          </w:tcPr>
          <w:p w14:paraId="2131494B" w14:textId="77777777" w:rsidR="00951092" w:rsidRPr="00A950E7" w:rsidRDefault="00951092" w:rsidP="00F575B9">
            <w:pPr>
              <w:tabs>
                <w:tab w:val="left" w:pos="923"/>
              </w:tabs>
              <w:ind w:right="1134"/>
              <w:jc w:val="both"/>
              <w:rPr>
                <w:b/>
                <w:i/>
                <w:color w:val="000000"/>
              </w:rPr>
            </w:pPr>
            <w:r>
              <w:rPr>
                <w:b/>
                <w:bCs/>
                <w:i/>
                <w:iCs/>
                <w:lang w:val="fr-FR"/>
              </w:rPr>
              <w:t>cc</w:t>
            </w:r>
          </w:p>
        </w:tc>
      </w:tr>
      <w:tr w:rsidR="00951092" w14:paraId="21C5A757" w14:textId="77777777" w:rsidTr="00951092">
        <w:tc>
          <w:tcPr>
            <w:tcW w:w="3119" w:type="dxa"/>
            <w:shd w:val="clear" w:color="auto" w:fill="auto"/>
          </w:tcPr>
          <w:p w14:paraId="6F44F000" w14:textId="77777777" w:rsidR="00951092" w:rsidRPr="00A950E7" w:rsidRDefault="00951092" w:rsidP="00F575B9">
            <w:pPr>
              <w:tabs>
                <w:tab w:val="left" w:pos="2132"/>
              </w:tabs>
              <w:rPr>
                <w:b/>
                <w:i/>
                <w:color w:val="000000"/>
                <w:lang w:val="en-US"/>
              </w:rPr>
            </w:pPr>
          </w:p>
        </w:tc>
        <w:tc>
          <w:tcPr>
            <w:tcW w:w="3716" w:type="dxa"/>
            <w:shd w:val="clear" w:color="auto" w:fill="auto"/>
          </w:tcPr>
          <w:p w14:paraId="42B81394" w14:textId="77777777" w:rsidR="00951092" w:rsidRPr="00A950E7" w:rsidRDefault="00951092" w:rsidP="00F575B9">
            <w:pPr>
              <w:tabs>
                <w:tab w:val="left" w:pos="923"/>
              </w:tabs>
              <w:ind w:right="1134"/>
              <w:jc w:val="both"/>
              <w:rPr>
                <w:b/>
                <w:i/>
                <w:color w:val="000000"/>
              </w:rPr>
            </w:pPr>
            <w:r>
              <w:rPr>
                <w:b/>
                <w:bCs/>
                <w:i/>
                <w:iCs/>
                <w:lang w:val="fr-FR"/>
              </w:rPr>
              <w:t>Puissance nominale</w:t>
            </w:r>
          </w:p>
        </w:tc>
        <w:tc>
          <w:tcPr>
            <w:tcW w:w="1670" w:type="dxa"/>
            <w:shd w:val="clear" w:color="auto" w:fill="auto"/>
          </w:tcPr>
          <w:p w14:paraId="2AD3FE0B" w14:textId="77777777" w:rsidR="00951092" w:rsidRPr="00A950E7" w:rsidRDefault="00951092" w:rsidP="00F575B9">
            <w:pPr>
              <w:tabs>
                <w:tab w:val="left" w:pos="923"/>
              </w:tabs>
              <w:ind w:right="1134"/>
              <w:jc w:val="both"/>
              <w:rPr>
                <w:b/>
                <w:i/>
                <w:color w:val="000000"/>
              </w:rPr>
            </w:pPr>
            <w:r>
              <w:rPr>
                <w:b/>
                <w:bCs/>
                <w:i/>
                <w:iCs/>
                <w:lang w:val="fr-FR"/>
              </w:rPr>
              <w:t>kW</w:t>
            </w:r>
          </w:p>
        </w:tc>
      </w:tr>
      <w:tr w:rsidR="00951092" w14:paraId="716D853A" w14:textId="77777777" w:rsidTr="00951092">
        <w:tc>
          <w:tcPr>
            <w:tcW w:w="3119" w:type="dxa"/>
            <w:shd w:val="clear" w:color="auto" w:fill="auto"/>
          </w:tcPr>
          <w:p w14:paraId="36B1890D" w14:textId="77777777" w:rsidR="00951092" w:rsidRPr="00A950E7" w:rsidRDefault="00951092" w:rsidP="00F575B9">
            <w:pPr>
              <w:tabs>
                <w:tab w:val="left" w:pos="2132"/>
              </w:tabs>
              <w:rPr>
                <w:b/>
                <w:i/>
                <w:color w:val="000000"/>
                <w:lang w:val="en-US"/>
              </w:rPr>
            </w:pPr>
          </w:p>
        </w:tc>
        <w:tc>
          <w:tcPr>
            <w:tcW w:w="3716" w:type="dxa"/>
            <w:shd w:val="clear" w:color="auto" w:fill="auto"/>
          </w:tcPr>
          <w:p w14:paraId="53E38665" w14:textId="77777777" w:rsidR="00951092" w:rsidRPr="00A950E7" w:rsidRDefault="00951092" w:rsidP="00F575B9">
            <w:pPr>
              <w:tabs>
                <w:tab w:val="left" w:pos="923"/>
              </w:tabs>
              <w:ind w:right="1134"/>
              <w:jc w:val="both"/>
              <w:rPr>
                <w:b/>
                <w:i/>
                <w:color w:val="000000"/>
              </w:rPr>
            </w:pPr>
            <w:r>
              <w:rPr>
                <w:b/>
                <w:bCs/>
                <w:i/>
                <w:iCs/>
                <w:lang w:val="fr-FR"/>
              </w:rPr>
              <w:t>Vitesse nominale</w:t>
            </w:r>
          </w:p>
        </w:tc>
        <w:tc>
          <w:tcPr>
            <w:tcW w:w="1670" w:type="dxa"/>
            <w:shd w:val="clear" w:color="auto" w:fill="auto"/>
          </w:tcPr>
          <w:p w14:paraId="5AA7C641" w14:textId="77777777" w:rsidR="00951092" w:rsidRPr="00A950E7" w:rsidRDefault="00951092" w:rsidP="00F575B9">
            <w:pPr>
              <w:tabs>
                <w:tab w:val="left" w:pos="923"/>
              </w:tabs>
              <w:ind w:right="1134"/>
              <w:jc w:val="both"/>
              <w:rPr>
                <w:b/>
                <w:i/>
                <w:color w:val="000000"/>
              </w:rPr>
            </w:pPr>
            <w:r>
              <w:rPr>
                <w:b/>
                <w:bCs/>
                <w:i/>
                <w:iCs/>
                <w:lang w:val="fr-FR"/>
              </w:rPr>
              <w:t>tr/min</w:t>
            </w:r>
          </w:p>
        </w:tc>
      </w:tr>
      <w:tr w:rsidR="00951092" w14:paraId="6E53D22F" w14:textId="77777777" w:rsidTr="00951092">
        <w:tc>
          <w:tcPr>
            <w:tcW w:w="3119" w:type="dxa"/>
            <w:shd w:val="clear" w:color="auto" w:fill="auto"/>
          </w:tcPr>
          <w:p w14:paraId="119CE534" w14:textId="77777777" w:rsidR="00951092" w:rsidRPr="00A950E7" w:rsidRDefault="00951092" w:rsidP="00F575B9">
            <w:pPr>
              <w:tabs>
                <w:tab w:val="left" w:pos="2132"/>
              </w:tabs>
              <w:rPr>
                <w:b/>
                <w:i/>
                <w:color w:val="000000"/>
                <w:lang w:val="en-US"/>
              </w:rPr>
            </w:pPr>
          </w:p>
        </w:tc>
        <w:tc>
          <w:tcPr>
            <w:tcW w:w="3716" w:type="dxa"/>
            <w:shd w:val="clear" w:color="auto" w:fill="auto"/>
          </w:tcPr>
          <w:p w14:paraId="4B11BB5B" w14:textId="77777777" w:rsidR="00951092" w:rsidRPr="00A950E7" w:rsidRDefault="00951092" w:rsidP="00F575B9">
            <w:pPr>
              <w:tabs>
                <w:tab w:val="left" w:pos="923"/>
              </w:tabs>
              <w:ind w:right="1134"/>
              <w:jc w:val="both"/>
              <w:rPr>
                <w:b/>
                <w:i/>
                <w:color w:val="000000"/>
              </w:rPr>
            </w:pPr>
            <w:r>
              <w:rPr>
                <w:b/>
                <w:bCs/>
                <w:i/>
                <w:iCs/>
                <w:lang w:val="fr-FR"/>
              </w:rPr>
              <w:t>Carburant</w:t>
            </w:r>
          </w:p>
        </w:tc>
        <w:tc>
          <w:tcPr>
            <w:tcW w:w="1670" w:type="dxa"/>
            <w:shd w:val="clear" w:color="auto" w:fill="auto"/>
          </w:tcPr>
          <w:p w14:paraId="024D6622" w14:textId="77777777" w:rsidR="00951092" w:rsidRPr="00A950E7" w:rsidRDefault="00951092" w:rsidP="00F575B9">
            <w:pPr>
              <w:tabs>
                <w:tab w:val="left" w:pos="923"/>
              </w:tabs>
              <w:ind w:right="1134"/>
              <w:jc w:val="both"/>
              <w:rPr>
                <w:b/>
                <w:i/>
                <w:color w:val="000000"/>
                <w:lang w:val="en-US"/>
              </w:rPr>
            </w:pPr>
          </w:p>
        </w:tc>
      </w:tr>
      <w:tr w:rsidR="00951092" w14:paraId="7C8F0776" w14:textId="77777777" w:rsidTr="00951092">
        <w:tc>
          <w:tcPr>
            <w:tcW w:w="3119" w:type="dxa"/>
            <w:shd w:val="clear" w:color="auto" w:fill="auto"/>
          </w:tcPr>
          <w:p w14:paraId="20B338E2" w14:textId="77777777" w:rsidR="00951092" w:rsidRPr="00A950E7" w:rsidRDefault="00951092" w:rsidP="00F575B9">
            <w:pPr>
              <w:tabs>
                <w:tab w:val="left" w:pos="2132"/>
              </w:tabs>
              <w:rPr>
                <w:b/>
                <w:i/>
                <w:color w:val="000000"/>
                <w:lang w:val="en-US"/>
              </w:rPr>
            </w:pPr>
          </w:p>
        </w:tc>
        <w:tc>
          <w:tcPr>
            <w:tcW w:w="3716" w:type="dxa"/>
            <w:shd w:val="clear" w:color="auto" w:fill="auto"/>
          </w:tcPr>
          <w:p w14:paraId="1699FE8F" w14:textId="77777777" w:rsidR="00951092" w:rsidRPr="00A950E7" w:rsidRDefault="00951092" w:rsidP="00F575B9">
            <w:pPr>
              <w:tabs>
                <w:tab w:val="left" w:pos="923"/>
              </w:tabs>
              <w:ind w:right="1134"/>
              <w:jc w:val="both"/>
              <w:rPr>
                <w:b/>
                <w:i/>
                <w:color w:val="000000"/>
                <w:lang w:val="en-US"/>
              </w:rPr>
            </w:pPr>
          </w:p>
        </w:tc>
        <w:tc>
          <w:tcPr>
            <w:tcW w:w="1670" w:type="dxa"/>
            <w:shd w:val="clear" w:color="auto" w:fill="auto"/>
          </w:tcPr>
          <w:p w14:paraId="2CC7803A" w14:textId="77777777" w:rsidR="00951092" w:rsidRPr="00A950E7" w:rsidRDefault="00951092" w:rsidP="00F575B9">
            <w:pPr>
              <w:tabs>
                <w:tab w:val="left" w:pos="923"/>
              </w:tabs>
              <w:ind w:right="1134"/>
              <w:jc w:val="both"/>
              <w:rPr>
                <w:b/>
                <w:i/>
                <w:color w:val="000000"/>
                <w:lang w:val="en-US"/>
              </w:rPr>
            </w:pPr>
          </w:p>
        </w:tc>
      </w:tr>
      <w:tr w:rsidR="00951092" w14:paraId="573942F2" w14:textId="77777777" w:rsidTr="00951092">
        <w:tc>
          <w:tcPr>
            <w:tcW w:w="3119" w:type="dxa"/>
            <w:shd w:val="clear" w:color="auto" w:fill="auto"/>
          </w:tcPr>
          <w:p w14:paraId="161E2445" w14:textId="77777777" w:rsidR="00951092" w:rsidRPr="00A950E7" w:rsidRDefault="00951092" w:rsidP="00F575B9">
            <w:pPr>
              <w:tabs>
                <w:tab w:val="left" w:pos="2132"/>
              </w:tabs>
              <w:rPr>
                <w:b/>
                <w:i/>
                <w:color w:val="000000"/>
              </w:rPr>
            </w:pPr>
            <w:r>
              <w:rPr>
                <w:b/>
                <w:bCs/>
                <w:i/>
                <w:iCs/>
                <w:lang w:val="fr-FR"/>
              </w:rPr>
              <w:t>Moteur hydraulique</w:t>
            </w:r>
          </w:p>
        </w:tc>
        <w:tc>
          <w:tcPr>
            <w:tcW w:w="3716" w:type="dxa"/>
            <w:shd w:val="clear" w:color="auto" w:fill="auto"/>
          </w:tcPr>
          <w:p w14:paraId="1D621BD9" w14:textId="77777777" w:rsidR="00951092" w:rsidRPr="00A950E7" w:rsidRDefault="00951092" w:rsidP="00F575B9">
            <w:pPr>
              <w:tabs>
                <w:tab w:val="left" w:pos="923"/>
              </w:tabs>
              <w:ind w:right="1134"/>
              <w:jc w:val="both"/>
              <w:rPr>
                <w:b/>
                <w:i/>
                <w:color w:val="000000"/>
              </w:rPr>
            </w:pPr>
            <w:r>
              <w:rPr>
                <w:b/>
                <w:bCs/>
                <w:i/>
                <w:iCs/>
                <w:lang w:val="fr-FR"/>
              </w:rPr>
              <w:t>Type</w:t>
            </w:r>
          </w:p>
        </w:tc>
        <w:tc>
          <w:tcPr>
            <w:tcW w:w="1670" w:type="dxa"/>
            <w:shd w:val="clear" w:color="auto" w:fill="auto"/>
          </w:tcPr>
          <w:p w14:paraId="57D310D3" w14:textId="77777777" w:rsidR="00951092" w:rsidRPr="00A950E7" w:rsidRDefault="00951092" w:rsidP="00F575B9">
            <w:pPr>
              <w:tabs>
                <w:tab w:val="left" w:pos="923"/>
              </w:tabs>
              <w:ind w:right="1134"/>
              <w:jc w:val="both"/>
              <w:rPr>
                <w:b/>
                <w:i/>
                <w:color w:val="000000"/>
                <w:lang w:val="en-US"/>
              </w:rPr>
            </w:pPr>
          </w:p>
        </w:tc>
      </w:tr>
      <w:tr w:rsidR="00951092" w14:paraId="1684EE43" w14:textId="77777777" w:rsidTr="00951092">
        <w:tc>
          <w:tcPr>
            <w:tcW w:w="3119" w:type="dxa"/>
            <w:shd w:val="clear" w:color="auto" w:fill="auto"/>
          </w:tcPr>
          <w:p w14:paraId="4ACA2504" w14:textId="77777777" w:rsidR="00951092" w:rsidRPr="00A950E7" w:rsidRDefault="00951092" w:rsidP="00F575B9">
            <w:pPr>
              <w:tabs>
                <w:tab w:val="left" w:pos="2132"/>
              </w:tabs>
              <w:rPr>
                <w:b/>
                <w:i/>
                <w:color w:val="000000"/>
                <w:lang w:val="en-US"/>
              </w:rPr>
            </w:pPr>
          </w:p>
        </w:tc>
        <w:tc>
          <w:tcPr>
            <w:tcW w:w="3716" w:type="dxa"/>
            <w:shd w:val="clear" w:color="auto" w:fill="auto"/>
          </w:tcPr>
          <w:p w14:paraId="47FAE1E5" w14:textId="77777777" w:rsidR="00951092" w:rsidRPr="00A950E7" w:rsidRDefault="00951092" w:rsidP="00F575B9">
            <w:pPr>
              <w:tabs>
                <w:tab w:val="left" w:pos="923"/>
              </w:tabs>
              <w:ind w:right="1134"/>
              <w:jc w:val="both"/>
              <w:rPr>
                <w:b/>
                <w:i/>
                <w:color w:val="000000"/>
              </w:rPr>
            </w:pPr>
            <w:r>
              <w:rPr>
                <w:b/>
                <w:bCs/>
                <w:i/>
                <w:iCs/>
                <w:lang w:val="fr-FR"/>
              </w:rPr>
              <w:t>Mode d'entraînement</w:t>
            </w:r>
          </w:p>
        </w:tc>
        <w:tc>
          <w:tcPr>
            <w:tcW w:w="1670" w:type="dxa"/>
            <w:shd w:val="clear" w:color="auto" w:fill="auto"/>
          </w:tcPr>
          <w:p w14:paraId="7EB8E70E" w14:textId="77777777" w:rsidR="00951092" w:rsidRPr="00A950E7" w:rsidRDefault="00951092" w:rsidP="00F575B9">
            <w:pPr>
              <w:tabs>
                <w:tab w:val="left" w:pos="923"/>
              </w:tabs>
              <w:ind w:right="1134"/>
              <w:jc w:val="both"/>
              <w:rPr>
                <w:b/>
                <w:i/>
                <w:color w:val="000000"/>
                <w:lang w:val="en-US"/>
              </w:rPr>
            </w:pPr>
          </w:p>
        </w:tc>
      </w:tr>
      <w:tr w:rsidR="00951092" w14:paraId="0C7B8ED5" w14:textId="77777777" w:rsidTr="00951092">
        <w:tc>
          <w:tcPr>
            <w:tcW w:w="3119" w:type="dxa"/>
            <w:shd w:val="clear" w:color="auto" w:fill="auto"/>
          </w:tcPr>
          <w:p w14:paraId="04B542A8" w14:textId="77777777" w:rsidR="00951092" w:rsidRPr="00A950E7" w:rsidRDefault="00951092" w:rsidP="00F575B9">
            <w:pPr>
              <w:tabs>
                <w:tab w:val="left" w:pos="2132"/>
              </w:tabs>
              <w:rPr>
                <w:b/>
                <w:i/>
                <w:color w:val="000000"/>
                <w:lang w:val="en-US"/>
              </w:rPr>
            </w:pPr>
          </w:p>
        </w:tc>
        <w:tc>
          <w:tcPr>
            <w:tcW w:w="3716" w:type="dxa"/>
            <w:shd w:val="clear" w:color="auto" w:fill="auto"/>
          </w:tcPr>
          <w:p w14:paraId="38CAD0FE" w14:textId="77777777" w:rsidR="00951092" w:rsidRPr="00A950E7" w:rsidRDefault="00951092" w:rsidP="00F575B9">
            <w:pPr>
              <w:tabs>
                <w:tab w:val="left" w:pos="923"/>
              </w:tabs>
              <w:ind w:right="1134"/>
              <w:jc w:val="both"/>
              <w:rPr>
                <w:b/>
                <w:i/>
                <w:color w:val="000000"/>
                <w:lang w:val="en-US"/>
              </w:rPr>
            </w:pPr>
          </w:p>
        </w:tc>
        <w:tc>
          <w:tcPr>
            <w:tcW w:w="1670" w:type="dxa"/>
            <w:shd w:val="clear" w:color="auto" w:fill="auto"/>
          </w:tcPr>
          <w:p w14:paraId="57C06F52" w14:textId="77777777" w:rsidR="00951092" w:rsidRPr="00A950E7" w:rsidRDefault="00951092" w:rsidP="00F575B9">
            <w:pPr>
              <w:tabs>
                <w:tab w:val="left" w:pos="923"/>
              </w:tabs>
              <w:ind w:right="1134"/>
              <w:jc w:val="both"/>
              <w:rPr>
                <w:b/>
                <w:i/>
                <w:color w:val="000000"/>
                <w:lang w:val="en-US"/>
              </w:rPr>
            </w:pPr>
          </w:p>
        </w:tc>
      </w:tr>
      <w:tr w:rsidR="00951092" w14:paraId="176AAB54" w14:textId="77777777" w:rsidTr="00951092">
        <w:tc>
          <w:tcPr>
            <w:tcW w:w="3119" w:type="dxa"/>
            <w:shd w:val="clear" w:color="auto" w:fill="auto"/>
          </w:tcPr>
          <w:p w14:paraId="7B234662" w14:textId="77777777" w:rsidR="00951092" w:rsidRPr="00A950E7" w:rsidRDefault="00951092" w:rsidP="00F575B9">
            <w:pPr>
              <w:keepNext/>
              <w:keepLines/>
              <w:tabs>
                <w:tab w:val="left" w:pos="2132"/>
              </w:tabs>
              <w:rPr>
                <w:b/>
                <w:i/>
                <w:color w:val="000000"/>
              </w:rPr>
            </w:pPr>
            <w:r>
              <w:rPr>
                <w:b/>
                <w:bCs/>
                <w:i/>
                <w:iCs/>
                <w:lang w:val="fr-FR"/>
              </w:rPr>
              <w:t>Alternateur</w:t>
            </w:r>
          </w:p>
        </w:tc>
        <w:tc>
          <w:tcPr>
            <w:tcW w:w="3716" w:type="dxa"/>
            <w:shd w:val="clear" w:color="auto" w:fill="auto"/>
          </w:tcPr>
          <w:p w14:paraId="135028F9" w14:textId="77777777" w:rsidR="00951092" w:rsidRPr="00A950E7" w:rsidRDefault="00951092" w:rsidP="00F575B9">
            <w:pPr>
              <w:keepNext/>
              <w:keepLines/>
              <w:tabs>
                <w:tab w:val="left" w:pos="923"/>
              </w:tabs>
              <w:ind w:right="1134"/>
              <w:jc w:val="both"/>
              <w:rPr>
                <w:b/>
                <w:i/>
                <w:color w:val="000000"/>
              </w:rPr>
            </w:pPr>
            <w:r>
              <w:rPr>
                <w:b/>
                <w:bCs/>
                <w:i/>
                <w:iCs/>
                <w:lang w:val="fr-FR"/>
              </w:rPr>
              <w:t>Type</w:t>
            </w:r>
          </w:p>
        </w:tc>
        <w:tc>
          <w:tcPr>
            <w:tcW w:w="1670" w:type="dxa"/>
            <w:shd w:val="clear" w:color="auto" w:fill="auto"/>
          </w:tcPr>
          <w:p w14:paraId="0540863E" w14:textId="77777777" w:rsidR="00951092" w:rsidRPr="00A950E7" w:rsidRDefault="00951092" w:rsidP="00F575B9">
            <w:pPr>
              <w:tabs>
                <w:tab w:val="left" w:pos="923"/>
              </w:tabs>
              <w:ind w:right="1134"/>
              <w:jc w:val="both"/>
              <w:rPr>
                <w:b/>
                <w:i/>
                <w:color w:val="000000"/>
                <w:lang w:val="en-US"/>
              </w:rPr>
            </w:pPr>
          </w:p>
        </w:tc>
      </w:tr>
      <w:tr w:rsidR="00951092" w14:paraId="6DF72873" w14:textId="77777777" w:rsidTr="00951092">
        <w:tc>
          <w:tcPr>
            <w:tcW w:w="3119" w:type="dxa"/>
            <w:shd w:val="clear" w:color="auto" w:fill="auto"/>
          </w:tcPr>
          <w:p w14:paraId="723B6ED5" w14:textId="77777777" w:rsidR="00951092" w:rsidRPr="00A950E7" w:rsidRDefault="00951092" w:rsidP="00F575B9">
            <w:pPr>
              <w:keepNext/>
              <w:keepLines/>
              <w:tabs>
                <w:tab w:val="left" w:pos="2132"/>
              </w:tabs>
              <w:rPr>
                <w:b/>
                <w:i/>
                <w:color w:val="000000"/>
                <w:lang w:val="en-US"/>
              </w:rPr>
            </w:pPr>
          </w:p>
        </w:tc>
        <w:tc>
          <w:tcPr>
            <w:tcW w:w="3716" w:type="dxa"/>
            <w:shd w:val="clear" w:color="auto" w:fill="auto"/>
          </w:tcPr>
          <w:p w14:paraId="6D17DFDB" w14:textId="77777777" w:rsidR="00951092" w:rsidRPr="00A950E7" w:rsidRDefault="00951092" w:rsidP="00F575B9">
            <w:pPr>
              <w:keepNext/>
              <w:keepLines/>
              <w:tabs>
                <w:tab w:val="left" w:pos="923"/>
              </w:tabs>
              <w:ind w:right="1134"/>
              <w:jc w:val="both"/>
              <w:rPr>
                <w:b/>
                <w:i/>
                <w:color w:val="000000"/>
              </w:rPr>
            </w:pPr>
            <w:r>
              <w:rPr>
                <w:b/>
                <w:bCs/>
                <w:i/>
                <w:iCs/>
                <w:lang w:val="fr-FR"/>
              </w:rPr>
              <w:t>Mode d'entraînement</w:t>
            </w:r>
          </w:p>
        </w:tc>
        <w:tc>
          <w:tcPr>
            <w:tcW w:w="1670" w:type="dxa"/>
            <w:shd w:val="clear" w:color="auto" w:fill="auto"/>
          </w:tcPr>
          <w:p w14:paraId="47F3C5C6" w14:textId="77777777" w:rsidR="00951092" w:rsidRPr="00A950E7" w:rsidRDefault="00951092" w:rsidP="00F575B9">
            <w:pPr>
              <w:tabs>
                <w:tab w:val="left" w:pos="923"/>
              </w:tabs>
              <w:ind w:right="1134"/>
              <w:jc w:val="both"/>
              <w:rPr>
                <w:b/>
                <w:i/>
                <w:color w:val="000000"/>
                <w:lang w:val="en-US"/>
              </w:rPr>
            </w:pPr>
          </w:p>
        </w:tc>
      </w:tr>
      <w:tr w:rsidR="00951092" w14:paraId="7D2A8764" w14:textId="77777777" w:rsidTr="00951092">
        <w:tc>
          <w:tcPr>
            <w:tcW w:w="3119" w:type="dxa"/>
            <w:shd w:val="clear" w:color="auto" w:fill="auto"/>
          </w:tcPr>
          <w:p w14:paraId="3DD7B6B8" w14:textId="77777777" w:rsidR="00951092" w:rsidRPr="00A950E7" w:rsidRDefault="00951092" w:rsidP="00F575B9">
            <w:pPr>
              <w:tabs>
                <w:tab w:val="left" w:pos="2132"/>
              </w:tabs>
              <w:rPr>
                <w:b/>
                <w:i/>
                <w:color w:val="000000"/>
                <w:lang w:val="en-US"/>
              </w:rPr>
            </w:pPr>
          </w:p>
        </w:tc>
        <w:tc>
          <w:tcPr>
            <w:tcW w:w="3716" w:type="dxa"/>
            <w:shd w:val="clear" w:color="auto" w:fill="auto"/>
          </w:tcPr>
          <w:p w14:paraId="17897CE6" w14:textId="77777777" w:rsidR="00951092" w:rsidRPr="00A950E7" w:rsidRDefault="00951092" w:rsidP="00F575B9">
            <w:pPr>
              <w:tabs>
                <w:tab w:val="left" w:pos="923"/>
              </w:tabs>
              <w:ind w:right="1134"/>
              <w:jc w:val="both"/>
              <w:rPr>
                <w:b/>
                <w:i/>
                <w:color w:val="000000"/>
                <w:lang w:val="en-US"/>
              </w:rPr>
            </w:pPr>
          </w:p>
        </w:tc>
        <w:tc>
          <w:tcPr>
            <w:tcW w:w="1670" w:type="dxa"/>
            <w:shd w:val="clear" w:color="auto" w:fill="auto"/>
          </w:tcPr>
          <w:p w14:paraId="1089450C" w14:textId="77777777" w:rsidR="00951092" w:rsidRPr="00A950E7" w:rsidRDefault="00951092" w:rsidP="00F575B9">
            <w:pPr>
              <w:tabs>
                <w:tab w:val="left" w:pos="923"/>
              </w:tabs>
              <w:ind w:right="1134"/>
              <w:jc w:val="both"/>
              <w:rPr>
                <w:b/>
                <w:i/>
                <w:color w:val="000000"/>
                <w:lang w:val="en-US"/>
              </w:rPr>
            </w:pPr>
          </w:p>
        </w:tc>
      </w:tr>
      <w:tr w:rsidR="00951092" w14:paraId="42F0A6EB" w14:textId="77777777" w:rsidTr="00951092">
        <w:tc>
          <w:tcPr>
            <w:tcW w:w="3119" w:type="dxa"/>
            <w:shd w:val="clear" w:color="auto" w:fill="auto"/>
          </w:tcPr>
          <w:p w14:paraId="639903B5" w14:textId="77777777" w:rsidR="00951092" w:rsidRPr="00A950E7" w:rsidRDefault="00951092" w:rsidP="00F575B9">
            <w:pPr>
              <w:tabs>
                <w:tab w:val="left" w:pos="2132"/>
              </w:tabs>
              <w:rPr>
                <w:b/>
                <w:i/>
                <w:color w:val="000000"/>
              </w:rPr>
            </w:pPr>
            <w:r>
              <w:rPr>
                <w:b/>
                <w:bCs/>
                <w:i/>
                <w:iCs/>
                <w:lang w:val="fr-FR"/>
              </w:rPr>
              <w:t>Autre installation mécanique</w:t>
            </w:r>
          </w:p>
        </w:tc>
        <w:tc>
          <w:tcPr>
            <w:tcW w:w="3716" w:type="dxa"/>
            <w:shd w:val="clear" w:color="auto" w:fill="auto"/>
          </w:tcPr>
          <w:p w14:paraId="003024AE" w14:textId="77777777" w:rsidR="00951092" w:rsidRPr="00A950E7" w:rsidRDefault="00951092" w:rsidP="00F575B9">
            <w:pPr>
              <w:tabs>
                <w:tab w:val="left" w:pos="923"/>
              </w:tabs>
              <w:ind w:right="1134"/>
              <w:jc w:val="both"/>
              <w:rPr>
                <w:b/>
                <w:i/>
                <w:color w:val="000000"/>
              </w:rPr>
            </w:pPr>
            <w:r>
              <w:rPr>
                <w:b/>
                <w:bCs/>
                <w:i/>
                <w:iCs/>
                <w:lang w:val="fr-FR"/>
              </w:rPr>
              <w:t>Vitesse nominale</w:t>
            </w:r>
          </w:p>
        </w:tc>
        <w:tc>
          <w:tcPr>
            <w:tcW w:w="1670" w:type="dxa"/>
            <w:shd w:val="clear" w:color="auto" w:fill="auto"/>
          </w:tcPr>
          <w:p w14:paraId="51FBC63B" w14:textId="77777777" w:rsidR="00951092" w:rsidRPr="00A950E7" w:rsidRDefault="00951092" w:rsidP="00F575B9">
            <w:pPr>
              <w:tabs>
                <w:tab w:val="left" w:pos="923"/>
              </w:tabs>
              <w:ind w:right="1134"/>
              <w:jc w:val="both"/>
              <w:rPr>
                <w:b/>
                <w:i/>
                <w:color w:val="000000"/>
              </w:rPr>
            </w:pPr>
            <w:r>
              <w:rPr>
                <w:b/>
                <w:bCs/>
                <w:i/>
                <w:iCs/>
                <w:lang w:val="fr-FR"/>
              </w:rPr>
              <w:t>tr/min</w:t>
            </w:r>
          </w:p>
        </w:tc>
      </w:tr>
      <w:tr w:rsidR="00951092" w14:paraId="4FED776A" w14:textId="77777777" w:rsidTr="00951092">
        <w:tc>
          <w:tcPr>
            <w:tcW w:w="3119" w:type="dxa"/>
            <w:shd w:val="clear" w:color="auto" w:fill="auto"/>
          </w:tcPr>
          <w:p w14:paraId="2540534C" w14:textId="77777777" w:rsidR="00951092" w:rsidRPr="00A950E7" w:rsidRDefault="00951092" w:rsidP="00F575B9">
            <w:pPr>
              <w:tabs>
                <w:tab w:val="left" w:pos="2132"/>
              </w:tabs>
              <w:rPr>
                <w:b/>
                <w:i/>
                <w:color w:val="000000"/>
                <w:lang w:val="en-US"/>
              </w:rPr>
            </w:pPr>
          </w:p>
        </w:tc>
        <w:tc>
          <w:tcPr>
            <w:tcW w:w="3716" w:type="dxa"/>
            <w:shd w:val="clear" w:color="auto" w:fill="auto"/>
          </w:tcPr>
          <w:p w14:paraId="2FC860DA" w14:textId="77777777" w:rsidR="00951092" w:rsidRPr="00A950E7" w:rsidRDefault="00951092" w:rsidP="00F575B9">
            <w:pPr>
              <w:tabs>
                <w:tab w:val="left" w:pos="923"/>
              </w:tabs>
              <w:ind w:right="1134"/>
              <w:jc w:val="both"/>
              <w:rPr>
                <w:b/>
                <w:i/>
                <w:color w:val="000000"/>
              </w:rPr>
            </w:pPr>
            <w:r>
              <w:rPr>
                <w:b/>
                <w:bCs/>
                <w:i/>
                <w:iCs/>
                <w:lang w:val="fr-FR"/>
              </w:rPr>
              <w:t>Vitesse minimale</w:t>
            </w:r>
          </w:p>
        </w:tc>
        <w:tc>
          <w:tcPr>
            <w:tcW w:w="1670" w:type="dxa"/>
            <w:shd w:val="clear" w:color="auto" w:fill="auto"/>
          </w:tcPr>
          <w:p w14:paraId="353867A8" w14:textId="77777777" w:rsidR="00951092" w:rsidRPr="00A950E7" w:rsidRDefault="00951092" w:rsidP="00F575B9">
            <w:pPr>
              <w:tabs>
                <w:tab w:val="left" w:pos="923"/>
              </w:tabs>
              <w:ind w:right="1134"/>
              <w:jc w:val="both"/>
              <w:rPr>
                <w:b/>
                <w:i/>
                <w:color w:val="000000"/>
              </w:rPr>
            </w:pPr>
            <w:r>
              <w:rPr>
                <w:b/>
                <w:bCs/>
                <w:i/>
                <w:iCs/>
                <w:lang w:val="fr-FR"/>
              </w:rPr>
              <w:t>tr/min</w:t>
            </w:r>
          </w:p>
        </w:tc>
      </w:tr>
    </w:tbl>
    <w:p w14:paraId="345AE2D1" w14:textId="4BC29912" w:rsidR="00951092" w:rsidRDefault="00951092" w:rsidP="00951092">
      <w:pPr>
        <w:pStyle w:val="HChG"/>
        <w:rPr>
          <w:lang w:val="fr-FR"/>
        </w:rPr>
      </w:pPr>
      <w:r>
        <w:rPr>
          <w:lang w:val="fr-FR"/>
        </w:rPr>
        <w:tab/>
      </w:r>
      <w:r>
        <w:rPr>
          <w:lang w:val="fr-FR"/>
        </w:rPr>
        <w:tab/>
        <w:t>Incidences</w:t>
      </w:r>
    </w:p>
    <w:tbl>
      <w:tblPr>
        <w:tblW w:w="0" w:type="auto"/>
        <w:tblInd w:w="1134" w:type="dxa"/>
        <w:tblLayout w:type="fixed"/>
        <w:tblCellMar>
          <w:left w:w="0" w:type="dxa"/>
          <w:right w:w="0" w:type="dxa"/>
        </w:tblCellMar>
        <w:tblLook w:val="01E0" w:firstRow="1" w:lastRow="1" w:firstColumn="1" w:lastColumn="1" w:noHBand="0" w:noVBand="0"/>
      </w:tblPr>
      <w:tblGrid>
        <w:gridCol w:w="1652"/>
        <w:gridCol w:w="5861"/>
      </w:tblGrid>
      <w:tr w:rsidR="00951092" w:rsidRPr="00951092" w14:paraId="5ABECA3C" w14:textId="77777777" w:rsidTr="00A3381F">
        <w:tc>
          <w:tcPr>
            <w:tcW w:w="1652" w:type="dxa"/>
            <w:shd w:val="clear" w:color="auto" w:fill="auto"/>
          </w:tcPr>
          <w:p w14:paraId="363B314B" w14:textId="4B5C98B7" w:rsidR="00951092" w:rsidRPr="003425A2" w:rsidRDefault="00951092" w:rsidP="00F575B9">
            <w:pPr>
              <w:spacing w:after="120"/>
              <w:jc w:val="both"/>
            </w:pPr>
            <w:r>
              <w:t>Coût :</w:t>
            </w:r>
          </w:p>
        </w:tc>
        <w:tc>
          <w:tcPr>
            <w:tcW w:w="5861" w:type="dxa"/>
            <w:shd w:val="clear" w:color="auto" w:fill="auto"/>
          </w:tcPr>
          <w:p w14:paraId="17DED5DA" w14:textId="6328E2D2" w:rsidR="00951092" w:rsidRPr="00951092" w:rsidRDefault="00951092" w:rsidP="00F575B9">
            <w:pPr>
              <w:spacing w:after="120"/>
              <w:ind w:right="142"/>
            </w:pPr>
            <w:r>
              <w:rPr>
                <w:lang w:val="fr-FR"/>
              </w:rPr>
              <w:t>Les coûts des nouveaux essais de types de groupes frigorifiques précédemment homologués et non modifiés seront sensiblement réduits.</w:t>
            </w:r>
          </w:p>
        </w:tc>
      </w:tr>
      <w:tr w:rsidR="00951092" w:rsidRPr="00302D36" w14:paraId="7D71868C" w14:textId="77777777" w:rsidTr="00A3381F">
        <w:tc>
          <w:tcPr>
            <w:tcW w:w="1652" w:type="dxa"/>
            <w:shd w:val="clear" w:color="auto" w:fill="auto"/>
          </w:tcPr>
          <w:p w14:paraId="646148EB" w14:textId="46C6B9A6" w:rsidR="00951092" w:rsidRPr="003425A2" w:rsidRDefault="00951092" w:rsidP="00F575B9">
            <w:pPr>
              <w:spacing w:after="120"/>
              <w:jc w:val="both"/>
            </w:pPr>
            <w:r>
              <w:t>Environ</w:t>
            </w:r>
            <w:r>
              <w:t>ne</w:t>
            </w:r>
            <w:r>
              <w:t>ment</w:t>
            </w:r>
            <w:r>
              <w:t> </w:t>
            </w:r>
            <w:r>
              <w:t>:</w:t>
            </w:r>
          </w:p>
        </w:tc>
        <w:tc>
          <w:tcPr>
            <w:tcW w:w="5861" w:type="dxa"/>
            <w:shd w:val="clear" w:color="auto" w:fill="auto"/>
          </w:tcPr>
          <w:p w14:paraId="03375982" w14:textId="149D3595" w:rsidR="00951092" w:rsidRDefault="00951092" w:rsidP="00F575B9">
            <w:pPr>
              <w:spacing w:after="120"/>
              <w:ind w:right="142"/>
            </w:pPr>
            <w:r>
              <w:rPr>
                <w:lang w:val="fr-FR"/>
              </w:rPr>
              <w:t>Aucune incidence.</w:t>
            </w:r>
          </w:p>
        </w:tc>
      </w:tr>
      <w:tr w:rsidR="00951092" w:rsidRPr="00951092" w14:paraId="766EADFC" w14:textId="77777777" w:rsidTr="00A3381F">
        <w:tc>
          <w:tcPr>
            <w:tcW w:w="1652" w:type="dxa"/>
            <w:shd w:val="clear" w:color="auto" w:fill="auto"/>
          </w:tcPr>
          <w:p w14:paraId="07439D27" w14:textId="25679882" w:rsidR="00951092" w:rsidRPr="003425A2" w:rsidRDefault="00951092" w:rsidP="00F575B9">
            <w:pPr>
              <w:spacing w:after="120"/>
              <w:jc w:val="both"/>
            </w:pPr>
            <w:r w:rsidRPr="003425A2">
              <w:t>F</w:t>
            </w:r>
            <w:r>
              <w:t>aisabilité </w:t>
            </w:r>
            <w:r w:rsidRPr="003425A2">
              <w:t>:</w:t>
            </w:r>
          </w:p>
        </w:tc>
        <w:tc>
          <w:tcPr>
            <w:tcW w:w="5861" w:type="dxa"/>
            <w:shd w:val="clear" w:color="auto" w:fill="auto"/>
          </w:tcPr>
          <w:p w14:paraId="47F0A820" w14:textId="4CD4980F" w:rsidR="00951092" w:rsidRPr="00951092" w:rsidRDefault="00951092" w:rsidP="00F575B9">
            <w:pPr>
              <w:spacing w:after="120"/>
              <w:ind w:right="142"/>
            </w:pPr>
            <w:r>
              <w:rPr>
                <w:lang w:val="fr-FR"/>
              </w:rPr>
              <w:t>L’amendement proposé peut aisément être introduit dans l’ATP. Il</w:t>
            </w:r>
            <w:r w:rsidR="00A3381F">
              <w:rPr>
                <w:lang w:val="fr-FR"/>
              </w:rPr>
              <w:t> </w:t>
            </w:r>
            <w:r>
              <w:rPr>
                <w:lang w:val="fr-FR"/>
              </w:rPr>
              <w:t>n’est pas nécessaire de prévoir une période de transition.</w:t>
            </w:r>
          </w:p>
        </w:tc>
      </w:tr>
      <w:tr w:rsidR="00951092" w:rsidRPr="00302D36" w14:paraId="4209A837" w14:textId="77777777" w:rsidTr="00A3381F">
        <w:tc>
          <w:tcPr>
            <w:tcW w:w="1652" w:type="dxa"/>
            <w:shd w:val="clear" w:color="auto" w:fill="auto"/>
          </w:tcPr>
          <w:p w14:paraId="0F159F00" w14:textId="730BADE8" w:rsidR="00951092" w:rsidRPr="003425A2" w:rsidRDefault="00951092" w:rsidP="00F575B9">
            <w:pPr>
              <w:spacing w:after="120"/>
              <w:jc w:val="both"/>
            </w:pPr>
            <w:r>
              <w:t>Applicabilité :</w:t>
            </w:r>
            <w:r w:rsidRPr="003425A2">
              <w:t>:</w:t>
            </w:r>
          </w:p>
        </w:tc>
        <w:tc>
          <w:tcPr>
            <w:tcW w:w="5861" w:type="dxa"/>
            <w:shd w:val="clear" w:color="auto" w:fill="auto"/>
          </w:tcPr>
          <w:p w14:paraId="4B817F9E" w14:textId="5D82C073" w:rsidR="00951092" w:rsidRPr="003425A2" w:rsidRDefault="00951092" w:rsidP="00F575B9">
            <w:pPr>
              <w:spacing w:after="120"/>
              <w:ind w:right="142"/>
              <w:jc w:val="both"/>
            </w:pPr>
            <w:r>
              <w:rPr>
                <w:lang w:val="fr-FR"/>
              </w:rPr>
              <w:t>Aucune difficulté n’est à prévoir.</w:t>
            </w:r>
          </w:p>
        </w:tc>
      </w:tr>
    </w:tbl>
    <w:p w14:paraId="656C4E15" w14:textId="2039D8D5" w:rsidR="00951092" w:rsidRPr="00951092" w:rsidRDefault="00951092" w:rsidP="00951092">
      <w:pPr>
        <w:pStyle w:val="SingleTxtG"/>
        <w:spacing w:before="240" w:after="0"/>
        <w:jc w:val="center"/>
        <w:rPr>
          <w:u w:val="single"/>
        </w:rPr>
      </w:pPr>
      <w:r>
        <w:rPr>
          <w:u w:val="single"/>
        </w:rPr>
        <w:tab/>
      </w:r>
      <w:r>
        <w:rPr>
          <w:u w:val="single"/>
        </w:rPr>
        <w:tab/>
      </w:r>
      <w:r>
        <w:rPr>
          <w:u w:val="single"/>
        </w:rPr>
        <w:tab/>
      </w:r>
      <w:r>
        <w:rPr>
          <w:u w:val="single"/>
        </w:rPr>
        <w:tab/>
      </w:r>
    </w:p>
    <w:sectPr w:rsidR="00951092" w:rsidRPr="00951092" w:rsidSect="0095109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FBB27" w14:textId="77777777" w:rsidR="00A10B8F" w:rsidRDefault="00A10B8F" w:rsidP="00F95C08">
      <w:pPr>
        <w:spacing w:line="240" w:lineRule="auto"/>
      </w:pPr>
    </w:p>
  </w:endnote>
  <w:endnote w:type="continuationSeparator" w:id="0">
    <w:p w14:paraId="5498889B" w14:textId="77777777" w:rsidR="00A10B8F" w:rsidRPr="00AC3823" w:rsidRDefault="00A10B8F" w:rsidP="00AC3823">
      <w:pPr>
        <w:pStyle w:val="Pieddepage"/>
      </w:pPr>
    </w:p>
  </w:endnote>
  <w:endnote w:type="continuationNotice" w:id="1">
    <w:p w14:paraId="52FFE796" w14:textId="77777777" w:rsidR="00A10B8F" w:rsidRDefault="00A10B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75F08" w14:textId="5B8C442D" w:rsidR="00951092" w:rsidRPr="00951092" w:rsidRDefault="00951092" w:rsidP="00951092">
    <w:pPr>
      <w:pStyle w:val="Pieddepage"/>
      <w:tabs>
        <w:tab w:val="right" w:pos="9638"/>
      </w:tabs>
    </w:pPr>
    <w:r w:rsidRPr="00951092">
      <w:rPr>
        <w:b/>
        <w:sz w:val="18"/>
      </w:rPr>
      <w:fldChar w:fldCharType="begin"/>
    </w:r>
    <w:r w:rsidRPr="00951092">
      <w:rPr>
        <w:b/>
        <w:sz w:val="18"/>
      </w:rPr>
      <w:instrText xml:space="preserve"> PAGE  \* MERGEFORMAT </w:instrText>
    </w:r>
    <w:r w:rsidRPr="00951092">
      <w:rPr>
        <w:b/>
        <w:sz w:val="18"/>
      </w:rPr>
      <w:fldChar w:fldCharType="separate"/>
    </w:r>
    <w:r w:rsidRPr="00951092">
      <w:rPr>
        <w:b/>
        <w:noProof/>
        <w:sz w:val="18"/>
      </w:rPr>
      <w:t>2</w:t>
    </w:r>
    <w:r w:rsidRPr="00951092">
      <w:rPr>
        <w:b/>
        <w:sz w:val="18"/>
      </w:rPr>
      <w:fldChar w:fldCharType="end"/>
    </w:r>
    <w:r>
      <w:rPr>
        <w:b/>
        <w:sz w:val="18"/>
      </w:rPr>
      <w:tab/>
    </w:r>
    <w:r>
      <w:t>GE.21-10981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23CB9" w14:textId="06EC9C17" w:rsidR="00951092" w:rsidRPr="00951092" w:rsidRDefault="00951092" w:rsidP="00951092">
    <w:pPr>
      <w:pStyle w:val="Pieddepage"/>
      <w:tabs>
        <w:tab w:val="right" w:pos="9638"/>
      </w:tabs>
      <w:rPr>
        <w:b/>
        <w:sz w:val="18"/>
      </w:rPr>
    </w:pPr>
    <w:r>
      <w:t>GE.21-10981</w:t>
    </w:r>
    <w:r>
      <w:tab/>
    </w:r>
    <w:r w:rsidRPr="00951092">
      <w:rPr>
        <w:b/>
        <w:sz w:val="18"/>
      </w:rPr>
      <w:fldChar w:fldCharType="begin"/>
    </w:r>
    <w:r w:rsidRPr="00951092">
      <w:rPr>
        <w:b/>
        <w:sz w:val="18"/>
      </w:rPr>
      <w:instrText xml:space="preserve"> PAGE  \* MERGEFORMAT </w:instrText>
    </w:r>
    <w:r w:rsidRPr="00951092">
      <w:rPr>
        <w:b/>
        <w:sz w:val="18"/>
      </w:rPr>
      <w:fldChar w:fldCharType="separate"/>
    </w:r>
    <w:r w:rsidRPr="00951092">
      <w:rPr>
        <w:b/>
        <w:noProof/>
        <w:sz w:val="18"/>
      </w:rPr>
      <w:t>3</w:t>
    </w:r>
    <w:r w:rsidRPr="009510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25495" w14:textId="21C6EE91" w:rsidR="007F20FA" w:rsidRPr="00951092" w:rsidRDefault="00951092" w:rsidP="0095109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F83A8BF" wp14:editId="0717780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21-10981  (F)</w:t>
    </w:r>
    <w:r>
      <w:rPr>
        <w:noProof/>
        <w:sz w:val="20"/>
      </w:rPr>
      <w:drawing>
        <wp:anchor distT="0" distB="0" distL="114300" distR="114300" simplePos="0" relativeHeight="251660288" behindDoc="0" locked="0" layoutInCell="1" allowOverlap="1" wp14:anchorId="27CCD6FB" wp14:editId="1C93470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060921    060921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F3B2A" w14:textId="77777777" w:rsidR="00A10B8F" w:rsidRPr="00AC3823" w:rsidRDefault="00A10B8F" w:rsidP="00AC3823">
      <w:pPr>
        <w:pStyle w:val="Pieddepage"/>
        <w:tabs>
          <w:tab w:val="right" w:pos="2155"/>
        </w:tabs>
        <w:spacing w:after="80" w:line="240" w:lineRule="atLeast"/>
        <w:ind w:left="680"/>
        <w:rPr>
          <w:u w:val="single"/>
        </w:rPr>
      </w:pPr>
      <w:r>
        <w:rPr>
          <w:u w:val="single"/>
        </w:rPr>
        <w:tab/>
      </w:r>
    </w:p>
  </w:footnote>
  <w:footnote w:type="continuationSeparator" w:id="0">
    <w:p w14:paraId="115BCADF" w14:textId="77777777" w:rsidR="00A10B8F" w:rsidRPr="00AC3823" w:rsidRDefault="00A10B8F" w:rsidP="00AC3823">
      <w:pPr>
        <w:pStyle w:val="Pieddepage"/>
        <w:tabs>
          <w:tab w:val="right" w:pos="2155"/>
        </w:tabs>
        <w:spacing w:after="80" w:line="240" w:lineRule="atLeast"/>
        <w:ind w:left="680"/>
        <w:rPr>
          <w:u w:val="single"/>
        </w:rPr>
      </w:pPr>
      <w:r>
        <w:rPr>
          <w:u w:val="single"/>
        </w:rPr>
        <w:tab/>
      </w:r>
    </w:p>
  </w:footnote>
  <w:footnote w:type="continuationNotice" w:id="1">
    <w:p w14:paraId="7096156A" w14:textId="77777777" w:rsidR="00A10B8F" w:rsidRPr="00AC3823" w:rsidRDefault="00A10B8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4A09A" w14:textId="4D0C7155" w:rsidR="00951092" w:rsidRPr="00951092" w:rsidRDefault="00951092">
    <w:pPr>
      <w:pStyle w:val="En-tte"/>
    </w:pPr>
    <w:fldSimple w:instr=" TITLE  \* MERGEFORMAT ">
      <w:r w:rsidR="00D12C12">
        <w:t>ECE/TRANS/WP.11/2021/17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9A79A" w14:textId="3C03A5DD" w:rsidR="00951092" w:rsidRPr="00951092" w:rsidRDefault="00951092" w:rsidP="00951092">
    <w:pPr>
      <w:pStyle w:val="En-tte"/>
      <w:jc w:val="right"/>
    </w:pPr>
    <w:fldSimple w:instr=" TITLE  \* MERGEFORMAT ">
      <w:r w:rsidR="00D12C12">
        <w:t>ECE/TRANS/WP.11/2021/17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8F"/>
    <w:rsid w:val="00017CC7"/>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51092"/>
    <w:rsid w:val="00955CF8"/>
    <w:rsid w:val="009705C8"/>
    <w:rsid w:val="009C1CF4"/>
    <w:rsid w:val="009F6B74"/>
    <w:rsid w:val="00A10B8F"/>
    <w:rsid w:val="00A3029F"/>
    <w:rsid w:val="00A30353"/>
    <w:rsid w:val="00A3381F"/>
    <w:rsid w:val="00AC3823"/>
    <w:rsid w:val="00AE323C"/>
    <w:rsid w:val="00AF0CB5"/>
    <w:rsid w:val="00B00181"/>
    <w:rsid w:val="00B00B0D"/>
    <w:rsid w:val="00B45F2E"/>
    <w:rsid w:val="00B765F7"/>
    <w:rsid w:val="00B77993"/>
    <w:rsid w:val="00BA0CA9"/>
    <w:rsid w:val="00C02897"/>
    <w:rsid w:val="00C97039"/>
    <w:rsid w:val="00D12C12"/>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32530B"/>
  <w15:docId w15:val="{FB64BDE4-77C5-4906-AEB8-E31140B5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95109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1365</Words>
  <Characters>7713</Characters>
  <Application>Microsoft Office Word</Application>
  <DocSecurity>0</DocSecurity>
  <Lines>275</Lines>
  <Paragraphs>119</Paragraphs>
  <ScaleCrop>false</ScaleCrop>
  <HeadingPairs>
    <vt:vector size="2" baseType="variant">
      <vt:variant>
        <vt:lpstr>Titre</vt:lpstr>
      </vt:variant>
      <vt:variant>
        <vt:i4>1</vt:i4>
      </vt:variant>
    </vt:vector>
  </HeadingPairs>
  <TitlesOfParts>
    <vt:vector size="1" baseType="lpstr">
      <vt:lpstr>ECE/TRANS/WP.11/2021/17</vt:lpstr>
    </vt:vector>
  </TitlesOfParts>
  <Company>DCM</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ECE/TRANS/WP.11/2021/17</dc:title>
  <dc:subject/>
  <dc:creator>Marie DESCHAMPS</dc:creator>
  <cp:keywords/>
  <cp:lastModifiedBy>Marie DESCHAMPS</cp:lastModifiedBy>
  <cp:revision>2</cp:revision>
  <cp:lastPrinted>2014-05-14T10:59:00Z</cp:lastPrinted>
  <dcterms:created xsi:type="dcterms:W3CDTF">2021-09-06T12:51:00Z</dcterms:created>
  <dcterms:modified xsi:type="dcterms:W3CDTF">2021-09-06T12:51:00Z</dcterms:modified>
</cp:coreProperties>
</file>