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8EA344E" w14:textId="77777777" w:rsidTr="00C97039">
        <w:trPr>
          <w:trHeight w:hRule="exact" w:val="851"/>
        </w:trPr>
        <w:tc>
          <w:tcPr>
            <w:tcW w:w="1276" w:type="dxa"/>
            <w:tcBorders>
              <w:bottom w:val="single" w:sz="4" w:space="0" w:color="auto"/>
            </w:tcBorders>
          </w:tcPr>
          <w:p w14:paraId="49E11FFE" w14:textId="77777777" w:rsidR="00F35BAF" w:rsidRPr="00DB58B5" w:rsidRDefault="00F35BAF" w:rsidP="00217C61"/>
        </w:tc>
        <w:tc>
          <w:tcPr>
            <w:tcW w:w="2268" w:type="dxa"/>
            <w:tcBorders>
              <w:bottom w:val="single" w:sz="4" w:space="0" w:color="auto"/>
            </w:tcBorders>
            <w:vAlign w:val="bottom"/>
          </w:tcPr>
          <w:p w14:paraId="5C951EF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FD13BA6" w14:textId="624F8B1E" w:rsidR="00F35BAF" w:rsidRPr="00DB58B5" w:rsidRDefault="00217C61" w:rsidP="00217C61">
            <w:pPr>
              <w:jc w:val="right"/>
            </w:pPr>
            <w:r w:rsidRPr="00217C61">
              <w:rPr>
                <w:sz w:val="40"/>
              </w:rPr>
              <w:t>ECE</w:t>
            </w:r>
            <w:r>
              <w:t>/TRANS/WP.11/2021/16</w:t>
            </w:r>
          </w:p>
        </w:tc>
      </w:tr>
      <w:tr w:rsidR="00F35BAF" w:rsidRPr="00DB58B5" w14:paraId="07118CC8" w14:textId="77777777" w:rsidTr="00C97039">
        <w:trPr>
          <w:trHeight w:hRule="exact" w:val="2835"/>
        </w:trPr>
        <w:tc>
          <w:tcPr>
            <w:tcW w:w="1276" w:type="dxa"/>
            <w:tcBorders>
              <w:top w:val="single" w:sz="4" w:space="0" w:color="auto"/>
              <w:bottom w:val="single" w:sz="12" w:space="0" w:color="auto"/>
            </w:tcBorders>
          </w:tcPr>
          <w:p w14:paraId="4BE58ED8" w14:textId="77777777" w:rsidR="00F35BAF" w:rsidRPr="00DB58B5" w:rsidRDefault="00F35BAF" w:rsidP="00C97039">
            <w:pPr>
              <w:spacing w:before="120"/>
              <w:jc w:val="center"/>
            </w:pPr>
            <w:r>
              <w:rPr>
                <w:noProof/>
                <w:lang w:eastAsia="fr-CH"/>
              </w:rPr>
              <w:drawing>
                <wp:inline distT="0" distB="0" distL="0" distR="0" wp14:anchorId="7E095CB9" wp14:editId="4837139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A5CDB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49DD7D7" w14:textId="77777777" w:rsidR="00F35BAF" w:rsidRDefault="00217C61" w:rsidP="00C97039">
            <w:pPr>
              <w:spacing w:before="240"/>
            </w:pPr>
            <w:r>
              <w:t>Distr. générale</w:t>
            </w:r>
          </w:p>
          <w:p w14:paraId="7C26288D" w14:textId="2E989819" w:rsidR="00217C61" w:rsidRDefault="00217C61" w:rsidP="00217C61">
            <w:pPr>
              <w:spacing w:line="240" w:lineRule="exact"/>
            </w:pPr>
            <w:r>
              <w:t>10 août 2021</w:t>
            </w:r>
          </w:p>
          <w:p w14:paraId="7AAF55D5" w14:textId="77777777" w:rsidR="00217C61" w:rsidRDefault="00217C61" w:rsidP="00217C61">
            <w:pPr>
              <w:spacing w:line="240" w:lineRule="exact"/>
            </w:pPr>
            <w:r>
              <w:t>Français</w:t>
            </w:r>
          </w:p>
          <w:p w14:paraId="33D17F68" w14:textId="0B7B8EAC" w:rsidR="00217C61" w:rsidRPr="00DB58B5" w:rsidRDefault="00217C61" w:rsidP="00217C61">
            <w:pPr>
              <w:spacing w:line="240" w:lineRule="exact"/>
            </w:pPr>
            <w:r>
              <w:t>Original : anglais</w:t>
            </w:r>
          </w:p>
        </w:tc>
      </w:tr>
    </w:tbl>
    <w:p w14:paraId="47527985" w14:textId="77777777" w:rsidR="007F20FA" w:rsidRPr="000312C0" w:rsidRDefault="007F20FA" w:rsidP="007F20FA">
      <w:pPr>
        <w:spacing w:before="120"/>
        <w:rPr>
          <w:b/>
          <w:sz w:val="28"/>
          <w:szCs w:val="28"/>
        </w:rPr>
      </w:pPr>
      <w:r w:rsidRPr="000312C0">
        <w:rPr>
          <w:b/>
          <w:sz w:val="28"/>
          <w:szCs w:val="28"/>
        </w:rPr>
        <w:t>Commission économique pour l’Europe</w:t>
      </w:r>
    </w:p>
    <w:p w14:paraId="420CCB3E" w14:textId="77777777" w:rsidR="007F20FA" w:rsidRDefault="007F20FA" w:rsidP="007F20FA">
      <w:pPr>
        <w:spacing w:before="120"/>
        <w:rPr>
          <w:sz w:val="28"/>
          <w:szCs w:val="28"/>
        </w:rPr>
      </w:pPr>
      <w:r w:rsidRPr="00685843">
        <w:rPr>
          <w:sz w:val="28"/>
          <w:szCs w:val="28"/>
        </w:rPr>
        <w:t>Comité des transports intérieurs</w:t>
      </w:r>
    </w:p>
    <w:p w14:paraId="2C5F825C" w14:textId="77777777" w:rsidR="00217C61" w:rsidRPr="00685843" w:rsidRDefault="00217C61" w:rsidP="00305801">
      <w:pPr>
        <w:spacing w:before="120"/>
        <w:rPr>
          <w:b/>
          <w:sz w:val="24"/>
          <w:szCs w:val="24"/>
        </w:rPr>
      </w:pPr>
      <w:r>
        <w:rPr>
          <w:b/>
          <w:sz w:val="24"/>
          <w:szCs w:val="24"/>
        </w:rPr>
        <w:t>Groupe de travail du transport des denrées périssables</w:t>
      </w:r>
    </w:p>
    <w:p w14:paraId="6718C7AE" w14:textId="54AF6C50" w:rsidR="00217C61" w:rsidRPr="00F30D47" w:rsidRDefault="00217C61" w:rsidP="00305801">
      <w:pPr>
        <w:spacing w:before="120"/>
        <w:rPr>
          <w:b/>
        </w:rPr>
      </w:pPr>
      <w:r>
        <w:rPr>
          <w:b/>
        </w:rPr>
        <w:t xml:space="preserve">Soixante-dix-septième </w:t>
      </w:r>
      <w:r w:rsidRPr="00F30D47">
        <w:rPr>
          <w:b/>
        </w:rPr>
        <w:t>session</w:t>
      </w:r>
    </w:p>
    <w:p w14:paraId="3CB14A42" w14:textId="7E3391D2" w:rsidR="00217C61" w:rsidRDefault="00217C61" w:rsidP="00305801">
      <w:r>
        <w:t>Genève, 26-29 octobre 2021</w:t>
      </w:r>
    </w:p>
    <w:p w14:paraId="787A9CF7" w14:textId="7188F467" w:rsidR="00217C61" w:rsidRDefault="00217C61" w:rsidP="00305801">
      <w:r>
        <w:t>Point 5 b) de l’ordre du jour provisoire</w:t>
      </w:r>
    </w:p>
    <w:p w14:paraId="012A68D8" w14:textId="7294AA2A" w:rsidR="00217C61" w:rsidRPr="00217C61" w:rsidRDefault="00217C61" w:rsidP="00217C61">
      <w:pPr>
        <w:rPr>
          <w:b/>
          <w:bCs/>
          <w:lang w:val="fr-FR"/>
        </w:rPr>
      </w:pPr>
      <w:r w:rsidRPr="00217C61">
        <w:rPr>
          <w:b/>
          <w:bCs/>
          <w:lang w:val="fr-FR"/>
        </w:rPr>
        <w:t>Propositions d’amendements à l’ATP</w:t>
      </w:r>
      <w:r>
        <w:rPr>
          <w:b/>
          <w:bCs/>
          <w:lang w:val="fr-FR"/>
        </w:rPr>
        <w:t> </w:t>
      </w:r>
      <w:r w:rsidRPr="00217C61">
        <w:rPr>
          <w:b/>
          <w:bCs/>
          <w:lang w:val="fr-FR"/>
        </w:rPr>
        <w:t>:</w:t>
      </w:r>
      <w:r w:rsidRPr="00217C61">
        <w:rPr>
          <w:b/>
          <w:bCs/>
          <w:lang w:val="fr-FR"/>
        </w:rPr>
        <w:t xml:space="preserve"> </w:t>
      </w:r>
      <w:r w:rsidRPr="00217C61">
        <w:rPr>
          <w:b/>
          <w:bCs/>
          <w:lang w:val="fr-FR"/>
        </w:rPr>
        <w:t>Nouvelles propositions</w:t>
      </w:r>
    </w:p>
    <w:p w14:paraId="7E26B3B1" w14:textId="7D0929D4" w:rsidR="00217C61" w:rsidRPr="00217C61" w:rsidRDefault="00217C61" w:rsidP="00217C61">
      <w:pPr>
        <w:pStyle w:val="HChG"/>
        <w:rPr>
          <w:lang w:val="fr-FR"/>
        </w:rPr>
      </w:pPr>
      <w:r>
        <w:rPr>
          <w:lang w:val="fr-FR"/>
        </w:rPr>
        <w:tab/>
      </w:r>
      <w:r>
        <w:rPr>
          <w:lang w:val="fr-FR"/>
        </w:rPr>
        <w:tab/>
        <w:t>Proposition d’amendements aux paragraphes</w:t>
      </w:r>
      <w:r>
        <w:rPr>
          <w:lang w:val="fr-FR"/>
        </w:rPr>
        <w:t> </w:t>
      </w:r>
      <w:r>
        <w:rPr>
          <w:lang w:val="fr-FR"/>
        </w:rPr>
        <w:t>7.3.2, 7.3.3 et</w:t>
      </w:r>
      <w:r w:rsidR="00923F65">
        <w:rPr>
          <w:lang w:val="fr-FR"/>
        </w:rPr>
        <w:t> </w:t>
      </w:r>
      <w:r>
        <w:rPr>
          <w:lang w:val="fr-FR"/>
        </w:rPr>
        <w:t>7.3.4 de l’appendice</w:t>
      </w:r>
      <w:r w:rsidR="00923F65">
        <w:rPr>
          <w:lang w:val="fr-FR"/>
        </w:rPr>
        <w:t> </w:t>
      </w:r>
      <w:r>
        <w:rPr>
          <w:lang w:val="fr-FR"/>
        </w:rPr>
        <w:t>2 de l’annexe</w:t>
      </w:r>
      <w:r w:rsidR="00923F65">
        <w:rPr>
          <w:lang w:val="fr-FR"/>
        </w:rPr>
        <w:t> </w:t>
      </w:r>
      <w:r>
        <w:rPr>
          <w:lang w:val="fr-FR"/>
        </w:rPr>
        <w:t>1</w:t>
      </w:r>
      <w:r>
        <w:rPr>
          <w:lang w:val="fr-FR"/>
        </w:rPr>
        <w:t xml:space="preserve"> </w:t>
      </w:r>
      <w:r>
        <w:rPr>
          <w:lang w:val="fr-FR"/>
        </w:rPr>
        <w:br/>
      </w:r>
      <w:r w:rsidRPr="00923F65">
        <w:rPr>
          <w:rFonts w:ascii="Times New Roman Gras" w:hAnsi="Times New Roman Gras"/>
          <w:spacing w:val="-4"/>
          <w:lang w:val="fr-FR"/>
        </w:rPr>
        <w:t>Référence pour les calculs concernant les engins à températures</w:t>
      </w:r>
      <w:r>
        <w:rPr>
          <w:lang w:val="fr-FR"/>
        </w:rPr>
        <w:t xml:space="preserve"> multiples</w:t>
      </w:r>
    </w:p>
    <w:p w14:paraId="4527EE55" w14:textId="1FFE435D" w:rsidR="00217C61" w:rsidRPr="00217C61" w:rsidRDefault="00217C61" w:rsidP="00217C61">
      <w:pPr>
        <w:pStyle w:val="H1G"/>
        <w:rPr>
          <w:lang w:val="fr-FR"/>
        </w:rPr>
      </w:pPr>
      <w:r>
        <w:rPr>
          <w:lang w:val="fr-FR"/>
        </w:rPr>
        <w:tab/>
      </w:r>
      <w:r>
        <w:rPr>
          <w:lang w:val="fr-FR"/>
        </w:rPr>
        <w:tab/>
        <w:t>Communication du Gouvernement allemand</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217C61" w14:paraId="6B92E216" w14:textId="77777777" w:rsidTr="00217C61">
        <w:trPr>
          <w:jc w:val="center"/>
        </w:trPr>
        <w:tc>
          <w:tcPr>
            <w:tcW w:w="9628" w:type="dxa"/>
            <w:shd w:val="clear" w:color="auto" w:fill="auto"/>
          </w:tcPr>
          <w:p w14:paraId="678B719F" w14:textId="77777777" w:rsidR="00217C61" w:rsidRDefault="00217C61">
            <w:pPr>
              <w:spacing w:before="240" w:after="120"/>
              <w:ind w:left="255"/>
              <w:rPr>
                <w:i/>
                <w:sz w:val="24"/>
              </w:rPr>
            </w:pPr>
            <w:r>
              <w:rPr>
                <w:i/>
                <w:sz w:val="24"/>
              </w:rPr>
              <w:t>Résumé</w:t>
            </w:r>
          </w:p>
        </w:tc>
      </w:tr>
      <w:tr w:rsidR="00217C61" w14:paraId="5DA6BE3E" w14:textId="77777777" w:rsidTr="00217C61">
        <w:trPr>
          <w:jc w:val="center"/>
        </w:trPr>
        <w:tc>
          <w:tcPr>
            <w:tcW w:w="9628" w:type="dxa"/>
            <w:shd w:val="clear" w:color="auto" w:fill="auto"/>
          </w:tcPr>
          <w:p w14:paraId="7CF85376" w14:textId="63AC800C" w:rsidR="00217C61" w:rsidRPr="00217C61" w:rsidRDefault="00217C61" w:rsidP="00217C61">
            <w:pPr>
              <w:pStyle w:val="SingleTxtG"/>
              <w:ind w:left="3402" w:hanging="2268"/>
            </w:pPr>
            <w:r w:rsidRPr="00217C61">
              <w:rPr>
                <w:b/>
                <w:bCs/>
                <w:lang w:val="fr-FR"/>
              </w:rPr>
              <w:t>Résumé analytique</w:t>
            </w:r>
            <w:r w:rsidRPr="00217C61">
              <w:rPr>
                <w:lang w:val="fr-FR"/>
              </w:rPr>
              <w:t> </w:t>
            </w:r>
            <w:r w:rsidRPr="00217C61">
              <w:rPr>
                <w:lang w:val="fr-FR"/>
              </w:rPr>
              <w:t>:</w:t>
            </w:r>
            <w:r w:rsidRPr="00217C61">
              <w:rPr>
                <w:lang w:val="fr-FR"/>
              </w:rPr>
              <w:tab/>
              <w:t>Préciser que tous les calculs concernant les engins à températures multiples visés aux paragraphes</w:t>
            </w:r>
            <w:r>
              <w:rPr>
                <w:lang w:val="fr-FR"/>
              </w:rPr>
              <w:t> </w:t>
            </w:r>
            <w:r w:rsidRPr="00217C61">
              <w:rPr>
                <w:lang w:val="fr-FR"/>
              </w:rPr>
              <w:t>7.3.3 et suivants doivent faire référence à la surface intérieure des chambres auxquels ils se rapportent.</w:t>
            </w:r>
          </w:p>
        </w:tc>
      </w:tr>
      <w:tr w:rsidR="00217C61" w14:paraId="60AA3F13" w14:textId="77777777" w:rsidTr="00217C61">
        <w:trPr>
          <w:jc w:val="center"/>
        </w:trPr>
        <w:tc>
          <w:tcPr>
            <w:tcW w:w="9628" w:type="dxa"/>
            <w:shd w:val="clear" w:color="auto" w:fill="auto"/>
          </w:tcPr>
          <w:p w14:paraId="403231B8" w14:textId="6485B2F0" w:rsidR="00217C61" w:rsidRPr="00217C61" w:rsidRDefault="00217C61" w:rsidP="00217C61">
            <w:pPr>
              <w:pStyle w:val="SingleTxtG"/>
              <w:ind w:left="3402" w:hanging="2268"/>
            </w:pPr>
            <w:r w:rsidRPr="00217C61">
              <w:rPr>
                <w:b/>
                <w:bCs/>
                <w:lang w:val="fr-FR"/>
              </w:rPr>
              <w:t>Mesure à prendre</w:t>
            </w:r>
            <w:r w:rsidRPr="00217C61">
              <w:rPr>
                <w:lang w:val="fr-FR"/>
              </w:rPr>
              <w:t> </w:t>
            </w:r>
            <w:r w:rsidRPr="00217C61">
              <w:rPr>
                <w:lang w:val="fr-FR"/>
              </w:rPr>
              <w:t>:</w:t>
            </w:r>
            <w:r w:rsidRPr="00217C61">
              <w:rPr>
                <w:lang w:val="fr-FR"/>
              </w:rPr>
              <w:tab/>
              <w:t xml:space="preserve">Annexe 1 </w:t>
            </w:r>
            <w:r>
              <w:rPr>
                <w:lang w:val="fr-FR"/>
              </w:rPr>
              <w:t>−</w:t>
            </w:r>
            <w:r w:rsidRPr="00217C61">
              <w:rPr>
                <w:lang w:val="fr-FR"/>
              </w:rPr>
              <w:t xml:space="preserve"> Appendice 4</w:t>
            </w:r>
          </w:p>
        </w:tc>
      </w:tr>
      <w:tr w:rsidR="00217C61" w14:paraId="607079EF" w14:textId="77777777" w:rsidTr="00217C61">
        <w:trPr>
          <w:jc w:val="center"/>
        </w:trPr>
        <w:tc>
          <w:tcPr>
            <w:tcW w:w="9628" w:type="dxa"/>
            <w:shd w:val="clear" w:color="auto" w:fill="auto"/>
          </w:tcPr>
          <w:p w14:paraId="5DDF73F6" w14:textId="6F9CD094" w:rsidR="00217C61" w:rsidRPr="00217C61" w:rsidRDefault="00217C61" w:rsidP="00217C61">
            <w:pPr>
              <w:pStyle w:val="SingleTxtG"/>
              <w:ind w:left="3402" w:hanging="2268"/>
            </w:pPr>
            <w:r w:rsidRPr="00217C61">
              <w:rPr>
                <w:b/>
                <w:bCs/>
                <w:lang w:val="fr-FR"/>
              </w:rPr>
              <w:t>Documents connexes</w:t>
            </w:r>
            <w:r w:rsidRPr="00217C61">
              <w:rPr>
                <w:lang w:val="fr-FR"/>
              </w:rPr>
              <w:t> </w:t>
            </w:r>
            <w:r w:rsidRPr="00217C61">
              <w:rPr>
                <w:lang w:val="fr-FR"/>
              </w:rPr>
              <w:t>:</w:t>
            </w:r>
            <w:r w:rsidRPr="00217C61">
              <w:rPr>
                <w:lang w:val="fr-FR"/>
              </w:rPr>
              <w:tab/>
            </w:r>
            <w:r w:rsidRPr="00217C61">
              <w:rPr>
                <w:lang w:val="fr-FR"/>
              </w:rPr>
              <w:tab/>
              <w:t>Aucun</w:t>
            </w:r>
          </w:p>
        </w:tc>
      </w:tr>
      <w:tr w:rsidR="00217C61" w14:paraId="1FD741A6" w14:textId="77777777" w:rsidTr="00217C61">
        <w:trPr>
          <w:jc w:val="center"/>
        </w:trPr>
        <w:tc>
          <w:tcPr>
            <w:tcW w:w="9628" w:type="dxa"/>
            <w:shd w:val="clear" w:color="auto" w:fill="auto"/>
          </w:tcPr>
          <w:p w14:paraId="60DD2B69" w14:textId="77777777" w:rsidR="00217C61" w:rsidRDefault="00217C61"/>
        </w:tc>
      </w:tr>
    </w:tbl>
    <w:p w14:paraId="79623A8B" w14:textId="77777777" w:rsidR="00217C61" w:rsidRPr="00217C61" w:rsidRDefault="00217C61" w:rsidP="00217C61">
      <w:pPr>
        <w:pStyle w:val="HChG"/>
      </w:pPr>
      <w:r w:rsidRPr="00217C61">
        <w:rPr>
          <w:lang w:val="fr-FR"/>
        </w:rPr>
        <w:tab/>
      </w:r>
      <w:r w:rsidRPr="00217C61">
        <w:rPr>
          <w:lang w:val="fr-FR"/>
        </w:rPr>
        <w:tab/>
        <w:t>Introduction</w:t>
      </w:r>
    </w:p>
    <w:p w14:paraId="486CED97" w14:textId="7B56F63C" w:rsidR="00217C61" w:rsidRPr="00217C61" w:rsidRDefault="00217C61" w:rsidP="00217C61">
      <w:pPr>
        <w:pStyle w:val="SingleTxtG"/>
      </w:pPr>
      <w:r w:rsidRPr="00217C61">
        <w:rPr>
          <w:lang w:val="fr-FR"/>
        </w:rPr>
        <w:t>1.</w:t>
      </w:r>
      <w:r w:rsidRPr="00217C61">
        <w:rPr>
          <w:lang w:val="fr-FR"/>
        </w:rPr>
        <w:tab/>
        <w:t>Depuis la mise en œuvre de la proposition finlandaise de 2014, visant à confirmer la classification du véhicule frigorifique dans la classe FRC (voir la section</w:t>
      </w:r>
      <w:r>
        <w:rPr>
          <w:lang w:val="fr-FR"/>
        </w:rPr>
        <w:t> </w:t>
      </w:r>
      <w:r w:rsidRPr="00217C61">
        <w:rPr>
          <w:lang w:val="fr-FR"/>
        </w:rPr>
        <w:t>7.3.2), le calcul de la chaleur qui pénètre par les parois extérieures est effectué sur la base de la surface moyenne des parois extérieures de la caisse frigorifique, comme c’est le cas pour les engins à température unique.</w:t>
      </w:r>
    </w:p>
    <w:p w14:paraId="15E3A6E1" w14:textId="3962CB02" w:rsidR="00217C61" w:rsidRPr="00217C61" w:rsidRDefault="00217C61" w:rsidP="00217C61">
      <w:pPr>
        <w:pStyle w:val="SingleTxtG"/>
      </w:pPr>
      <w:r w:rsidRPr="00217C61">
        <w:rPr>
          <w:lang w:val="fr-FR"/>
        </w:rPr>
        <w:t>2.</w:t>
      </w:r>
      <w:r w:rsidRPr="00217C61">
        <w:rPr>
          <w:lang w:val="fr-FR"/>
        </w:rPr>
        <w:tab/>
        <w:t>Toutefois, lorsque cette proposition a été mise en œuvre, il n’a pas été précisé que tous les calculs concernant les engins à températures multiples visés aux paragraphes</w:t>
      </w:r>
      <w:r>
        <w:rPr>
          <w:lang w:val="fr-FR"/>
        </w:rPr>
        <w:t> </w:t>
      </w:r>
      <w:r w:rsidRPr="00217C61">
        <w:rPr>
          <w:lang w:val="fr-FR"/>
        </w:rPr>
        <w:t>7.3.3 et suivants continueraient de faire référence à la surface intérieure des chambres auxquels ils se rapportent. C’est ce que la présente proposition d’amendement se propose de rectifier.</w:t>
      </w:r>
    </w:p>
    <w:p w14:paraId="5985C43A" w14:textId="77777777" w:rsidR="00217C61" w:rsidRPr="00217C61" w:rsidRDefault="00217C61" w:rsidP="00217C61">
      <w:pPr>
        <w:pStyle w:val="SingleTxtG"/>
      </w:pPr>
      <w:r w:rsidRPr="00217C61">
        <w:rPr>
          <w:lang w:val="fr-FR"/>
        </w:rPr>
        <w:t>3.</w:t>
      </w:r>
      <w:r w:rsidRPr="00217C61">
        <w:rPr>
          <w:lang w:val="fr-FR"/>
        </w:rPr>
        <w:tab/>
        <w:t>La référence à la surface intérieure facilite les calculs dans le cas où une configuration doit être calculée à la main.</w:t>
      </w:r>
    </w:p>
    <w:p w14:paraId="7BC5D1A3" w14:textId="77777777" w:rsidR="00217C61" w:rsidRPr="00217C61" w:rsidRDefault="00217C61" w:rsidP="00217C61">
      <w:pPr>
        <w:pStyle w:val="SingleTxtG"/>
      </w:pPr>
      <w:r w:rsidRPr="00217C61">
        <w:rPr>
          <w:lang w:val="fr-FR"/>
        </w:rPr>
        <w:t>4.</w:t>
      </w:r>
      <w:r w:rsidRPr="00217C61">
        <w:rPr>
          <w:lang w:val="fr-FR"/>
        </w:rPr>
        <w:tab/>
      </w:r>
      <w:r w:rsidRPr="00217C61">
        <w:rPr>
          <w:i/>
          <w:iCs/>
          <w:lang w:val="fr-FR"/>
        </w:rPr>
        <w:t>Sans objet en français.</w:t>
      </w:r>
    </w:p>
    <w:p w14:paraId="6F0861FB" w14:textId="2940A940" w:rsidR="00217C61" w:rsidRPr="00217C61" w:rsidRDefault="00217C61" w:rsidP="00217C61">
      <w:pPr>
        <w:pStyle w:val="HChG"/>
      </w:pPr>
      <w:r>
        <w:rPr>
          <w:lang w:val="fr-FR"/>
        </w:rPr>
        <w:lastRenderedPageBreak/>
        <w:tab/>
      </w:r>
      <w:r w:rsidRPr="00217C61">
        <w:rPr>
          <w:lang w:val="fr-FR"/>
        </w:rPr>
        <w:t>I.</w:t>
      </w:r>
      <w:r w:rsidRPr="00217C61">
        <w:rPr>
          <w:lang w:val="fr-FR"/>
        </w:rPr>
        <w:tab/>
        <w:t>Proposition d’amendement</w:t>
      </w:r>
    </w:p>
    <w:p w14:paraId="2FA3DF7B" w14:textId="78A31C01" w:rsidR="00217C61" w:rsidRPr="00217C61" w:rsidRDefault="00217C61" w:rsidP="00217C61">
      <w:pPr>
        <w:pStyle w:val="SingleTxtG"/>
      </w:pPr>
      <w:r w:rsidRPr="00217C61">
        <w:rPr>
          <w:lang w:val="fr-FR"/>
        </w:rPr>
        <w:t>5.</w:t>
      </w:r>
      <w:r w:rsidRPr="00217C61">
        <w:rPr>
          <w:lang w:val="fr-FR"/>
        </w:rPr>
        <w:tab/>
        <w:t>Modifier comme suit le paragraphe</w:t>
      </w:r>
      <w:r>
        <w:rPr>
          <w:lang w:val="fr-FR"/>
        </w:rPr>
        <w:t> </w:t>
      </w:r>
      <w:r w:rsidRPr="00217C61">
        <w:rPr>
          <w:lang w:val="fr-FR"/>
        </w:rPr>
        <w:t>7.3.2 de l’appendice</w:t>
      </w:r>
      <w:r>
        <w:rPr>
          <w:lang w:val="fr-FR"/>
        </w:rPr>
        <w:t> </w:t>
      </w:r>
      <w:r w:rsidRPr="00217C61">
        <w:rPr>
          <w:lang w:val="fr-FR"/>
        </w:rPr>
        <w:t>2 de l’annexe</w:t>
      </w:r>
      <w:r>
        <w:rPr>
          <w:lang w:val="fr-FR"/>
        </w:rPr>
        <w:t> </w:t>
      </w:r>
      <w:r w:rsidRPr="00217C61">
        <w:rPr>
          <w:lang w:val="fr-FR"/>
        </w:rPr>
        <w:t>1</w:t>
      </w:r>
      <w:r>
        <w:rPr>
          <w:lang w:val="fr-FR"/>
        </w:rPr>
        <w:t> </w:t>
      </w:r>
      <w:r w:rsidRPr="00217C61">
        <w:rPr>
          <w:lang w:val="fr-FR"/>
        </w:rPr>
        <w:t>:</w:t>
      </w:r>
    </w:p>
    <w:p w14:paraId="3CC150EB" w14:textId="0E5BABA0" w:rsidR="00217C61" w:rsidRPr="00217C61" w:rsidRDefault="00217C61" w:rsidP="00217C61">
      <w:pPr>
        <w:pStyle w:val="SingleTxtG"/>
        <w:ind w:firstLine="567"/>
      </w:pPr>
      <w:r w:rsidRPr="00217C61">
        <w:rPr>
          <w:lang w:val="fr-FR"/>
        </w:rPr>
        <w:t>7.3.2</w:t>
      </w:r>
      <w:r w:rsidRPr="00217C61">
        <w:rPr>
          <w:lang w:val="fr-FR"/>
        </w:rPr>
        <w:tab/>
      </w:r>
      <w:r w:rsidRPr="00217C61">
        <w:rPr>
          <w:u w:val="single"/>
          <w:lang w:val="fr-FR"/>
        </w:rPr>
        <w:t>Conformité de la caisse dans son ensemble</w:t>
      </w:r>
    </w:p>
    <w:p w14:paraId="5F4A1C0A" w14:textId="32FE7B53" w:rsidR="00217C61" w:rsidRPr="00217C61" w:rsidRDefault="00217C61" w:rsidP="00217C61">
      <w:pPr>
        <w:pStyle w:val="SingleTxtG"/>
        <w:ind w:firstLine="567"/>
      </w:pPr>
      <w:r w:rsidRPr="00217C61">
        <w:rPr>
          <w:lang w:val="fr-FR"/>
        </w:rPr>
        <w:t>Pour l’extérieur de la caisse, le coefficient</w:t>
      </w:r>
      <w:r w:rsidR="009322ED">
        <w:rPr>
          <w:lang w:val="fr-FR"/>
        </w:rPr>
        <w:t> </w:t>
      </w:r>
      <w:r w:rsidRPr="00217C61">
        <w:rPr>
          <w:lang w:val="fr-FR"/>
        </w:rPr>
        <w:t>K doit être inférieur ou égal à 0,40</w:t>
      </w:r>
      <w:r>
        <w:rPr>
          <w:lang w:val="fr-FR"/>
        </w:rPr>
        <w:t> </w:t>
      </w:r>
      <w:r w:rsidRPr="00217C61">
        <w:rPr>
          <w:lang w:val="fr-FR"/>
        </w:rPr>
        <w:t>W/m</w:t>
      </w:r>
      <w:r w:rsidRPr="00217C61">
        <w:rPr>
          <w:vertAlign w:val="superscript"/>
          <w:lang w:val="fr-FR"/>
        </w:rPr>
        <w:t>2</w:t>
      </w:r>
      <w:r w:rsidRPr="00217C61">
        <w:rPr>
          <w:lang w:val="fr-FR"/>
        </w:rPr>
        <w:t>.K.</w:t>
      </w:r>
    </w:p>
    <w:p w14:paraId="39228F37" w14:textId="78FEFE9D" w:rsidR="00217C61" w:rsidRPr="00217C61" w:rsidRDefault="00217C61" w:rsidP="00217C61">
      <w:pPr>
        <w:pStyle w:val="SingleTxtG"/>
        <w:ind w:firstLine="567"/>
      </w:pPr>
      <w:r w:rsidRPr="00217C61">
        <w:rPr>
          <w:lang w:val="fr-FR"/>
        </w:rPr>
        <w:t>La surface intérieure de la caisse ne doit pas varier de plus de 20</w:t>
      </w:r>
      <w:r>
        <w:rPr>
          <w:lang w:val="fr-FR"/>
        </w:rPr>
        <w:t> </w:t>
      </w:r>
      <w:r w:rsidRPr="00217C61">
        <w:rPr>
          <w:lang w:val="fr-FR"/>
        </w:rPr>
        <w:t>%.</w:t>
      </w:r>
    </w:p>
    <w:p w14:paraId="7DDCF3D0" w14:textId="2465EE43" w:rsidR="00217C61" w:rsidRPr="00217C61" w:rsidRDefault="00217C61" w:rsidP="00217C61">
      <w:pPr>
        <w:pStyle w:val="SingleTxtG"/>
        <w:ind w:firstLine="567"/>
      </w:pPr>
      <w:r w:rsidRPr="00217C61">
        <w:rPr>
          <w:lang w:val="fr-FR"/>
        </w:rPr>
        <w:t>L’engin doit satisfaire à la prescription suivante</w:t>
      </w:r>
      <w:r>
        <w:rPr>
          <w:lang w:val="fr-FR"/>
        </w:rPr>
        <w:t> </w:t>
      </w:r>
      <w:r w:rsidRPr="00217C61">
        <w:rPr>
          <w:lang w:val="fr-FR"/>
        </w:rPr>
        <w:t>:</w:t>
      </w:r>
    </w:p>
    <w:p w14:paraId="208273AB" w14:textId="75723756" w:rsidR="00217C61" w:rsidRPr="00217C61" w:rsidRDefault="00217C61" w:rsidP="00217C61">
      <w:pPr>
        <w:pStyle w:val="SingleTxtG"/>
        <w:ind w:firstLine="567"/>
        <w:jc w:val="center"/>
      </w:pPr>
      <w:r w:rsidRPr="00217C61">
        <w:rPr>
          <w:lang w:val="fr-FR"/>
        </w:rPr>
        <w:t>P</w:t>
      </w:r>
      <w:r w:rsidRPr="00217C61">
        <w:rPr>
          <w:vertAlign w:val="subscript"/>
          <w:lang w:val="fr-FR"/>
        </w:rPr>
        <w:t>nominale</w:t>
      </w:r>
      <w:r w:rsidRPr="00217C61">
        <w:rPr>
          <w:lang w:val="fr-FR"/>
        </w:rPr>
        <w:t xml:space="preserve"> &gt; 1,75 * K</w:t>
      </w:r>
      <w:r w:rsidRPr="00217C61">
        <w:rPr>
          <w:vertAlign w:val="subscript"/>
          <w:lang w:val="fr-FR"/>
        </w:rPr>
        <w:t>caisse</w:t>
      </w:r>
      <w:r w:rsidRPr="00217C61">
        <w:rPr>
          <w:lang w:val="fr-FR"/>
        </w:rPr>
        <w:t xml:space="preserve"> * S</w:t>
      </w:r>
      <w:r w:rsidRPr="00217C61">
        <w:rPr>
          <w:vertAlign w:val="subscript"/>
          <w:lang w:val="fr-FR"/>
        </w:rPr>
        <w:t>caisse</w:t>
      </w:r>
      <w:r w:rsidRPr="00217C61">
        <w:rPr>
          <w:lang w:val="fr-FR"/>
        </w:rPr>
        <w:t xml:space="preserve"> * ΔT</w:t>
      </w:r>
    </w:p>
    <w:p w14:paraId="479C1966" w14:textId="0D440260" w:rsidR="00217C61" w:rsidRPr="00217C61" w:rsidRDefault="00217C61" w:rsidP="00217C61">
      <w:pPr>
        <w:pStyle w:val="SingleTxtG"/>
        <w:ind w:firstLine="567"/>
      </w:pPr>
      <w:r w:rsidRPr="00217C61">
        <w:rPr>
          <w:lang w:val="fr-FR"/>
        </w:rPr>
        <w:t>Où</w:t>
      </w:r>
      <w:r>
        <w:rPr>
          <w:lang w:val="fr-FR"/>
        </w:rPr>
        <w:t> </w:t>
      </w:r>
      <w:r w:rsidRPr="00217C61">
        <w:rPr>
          <w:lang w:val="fr-FR"/>
        </w:rPr>
        <w:t>:</w:t>
      </w:r>
    </w:p>
    <w:p w14:paraId="4A873353" w14:textId="47A1EB9D" w:rsidR="00217C61" w:rsidRPr="00217C61" w:rsidRDefault="00217C61" w:rsidP="00217C61">
      <w:pPr>
        <w:pStyle w:val="SingleTxtG"/>
        <w:ind w:firstLine="567"/>
        <w:rPr>
          <w:spacing w:val="-3"/>
        </w:rPr>
      </w:pPr>
      <w:r w:rsidRPr="00217C61">
        <w:rPr>
          <w:spacing w:val="-3"/>
          <w:lang w:val="fr-FR"/>
        </w:rPr>
        <w:t>P</w:t>
      </w:r>
      <w:r w:rsidRPr="00217C61">
        <w:rPr>
          <w:spacing w:val="-3"/>
          <w:vertAlign w:val="subscript"/>
          <w:lang w:val="fr-FR"/>
        </w:rPr>
        <w:t>nominale</w:t>
      </w:r>
      <w:r w:rsidRPr="00217C61">
        <w:rPr>
          <w:spacing w:val="-3"/>
          <w:lang w:val="fr-FR"/>
        </w:rPr>
        <w:t xml:space="preserve"> est la puissance frigorifique nominale du groupe frigorifique multi</w:t>
      </w:r>
      <w:r>
        <w:rPr>
          <w:spacing w:val="-3"/>
          <w:lang w:val="fr-FR"/>
        </w:rPr>
        <w:t>-</w:t>
      </w:r>
      <w:r w:rsidRPr="00217C61">
        <w:rPr>
          <w:spacing w:val="-3"/>
          <w:lang w:val="fr-FR"/>
        </w:rPr>
        <w:t>températures</w:t>
      </w:r>
      <w:r w:rsidRPr="00217C61">
        <w:rPr>
          <w:spacing w:val="-3"/>
          <w:lang w:val="fr-FR"/>
        </w:rPr>
        <w:t> </w:t>
      </w:r>
      <w:r w:rsidRPr="00217C61">
        <w:rPr>
          <w:spacing w:val="-3"/>
          <w:lang w:val="fr-FR"/>
        </w:rPr>
        <w:t>;</w:t>
      </w:r>
    </w:p>
    <w:p w14:paraId="3FC8C5C1" w14:textId="7D0631DE" w:rsidR="00217C61" w:rsidRPr="00217C61" w:rsidRDefault="00217C61" w:rsidP="00217C61">
      <w:pPr>
        <w:pStyle w:val="SingleTxtG"/>
        <w:ind w:firstLine="567"/>
      </w:pPr>
      <w:r w:rsidRPr="00217C61">
        <w:rPr>
          <w:lang w:val="fr-FR"/>
        </w:rPr>
        <w:t>K</w:t>
      </w:r>
      <w:r w:rsidRPr="00217C61">
        <w:rPr>
          <w:vertAlign w:val="subscript"/>
          <w:lang w:val="fr-FR"/>
        </w:rPr>
        <w:t>caisse</w:t>
      </w:r>
      <w:r w:rsidRPr="00217C61">
        <w:rPr>
          <w:lang w:val="fr-FR"/>
        </w:rPr>
        <w:t xml:space="preserve"> est le coefficient K de l’extérieur de la caisse</w:t>
      </w:r>
      <w:r>
        <w:rPr>
          <w:lang w:val="fr-FR"/>
        </w:rPr>
        <w:t> </w:t>
      </w:r>
      <w:r w:rsidRPr="00217C61">
        <w:rPr>
          <w:lang w:val="fr-FR"/>
        </w:rPr>
        <w:t>;</w:t>
      </w:r>
    </w:p>
    <w:p w14:paraId="14574559" w14:textId="2570DAAF" w:rsidR="00217C61" w:rsidRPr="00217C61" w:rsidRDefault="00217C61" w:rsidP="00217C61">
      <w:pPr>
        <w:pStyle w:val="SingleTxtG"/>
        <w:ind w:firstLine="567"/>
      </w:pPr>
      <w:r w:rsidRPr="00217C61">
        <w:rPr>
          <w:lang w:val="fr-FR"/>
        </w:rPr>
        <w:t>S</w:t>
      </w:r>
      <w:r w:rsidRPr="00217C61">
        <w:rPr>
          <w:vertAlign w:val="subscript"/>
          <w:lang w:val="fr-FR"/>
        </w:rPr>
        <w:t>caisse</w:t>
      </w:r>
      <w:r w:rsidRPr="00217C61">
        <w:rPr>
          <w:lang w:val="fr-FR"/>
        </w:rPr>
        <w:t xml:space="preserve"> est la moyenne géométrique de </w:t>
      </w:r>
      <w:r w:rsidRPr="00217C61">
        <w:rPr>
          <w:strike/>
          <w:lang w:val="fr-FR"/>
        </w:rPr>
        <w:t>la surface</w:t>
      </w:r>
      <w:r w:rsidRPr="00217C61">
        <w:rPr>
          <w:lang w:val="fr-FR"/>
        </w:rPr>
        <w:t xml:space="preserve"> </w:t>
      </w:r>
      <w:r w:rsidRPr="00217C61">
        <w:rPr>
          <w:b/>
          <w:lang w:val="fr-FR"/>
        </w:rPr>
        <w:t>l’extérieur</w:t>
      </w:r>
      <w:r w:rsidRPr="00217C61">
        <w:rPr>
          <w:lang w:val="fr-FR"/>
        </w:rPr>
        <w:t xml:space="preserve"> de la caisse</w:t>
      </w:r>
      <w:r>
        <w:rPr>
          <w:lang w:val="fr-FR"/>
        </w:rPr>
        <w:t> </w:t>
      </w:r>
      <w:r w:rsidRPr="00217C61">
        <w:rPr>
          <w:lang w:val="fr-FR"/>
        </w:rPr>
        <w:t>;</w:t>
      </w:r>
    </w:p>
    <w:p w14:paraId="730C1EB4" w14:textId="75823214" w:rsidR="00217C61" w:rsidRPr="00217C61" w:rsidRDefault="00217C61" w:rsidP="00217C61">
      <w:pPr>
        <w:pStyle w:val="SingleTxtG"/>
        <w:ind w:firstLine="567"/>
      </w:pPr>
      <w:r w:rsidRPr="00217C61">
        <w:rPr>
          <w:lang w:val="fr-FR"/>
        </w:rPr>
        <w:t>ΔT est l’écart de température entre l’extérieur et l’intérieur de la caisse.</w:t>
      </w:r>
    </w:p>
    <w:p w14:paraId="3302C226" w14:textId="3708D2DC" w:rsidR="00217C61" w:rsidRPr="00217C61" w:rsidRDefault="00217C61" w:rsidP="00217C61">
      <w:pPr>
        <w:pStyle w:val="SingleTxtG"/>
      </w:pPr>
      <w:r w:rsidRPr="00217C61">
        <w:rPr>
          <w:lang w:val="fr-FR"/>
        </w:rPr>
        <w:t>6.</w:t>
      </w:r>
      <w:r w:rsidRPr="00217C61">
        <w:rPr>
          <w:lang w:val="fr-FR"/>
        </w:rPr>
        <w:tab/>
        <w:t>Modifier comme suit le paragraphe</w:t>
      </w:r>
      <w:r>
        <w:rPr>
          <w:lang w:val="fr-FR"/>
        </w:rPr>
        <w:t> </w:t>
      </w:r>
      <w:r w:rsidRPr="00217C61">
        <w:rPr>
          <w:lang w:val="fr-FR"/>
        </w:rPr>
        <w:t>7.3.3 de l’appendice</w:t>
      </w:r>
      <w:r>
        <w:rPr>
          <w:lang w:val="fr-FR"/>
        </w:rPr>
        <w:t> </w:t>
      </w:r>
      <w:r w:rsidRPr="00217C61">
        <w:rPr>
          <w:lang w:val="fr-FR"/>
        </w:rPr>
        <w:t>2 de l’annexe</w:t>
      </w:r>
      <w:r>
        <w:rPr>
          <w:lang w:val="fr-FR"/>
        </w:rPr>
        <w:t> </w:t>
      </w:r>
      <w:r w:rsidRPr="00217C61">
        <w:rPr>
          <w:lang w:val="fr-FR"/>
        </w:rPr>
        <w:t>1</w:t>
      </w:r>
      <w:r>
        <w:rPr>
          <w:lang w:val="fr-FR"/>
        </w:rPr>
        <w:t> </w:t>
      </w:r>
      <w:r w:rsidRPr="00217C61">
        <w:rPr>
          <w:lang w:val="fr-FR"/>
        </w:rPr>
        <w:t>:</w:t>
      </w:r>
    </w:p>
    <w:p w14:paraId="0BDEEEDE" w14:textId="67CDEFFF" w:rsidR="00217C61" w:rsidRPr="00217C61" w:rsidRDefault="00217C61" w:rsidP="00217C61">
      <w:pPr>
        <w:pStyle w:val="SingleTxtG"/>
        <w:ind w:firstLine="567"/>
      </w:pPr>
      <w:r w:rsidRPr="00217C61">
        <w:rPr>
          <w:lang w:val="fr-FR"/>
        </w:rPr>
        <w:t>7.3.3</w:t>
      </w:r>
      <w:r w:rsidRPr="00217C61">
        <w:rPr>
          <w:lang w:val="fr-FR"/>
        </w:rPr>
        <w:tab/>
      </w:r>
      <w:r w:rsidRPr="00217C61">
        <w:rPr>
          <w:u w:val="single"/>
          <w:lang w:val="fr-FR"/>
        </w:rPr>
        <w:t>Mesure de la demande de réfrigération des évaporateurs réfrigération</w:t>
      </w:r>
    </w:p>
    <w:p w14:paraId="027E83EF" w14:textId="70F58119" w:rsidR="00217C61" w:rsidRPr="00217C61" w:rsidRDefault="00217C61" w:rsidP="00217C61">
      <w:pPr>
        <w:pStyle w:val="SingleTxtG"/>
        <w:ind w:left="1701"/>
      </w:pPr>
      <w:r w:rsidRPr="00217C61">
        <w:rPr>
          <w:lang w:val="fr-FR"/>
        </w:rPr>
        <w:t>Les cloisons internes étant placées dans des positions déterminées, la demande de réfrigération de chaque évaporateur réfrigération est calculée comme suit</w:t>
      </w:r>
      <w:r>
        <w:rPr>
          <w:lang w:val="fr-FR"/>
        </w:rPr>
        <w:t> </w:t>
      </w:r>
      <w:r w:rsidRPr="00217C61">
        <w:rPr>
          <w:lang w:val="fr-FR"/>
        </w:rPr>
        <w:t>:</w:t>
      </w:r>
    </w:p>
    <w:p w14:paraId="4A980DAA" w14:textId="5D4DF03A" w:rsidR="00217C61" w:rsidRPr="00217C61" w:rsidRDefault="00217C61" w:rsidP="00217C61">
      <w:pPr>
        <w:pStyle w:val="SingleTxtG"/>
        <w:ind w:firstLine="567"/>
      </w:pPr>
      <w:r w:rsidRPr="00217C61">
        <w:rPr>
          <w:lang w:val="fr-FR"/>
        </w:rPr>
        <w:t>P</w:t>
      </w:r>
      <w:r w:rsidRPr="00217C61">
        <w:rPr>
          <w:vertAlign w:val="subscript"/>
          <w:lang w:val="fr-FR"/>
        </w:rPr>
        <w:t>demande</w:t>
      </w:r>
      <w:r w:rsidRPr="00217C61">
        <w:rPr>
          <w:lang w:val="fr-FR"/>
        </w:rPr>
        <w:t xml:space="preserve"> </w:t>
      </w:r>
      <w:r w:rsidRPr="00217C61">
        <w:rPr>
          <w:vertAlign w:val="subscript"/>
          <w:lang w:val="fr-FR"/>
        </w:rPr>
        <w:t>réfrig</w:t>
      </w:r>
      <w:r w:rsidRPr="00217C61">
        <w:rPr>
          <w:lang w:val="fr-FR"/>
        </w:rPr>
        <w:t xml:space="preserve"> = (S</w:t>
      </w:r>
      <w:r w:rsidRPr="00217C61">
        <w:rPr>
          <w:vertAlign w:val="subscript"/>
          <w:lang w:val="fr-FR"/>
        </w:rPr>
        <w:t>comp</w:t>
      </w:r>
      <w:r w:rsidRPr="00217C61">
        <w:rPr>
          <w:lang w:val="fr-FR"/>
        </w:rPr>
        <w:t xml:space="preserve"> </w:t>
      </w:r>
      <w:r w:rsidRPr="00217C61">
        <w:rPr>
          <w:vertAlign w:val="subscript"/>
          <w:lang w:val="fr-FR"/>
        </w:rPr>
        <w:t>réfrig</w:t>
      </w:r>
      <w:r w:rsidRPr="00217C61">
        <w:rPr>
          <w:lang w:val="fr-FR"/>
        </w:rPr>
        <w:t xml:space="preserve"> – ΣS</w:t>
      </w:r>
      <w:r w:rsidRPr="00217C61">
        <w:rPr>
          <w:vertAlign w:val="subscript"/>
          <w:lang w:val="fr-FR"/>
        </w:rPr>
        <w:t>cloison</w:t>
      </w:r>
      <w:r w:rsidRPr="00217C61">
        <w:rPr>
          <w:lang w:val="fr-FR"/>
        </w:rPr>
        <w:t>) * K</w:t>
      </w:r>
      <w:r w:rsidRPr="00217C61">
        <w:rPr>
          <w:vertAlign w:val="subscript"/>
          <w:lang w:val="fr-FR"/>
        </w:rPr>
        <w:t>caisse</w:t>
      </w:r>
      <w:r w:rsidRPr="00217C61">
        <w:rPr>
          <w:lang w:val="fr-FR"/>
        </w:rPr>
        <w:t>* Δ</w:t>
      </w:r>
      <w:r w:rsidRPr="00217C61">
        <w:rPr>
          <w:vertAlign w:val="subscript"/>
          <w:lang w:val="fr-FR"/>
        </w:rPr>
        <w:t>Text</w:t>
      </w:r>
      <w:r w:rsidRPr="00217C61">
        <w:rPr>
          <w:lang w:val="fr-FR"/>
        </w:rPr>
        <w:t xml:space="preserve"> + Σ (S</w:t>
      </w:r>
      <w:r w:rsidRPr="00217C61">
        <w:rPr>
          <w:vertAlign w:val="subscript"/>
          <w:lang w:val="fr-FR"/>
        </w:rPr>
        <w:t>cloison</w:t>
      </w:r>
      <w:r w:rsidRPr="00217C61">
        <w:rPr>
          <w:lang w:val="fr-FR"/>
        </w:rPr>
        <w:t xml:space="preserve"> * K</w:t>
      </w:r>
      <w:r w:rsidRPr="00217C61">
        <w:rPr>
          <w:vertAlign w:val="subscript"/>
          <w:lang w:val="fr-FR"/>
        </w:rPr>
        <w:t>cloison</w:t>
      </w:r>
      <w:r w:rsidRPr="00217C61">
        <w:rPr>
          <w:lang w:val="fr-FR"/>
        </w:rPr>
        <w:t xml:space="preserve"> * Δ</w:t>
      </w:r>
      <w:r w:rsidRPr="00217C61">
        <w:rPr>
          <w:vertAlign w:val="subscript"/>
          <w:lang w:val="fr-FR"/>
        </w:rPr>
        <w:t>Tint</w:t>
      </w:r>
      <w:r w:rsidRPr="00217C61">
        <w:rPr>
          <w:lang w:val="fr-FR"/>
        </w:rPr>
        <w:t xml:space="preserve">) </w:t>
      </w:r>
    </w:p>
    <w:p w14:paraId="4651022F" w14:textId="1F4B8AFC" w:rsidR="00217C61" w:rsidRPr="00217C61" w:rsidRDefault="00217C61" w:rsidP="00217C61">
      <w:pPr>
        <w:pStyle w:val="SingleTxtG"/>
        <w:ind w:firstLine="567"/>
      </w:pPr>
      <w:r w:rsidRPr="00217C61">
        <w:rPr>
          <w:lang w:val="fr-FR"/>
        </w:rPr>
        <w:t>Où</w:t>
      </w:r>
      <w:r>
        <w:rPr>
          <w:lang w:val="fr-FR"/>
        </w:rPr>
        <w:t> </w:t>
      </w:r>
      <w:r w:rsidRPr="00217C61">
        <w:rPr>
          <w:lang w:val="fr-FR"/>
        </w:rPr>
        <w:t>:</w:t>
      </w:r>
    </w:p>
    <w:p w14:paraId="2CCDA43C" w14:textId="49607448" w:rsidR="00217C61" w:rsidRPr="00217C61" w:rsidRDefault="00217C61" w:rsidP="00217C61">
      <w:pPr>
        <w:pStyle w:val="SingleTxtG"/>
        <w:ind w:left="1701"/>
      </w:pPr>
      <w:r w:rsidRPr="00217C61">
        <w:rPr>
          <w:lang w:val="fr-FR"/>
        </w:rPr>
        <w:t>K</w:t>
      </w:r>
      <w:r w:rsidRPr="00217C61">
        <w:rPr>
          <w:vertAlign w:val="subscript"/>
          <w:lang w:val="fr-FR"/>
        </w:rPr>
        <w:t>caisse</w:t>
      </w:r>
      <w:r w:rsidRPr="00217C61">
        <w:rPr>
          <w:lang w:val="fr-FR"/>
        </w:rPr>
        <w:t xml:space="preserve"> est le coefficient K figurant sur un procès-verbal d’essai ATP pour l’extérieur de la caisse</w:t>
      </w:r>
      <w:r>
        <w:rPr>
          <w:lang w:val="fr-FR"/>
        </w:rPr>
        <w:t> </w:t>
      </w:r>
      <w:r w:rsidRPr="00217C61">
        <w:rPr>
          <w:lang w:val="fr-FR"/>
        </w:rPr>
        <w:t>;</w:t>
      </w:r>
    </w:p>
    <w:p w14:paraId="68225F7F" w14:textId="50ED6F3E" w:rsidR="00217C61" w:rsidRPr="00217C61" w:rsidRDefault="00217C61" w:rsidP="00217C61">
      <w:pPr>
        <w:pStyle w:val="SingleTxtG"/>
        <w:ind w:left="1701"/>
      </w:pPr>
      <w:r w:rsidRPr="00217C61">
        <w:rPr>
          <w:lang w:val="fr-FR"/>
        </w:rPr>
        <w:t>S</w:t>
      </w:r>
      <w:r w:rsidRPr="00217C61">
        <w:rPr>
          <w:vertAlign w:val="subscript"/>
          <w:lang w:val="fr-FR"/>
        </w:rPr>
        <w:t>comp</w:t>
      </w:r>
      <w:r w:rsidRPr="00217C61">
        <w:rPr>
          <w:lang w:val="fr-FR"/>
        </w:rPr>
        <w:t xml:space="preserve"> </w:t>
      </w:r>
      <w:r w:rsidRPr="00217C61">
        <w:rPr>
          <w:vertAlign w:val="subscript"/>
          <w:lang w:val="fr-FR"/>
        </w:rPr>
        <w:t>réfrig</w:t>
      </w:r>
      <w:r w:rsidRPr="00217C61">
        <w:rPr>
          <w:lang w:val="fr-FR"/>
        </w:rPr>
        <w:t xml:space="preserve"> est la surface </w:t>
      </w:r>
      <w:r w:rsidRPr="00217C61">
        <w:rPr>
          <w:b/>
          <w:lang w:val="fr-FR"/>
        </w:rPr>
        <w:t>intérieure</w:t>
      </w:r>
      <w:r w:rsidRPr="00217C61">
        <w:rPr>
          <w:lang w:val="fr-FR"/>
        </w:rPr>
        <w:t xml:space="preserve"> du compartiment de réfrigération compte tenu des positions convenues pour les cloisons</w:t>
      </w:r>
      <w:r>
        <w:rPr>
          <w:lang w:val="fr-FR"/>
        </w:rPr>
        <w:t> </w:t>
      </w:r>
      <w:r w:rsidRPr="00217C61">
        <w:rPr>
          <w:lang w:val="fr-FR"/>
        </w:rPr>
        <w:t>;</w:t>
      </w:r>
    </w:p>
    <w:p w14:paraId="09B672D7" w14:textId="62F6AFC8" w:rsidR="00217C61" w:rsidRPr="00217C61" w:rsidRDefault="00217C61" w:rsidP="00217C61">
      <w:pPr>
        <w:pStyle w:val="SingleTxtG"/>
        <w:ind w:firstLine="567"/>
      </w:pPr>
      <w:r w:rsidRPr="00217C61">
        <w:rPr>
          <w:lang w:val="fr-FR"/>
        </w:rPr>
        <w:t>S</w:t>
      </w:r>
      <w:r w:rsidRPr="00217C61">
        <w:rPr>
          <w:vertAlign w:val="subscript"/>
          <w:lang w:val="fr-FR"/>
        </w:rPr>
        <w:t>cloison</w:t>
      </w:r>
      <w:r w:rsidRPr="00217C61">
        <w:rPr>
          <w:lang w:val="fr-FR"/>
        </w:rPr>
        <w:t xml:space="preserve"> représente les surfaces des cloisons</w:t>
      </w:r>
      <w:r>
        <w:rPr>
          <w:lang w:val="fr-FR"/>
        </w:rPr>
        <w:t> </w:t>
      </w:r>
      <w:r w:rsidRPr="00217C61">
        <w:rPr>
          <w:lang w:val="fr-FR"/>
        </w:rPr>
        <w:t>;</w:t>
      </w:r>
    </w:p>
    <w:p w14:paraId="37606491" w14:textId="3B4B5EEF" w:rsidR="00217C61" w:rsidRPr="00217C61" w:rsidRDefault="00217C61" w:rsidP="00217C61">
      <w:pPr>
        <w:pStyle w:val="SingleTxtG"/>
        <w:ind w:left="1701"/>
      </w:pPr>
      <w:r w:rsidRPr="00217C61">
        <w:rPr>
          <w:lang w:val="fr-FR"/>
        </w:rPr>
        <w:t>K</w:t>
      </w:r>
      <w:r w:rsidRPr="00217C61">
        <w:rPr>
          <w:vertAlign w:val="subscript"/>
          <w:lang w:val="fr-FR"/>
        </w:rPr>
        <w:t>cloison</w:t>
      </w:r>
      <w:r w:rsidRPr="00217C61">
        <w:rPr>
          <w:lang w:val="fr-FR"/>
        </w:rPr>
        <w:t xml:space="preserve"> représente les coefficients K des cloisons, indiqués dans le tableau présenté au paragraphe</w:t>
      </w:r>
      <w:r>
        <w:rPr>
          <w:lang w:val="fr-FR"/>
        </w:rPr>
        <w:t> </w:t>
      </w:r>
      <w:r w:rsidRPr="00217C61">
        <w:rPr>
          <w:lang w:val="fr-FR"/>
        </w:rPr>
        <w:t>7.3.7</w:t>
      </w:r>
      <w:r>
        <w:rPr>
          <w:lang w:val="fr-FR"/>
        </w:rPr>
        <w:t> </w:t>
      </w:r>
      <w:r w:rsidRPr="00217C61">
        <w:rPr>
          <w:lang w:val="fr-FR"/>
        </w:rPr>
        <w:t>;</w:t>
      </w:r>
    </w:p>
    <w:p w14:paraId="07FEECF0" w14:textId="4C281BAD" w:rsidR="00217C61" w:rsidRPr="00217C61" w:rsidRDefault="00217C61" w:rsidP="00217C61">
      <w:pPr>
        <w:pStyle w:val="SingleTxtG"/>
        <w:ind w:left="1701"/>
      </w:pPr>
      <w:r w:rsidRPr="00217C61">
        <w:rPr>
          <w:lang w:val="fr-FR"/>
        </w:rPr>
        <w:t>ΔT</w:t>
      </w:r>
      <w:r w:rsidRPr="00217C61">
        <w:rPr>
          <w:vertAlign w:val="subscript"/>
          <w:lang w:val="fr-FR"/>
        </w:rPr>
        <w:t xml:space="preserve">ext </w:t>
      </w:r>
      <w:r w:rsidRPr="00217C61">
        <w:rPr>
          <w:lang w:val="fr-FR"/>
        </w:rPr>
        <w:t>est l’écart de température entre le compartiment de réfrigération et l’extérieur de la caisse (+30</w:t>
      </w:r>
      <w:r>
        <w:rPr>
          <w:lang w:val="fr-FR"/>
        </w:rPr>
        <w:t> </w:t>
      </w:r>
      <w:r w:rsidRPr="00217C61">
        <w:rPr>
          <w:lang w:val="fr-FR"/>
        </w:rPr>
        <w:t>°C)</w:t>
      </w:r>
      <w:r>
        <w:rPr>
          <w:lang w:val="fr-FR"/>
        </w:rPr>
        <w:t> </w:t>
      </w:r>
      <w:r w:rsidRPr="00217C61">
        <w:rPr>
          <w:lang w:val="fr-FR"/>
        </w:rPr>
        <w:t>;</w:t>
      </w:r>
    </w:p>
    <w:p w14:paraId="59D479FE" w14:textId="46A2CBE2" w:rsidR="00217C61" w:rsidRPr="00217C61" w:rsidRDefault="00217C61" w:rsidP="00217C61">
      <w:pPr>
        <w:pStyle w:val="SingleTxtG"/>
        <w:ind w:left="1701"/>
      </w:pPr>
      <w:r w:rsidRPr="00217C61">
        <w:rPr>
          <w:lang w:val="fr-FR"/>
        </w:rPr>
        <w:t>ΔT</w:t>
      </w:r>
      <w:r w:rsidRPr="00217C61">
        <w:rPr>
          <w:vertAlign w:val="subscript"/>
          <w:lang w:val="fr-FR"/>
        </w:rPr>
        <w:t>int</w:t>
      </w:r>
      <w:r w:rsidRPr="00217C61">
        <w:rPr>
          <w:lang w:val="fr-FR"/>
        </w:rPr>
        <w:t xml:space="preserve"> est l’écart de température entre le compartiment de réfrigération et d’autres compartiments. Pour les compartiments non conditionnés, une température de +20</w:t>
      </w:r>
      <w:r>
        <w:rPr>
          <w:lang w:val="fr-FR"/>
        </w:rPr>
        <w:t> </w:t>
      </w:r>
      <w:r w:rsidRPr="00217C61">
        <w:rPr>
          <w:lang w:val="fr-FR"/>
        </w:rPr>
        <w:t>°C doit être maintenue aux fins des calculs.</w:t>
      </w:r>
    </w:p>
    <w:p w14:paraId="4758F810" w14:textId="3EC46E62" w:rsidR="00217C61" w:rsidRPr="00217C61" w:rsidRDefault="00217C61" w:rsidP="00217C61">
      <w:pPr>
        <w:pStyle w:val="SingleTxtG"/>
      </w:pPr>
      <w:r w:rsidRPr="00217C61">
        <w:rPr>
          <w:lang w:val="fr-FR"/>
        </w:rPr>
        <w:t>7.</w:t>
      </w:r>
      <w:r w:rsidRPr="00217C61">
        <w:rPr>
          <w:lang w:val="fr-FR"/>
        </w:rPr>
        <w:tab/>
        <w:t>Modifier comme suit le paragraphe</w:t>
      </w:r>
      <w:r>
        <w:rPr>
          <w:lang w:val="fr-FR"/>
        </w:rPr>
        <w:t> </w:t>
      </w:r>
      <w:r w:rsidRPr="00217C61">
        <w:rPr>
          <w:lang w:val="fr-FR"/>
        </w:rPr>
        <w:t>7.3.4 de l’appendice</w:t>
      </w:r>
      <w:r>
        <w:rPr>
          <w:lang w:val="fr-FR"/>
        </w:rPr>
        <w:t> </w:t>
      </w:r>
      <w:r w:rsidRPr="00217C61">
        <w:rPr>
          <w:lang w:val="fr-FR"/>
        </w:rPr>
        <w:t>2 de l’annexe</w:t>
      </w:r>
      <w:r>
        <w:rPr>
          <w:lang w:val="fr-FR"/>
        </w:rPr>
        <w:t> </w:t>
      </w:r>
      <w:r w:rsidRPr="00217C61">
        <w:rPr>
          <w:lang w:val="fr-FR"/>
        </w:rPr>
        <w:t>1</w:t>
      </w:r>
      <w:r>
        <w:rPr>
          <w:lang w:val="fr-FR"/>
        </w:rPr>
        <w:t> </w:t>
      </w:r>
      <w:r w:rsidRPr="00217C61">
        <w:rPr>
          <w:lang w:val="fr-FR"/>
        </w:rPr>
        <w:t>:</w:t>
      </w:r>
    </w:p>
    <w:p w14:paraId="3B316224" w14:textId="69524A51" w:rsidR="00217C61" w:rsidRPr="00217C61" w:rsidRDefault="00217C61" w:rsidP="00217C61">
      <w:pPr>
        <w:pStyle w:val="SingleTxtG"/>
        <w:ind w:firstLine="567"/>
      </w:pPr>
      <w:r w:rsidRPr="00217C61">
        <w:rPr>
          <w:lang w:val="fr-FR"/>
        </w:rPr>
        <w:t>7.3.4</w:t>
      </w:r>
      <w:r w:rsidRPr="00217C61">
        <w:rPr>
          <w:lang w:val="fr-FR"/>
        </w:rPr>
        <w:tab/>
      </w:r>
      <w:r w:rsidRPr="00217C61">
        <w:rPr>
          <w:u w:val="single"/>
          <w:lang w:val="fr-FR"/>
        </w:rPr>
        <w:t>Mesure de la demande de réfrigération des compartiments de congélation</w:t>
      </w:r>
    </w:p>
    <w:p w14:paraId="708EE13B" w14:textId="53A60677" w:rsidR="00217C61" w:rsidRPr="00217C61" w:rsidRDefault="00217C61" w:rsidP="00217C61">
      <w:pPr>
        <w:pStyle w:val="SingleTxtG"/>
        <w:ind w:left="1701"/>
      </w:pPr>
      <w:r w:rsidRPr="00217C61">
        <w:rPr>
          <w:lang w:val="fr-FR"/>
        </w:rPr>
        <w:t>Les cloisons internes étant placées dans des positions déterminées, la demande de réfrigération de chaque compartiment de congélation est calculée comme suit</w:t>
      </w:r>
      <w:r>
        <w:rPr>
          <w:lang w:val="fr-FR"/>
        </w:rPr>
        <w:t> </w:t>
      </w:r>
      <w:r w:rsidRPr="00217C61">
        <w:rPr>
          <w:lang w:val="fr-FR"/>
        </w:rPr>
        <w:t>:</w:t>
      </w:r>
    </w:p>
    <w:p w14:paraId="346392B0" w14:textId="1205D3CA" w:rsidR="00217C61" w:rsidRPr="00217C61" w:rsidRDefault="00217C61" w:rsidP="00217C61">
      <w:pPr>
        <w:pStyle w:val="SingleTxtG"/>
        <w:ind w:firstLine="567"/>
      </w:pPr>
      <w:r w:rsidRPr="00217C61">
        <w:rPr>
          <w:lang w:val="fr-FR"/>
        </w:rPr>
        <w:t>P</w:t>
      </w:r>
      <w:r w:rsidRPr="00217C61">
        <w:rPr>
          <w:vertAlign w:val="subscript"/>
          <w:lang w:val="fr-FR"/>
        </w:rPr>
        <w:t>demande</w:t>
      </w:r>
      <w:r w:rsidRPr="00217C61">
        <w:rPr>
          <w:lang w:val="fr-FR"/>
        </w:rPr>
        <w:t xml:space="preserve"> </w:t>
      </w:r>
      <w:r w:rsidRPr="00217C61">
        <w:rPr>
          <w:vertAlign w:val="subscript"/>
          <w:lang w:val="fr-FR"/>
        </w:rPr>
        <w:t>congél</w:t>
      </w:r>
      <w:r w:rsidRPr="00217C61">
        <w:rPr>
          <w:lang w:val="fr-FR"/>
        </w:rPr>
        <w:t xml:space="preserve"> = (S</w:t>
      </w:r>
      <w:r w:rsidRPr="00217C61">
        <w:rPr>
          <w:vertAlign w:val="subscript"/>
          <w:lang w:val="fr-FR"/>
        </w:rPr>
        <w:t>comp</w:t>
      </w:r>
      <w:r w:rsidRPr="00217C61">
        <w:rPr>
          <w:lang w:val="fr-FR"/>
        </w:rPr>
        <w:t xml:space="preserve"> </w:t>
      </w:r>
      <w:r w:rsidRPr="00217C61">
        <w:rPr>
          <w:vertAlign w:val="subscript"/>
          <w:lang w:val="fr-FR"/>
        </w:rPr>
        <w:t>congél</w:t>
      </w:r>
      <w:r w:rsidRPr="00217C61">
        <w:rPr>
          <w:lang w:val="fr-FR"/>
        </w:rPr>
        <w:t xml:space="preserve"> – ΣS</w:t>
      </w:r>
      <w:r w:rsidRPr="00217C61">
        <w:rPr>
          <w:vertAlign w:val="subscript"/>
          <w:lang w:val="fr-FR"/>
        </w:rPr>
        <w:t>cloison</w:t>
      </w:r>
      <w:r w:rsidRPr="00217C61">
        <w:rPr>
          <w:lang w:val="fr-FR"/>
        </w:rPr>
        <w:t>) * K</w:t>
      </w:r>
      <w:r w:rsidRPr="00217C61">
        <w:rPr>
          <w:vertAlign w:val="subscript"/>
          <w:lang w:val="fr-FR"/>
        </w:rPr>
        <w:t>caisse</w:t>
      </w:r>
      <w:r w:rsidRPr="00217C61">
        <w:rPr>
          <w:lang w:val="fr-FR"/>
        </w:rPr>
        <w:t>* ΔT</w:t>
      </w:r>
      <w:r w:rsidRPr="00217C61">
        <w:rPr>
          <w:vertAlign w:val="subscript"/>
          <w:lang w:val="fr-FR"/>
        </w:rPr>
        <w:t>ext</w:t>
      </w:r>
      <w:r w:rsidRPr="00217C61">
        <w:rPr>
          <w:lang w:val="fr-FR"/>
        </w:rPr>
        <w:t xml:space="preserve"> + Σ (S</w:t>
      </w:r>
      <w:r w:rsidRPr="00217C61">
        <w:rPr>
          <w:vertAlign w:val="subscript"/>
          <w:lang w:val="fr-FR"/>
        </w:rPr>
        <w:t>cloison</w:t>
      </w:r>
      <w:r w:rsidRPr="00217C61">
        <w:rPr>
          <w:lang w:val="fr-FR"/>
        </w:rPr>
        <w:t xml:space="preserve"> * K</w:t>
      </w:r>
      <w:r w:rsidRPr="00217C61">
        <w:rPr>
          <w:vertAlign w:val="subscript"/>
          <w:lang w:val="fr-FR"/>
        </w:rPr>
        <w:t>cloison</w:t>
      </w:r>
      <w:r w:rsidRPr="00217C61">
        <w:rPr>
          <w:lang w:val="fr-FR"/>
        </w:rPr>
        <w:t xml:space="preserve"> * ΔT</w:t>
      </w:r>
      <w:r w:rsidRPr="00217C61">
        <w:rPr>
          <w:vertAlign w:val="subscript"/>
          <w:lang w:val="fr-FR"/>
        </w:rPr>
        <w:t>int</w:t>
      </w:r>
      <w:r w:rsidRPr="00217C61">
        <w:rPr>
          <w:lang w:val="fr-FR"/>
        </w:rPr>
        <w:t xml:space="preserve">) </w:t>
      </w:r>
    </w:p>
    <w:p w14:paraId="6AFF4652" w14:textId="63D10267" w:rsidR="00217C61" w:rsidRPr="00217C61" w:rsidRDefault="00217C61" w:rsidP="00217C61">
      <w:pPr>
        <w:pStyle w:val="SingleTxtG"/>
        <w:ind w:firstLine="567"/>
      </w:pPr>
      <w:r w:rsidRPr="00217C61">
        <w:rPr>
          <w:lang w:val="fr-FR"/>
        </w:rPr>
        <w:t>Où</w:t>
      </w:r>
      <w:r>
        <w:rPr>
          <w:lang w:val="fr-FR"/>
        </w:rPr>
        <w:t> </w:t>
      </w:r>
      <w:r w:rsidRPr="00217C61">
        <w:rPr>
          <w:lang w:val="fr-FR"/>
        </w:rPr>
        <w:t>:</w:t>
      </w:r>
    </w:p>
    <w:p w14:paraId="5E39B691" w14:textId="54547ACD" w:rsidR="00217C61" w:rsidRPr="00217C61" w:rsidRDefault="00217C61" w:rsidP="00217C61">
      <w:pPr>
        <w:pStyle w:val="SingleTxtG"/>
        <w:ind w:left="1701"/>
      </w:pPr>
      <w:r w:rsidRPr="00217C61">
        <w:rPr>
          <w:lang w:val="fr-FR"/>
        </w:rPr>
        <w:t>K</w:t>
      </w:r>
      <w:r w:rsidRPr="00217C61">
        <w:rPr>
          <w:vertAlign w:val="subscript"/>
          <w:lang w:val="fr-FR"/>
        </w:rPr>
        <w:t>caisse</w:t>
      </w:r>
      <w:r w:rsidRPr="00217C61">
        <w:rPr>
          <w:lang w:val="fr-FR"/>
        </w:rPr>
        <w:t xml:space="preserve"> est le coefficient K figurant sur un procès-verbal d’essai ATP pour l’extérieur de la caisse</w:t>
      </w:r>
      <w:r>
        <w:rPr>
          <w:lang w:val="fr-FR"/>
        </w:rPr>
        <w:t> </w:t>
      </w:r>
      <w:r w:rsidRPr="00217C61">
        <w:rPr>
          <w:lang w:val="fr-FR"/>
        </w:rPr>
        <w:t>;</w:t>
      </w:r>
    </w:p>
    <w:p w14:paraId="671DBF67" w14:textId="049AA362" w:rsidR="00217C61" w:rsidRPr="00217C61" w:rsidRDefault="00217C61" w:rsidP="00217C61">
      <w:pPr>
        <w:pStyle w:val="SingleTxtG"/>
        <w:ind w:left="1701"/>
      </w:pPr>
      <w:r w:rsidRPr="00217C61">
        <w:rPr>
          <w:lang w:val="fr-FR"/>
        </w:rPr>
        <w:t>S</w:t>
      </w:r>
      <w:r w:rsidRPr="00217C61">
        <w:rPr>
          <w:vertAlign w:val="subscript"/>
          <w:lang w:val="fr-FR"/>
        </w:rPr>
        <w:t>comp</w:t>
      </w:r>
      <w:r w:rsidRPr="00217C61">
        <w:rPr>
          <w:lang w:val="fr-FR"/>
        </w:rPr>
        <w:t xml:space="preserve"> </w:t>
      </w:r>
      <w:r w:rsidRPr="00217C61">
        <w:rPr>
          <w:vertAlign w:val="subscript"/>
          <w:lang w:val="fr-FR"/>
        </w:rPr>
        <w:t>congél</w:t>
      </w:r>
      <w:r w:rsidRPr="00217C61">
        <w:rPr>
          <w:lang w:val="fr-FR"/>
        </w:rPr>
        <w:t xml:space="preserve"> est la surface </w:t>
      </w:r>
      <w:r w:rsidRPr="00217C61">
        <w:rPr>
          <w:b/>
          <w:lang w:val="fr-FR"/>
        </w:rPr>
        <w:t>intérieure</w:t>
      </w:r>
      <w:r w:rsidRPr="00217C61">
        <w:rPr>
          <w:lang w:val="fr-FR"/>
        </w:rPr>
        <w:t xml:space="preserve"> du compartiment de congélation compte tenu des positions convenues pour les cloisons</w:t>
      </w:r>
      <w:r>
        <w:rPr>
          <w:lang w:val="fr-FR"/>
        </w:rPr>
        <w:t> </w:t>
      </w:r>
      <w:r w:rsidRPr="00217C61">
        <w:rPr>
          <w:lang w:val="fr-FR"/>
        </w:rPr>
        <w:t>;</w:t>
      </w:r>
    </w:p>
    <w:p w14:paraId="7B44AD61" w14:textId="48289F45" w:rsidR="00217C61" w:rsidRPr="00217C61" w:rsidRDefault="00217C61" w:rsidP="00217C61">
      <w:pPr>
        <w:pStyle w:val="SingleTxtG"/>
        <w:ind w:left="1701"/>
      </w:pPr>
      <w:r w:rsidRPr="00217C61">
        <w:rPr>
          <w:lang w:val="fr-FR"/>
        </w:rPr>
        <w:t>S</w:t>
      </w:r>
      <w:r w:rsidRPr="00217C61">
        <w:rPr>
          <w:vertAlign w:val="subscript"/>
          <w:lang w:val="fr-FR"/>
        </w:rPr>
        <w:t>cloison</w:t>
      </w:r>
      <w:r w:rsidRPr="00217C61">
        <w:rPr>
          <w:lang w:val="fr-FR"/>
        </w:rPr>
        <w:t xml:space="preserve"> représente les surfaces des cloisons</w:t>
      </w:r>
      <w:r>
        <w:rPr>
          <w:lang w:val="fr-FR"/>
        </w:rPr>
        <w:t> </w:t>
      </w:r>
      <w:r w:rsidRPr="00217C61">
        <w:rPr>
          <w:lang w:val="fr-FR"/>
        </w:rPr>
        <w:t>;</w:t>
      </w:r>
    </w:p>
    <w:p w14:paraId="14BC4FB6" w14:textId="4101F783" w:rsidR="00217C61" w:rsidRPr="00217C61" w:rsidRDefault="00217C61" w:rsidP="00217C61">
      <w:pPr>
        <w:pStyle w:val="SingleTxtG"/>
        <w:ind w:left="1701"/>
      </w:pPr>
      <w:r w:rsidRPr="00217C61">
        <w:rPr>
          <w:lang w:val="fr-FR"/>
        </w:rPr>
        <w:t>K</w:t>
      </w:r>
      <w:r w:rsidRPr="00217C61">
        <w:rPr>
          <w:vertAlign w:val="subscript"/>
          <w:lang w:val="fr-FR"/>
        </w:rPr>
        <w:t>cloison</w:t>
      </w:r>
      <w:r w:rsidRPr="00217C61">
        <w:rPr>
          <w:lang w:val="fr-FR"/>
        </w:rPr>
        <w:t xml:space="preserve"> représente les coefficients K des cloisons, indiqués dans le tableau présenté au paragraphe</w:t>
      </w:r>
      <w:r>
        <w:rPr>
          <w:lang w:val="fr-FR"/>
        </w:rPr>
        <w:t> </w:t>
      </w:r>
      <w:r w:rsidRPr="00217C61">
        <w:rPr>
          <w:lang w:val="fr-FR"/>
        </w:rPr>
        <w:t>7.3.7</w:t>
      </w:r>
      <w:r>
        <w:rPr>
          <w:lang w:val="fr-FR"/>
        </w:rPr>
        <w:t> </w:t>
      </w:r>
      <w:r w:rsidRPr="00217C61">
        <w:rPr>
          <w:lang w:val="fr-FR"/>
        </w:rPr>
        <w:t>;</w:t>
      </w:r>
    </w:p>
    <w:p w14:paraId="174ABB22" w14:textId="7A862D2F" w:rsidR="00217C61" w:rsidRPr="00217C61" w:rsidRDefault="00217C61" w:rsidP="00217C61">
      <w:pPr>
        <w:pStyle w:val="SingleTxtG"/>
        <w:ind w:left="1701"/>
      </w:pPr>
      <w:r w:rsidRPr="00217C61">
        <w:rPr>
          <w:lang w:val="fr-FR"/>
        </w:rPr>
        <w:lastRenderedPageBreak/>
        <w:t>ΔT</w:t>
      </w:r>
      <w:r w:rsidRPr="00217C61">
        <w:rPr>
          <w:vertAlign w:val="subscript"/>
          <w:lang w:val="fr-FR"/>
        </w:rPr>
        <w:t>ext</w:t>
      </w:r>
      <w:r w:rsidRPr="00217C61">
        <w:rPr>
          <w:lang w:val="fr-FR"/>
        </w:rPr>
        <w:t xml:space="preserve"> est l’écart de température entre le compartiment de congélation et l’extérieur de la caisse (+30</w:t>
      </w:r>
      <w:r>
        <w:rPr>
          <w:lang w:val="fr-FR"/>
        </w:rPr>
        <w:t> </w:t>
      </w:r>
      <w:r w:rsidRPr="00217C61">
        <w:rPr>
          <w:lang w:val="fr-FR"/>
        </w:rPr>
        <w:t>°C)</w:t>
      </w:r>
      <w:r>
        <w:rPr>
          <w:lang w:val="fr-FR"/>
        </w:rPr>
        <w:t> </w:t>
      </w:r>
      <w:r w:rsidRPr="00217C61">
        <w:rPr>
          <w:lang w:val="fr-FR"/>
        </w:rPr>
        <w:t>;</w:t>
      </w:r>
    </w:p>
    <w:p w14:paraId="28F9BBCE" w14:textId="77777777" w:rsidR="00217C61" w:rsidRPr="00217C61" w:rsidRDefault="00217C61" w:rsidP="00217C61">
      <w:pPr>
        <w:pStyle w:val="SingleTxtG"/>
        <w:ind w:left="1701"/>
        <w:rPr>
          <w:color w:val="000000"/>
        </w:rPr>
      </w:pPr>
      <w:r w:rsidRPr="00217C61">
        <w:rPr>
          <w:lang w:val="fr-FR"/>
        </w:rPr>
        <w:t>ΔT</w:t>
      </w:r>
      <w:r w:rsidRPr="00217C61">
        <w:rPr>
          <w:vertAlign w:val="subscript"/>
          <w:lang w:val="fr-FR"/>
        </w:rPr>
        <w:t>int</w:t>
      </w:r>
      <w:r w:rsidRPr="00217C61">
        <w:rPr>
          <w:lang w:val="fr-FR"/>
        </w:rPr>
        <w:t xml:space="preserve"> est l’écart de température entre le compartiment de congélation et d’autres compartiments. Pour les compartiments non conditionnés, une température de +20 °C doit être maintenue aux fins des calculs.</w:t>
      </w:r>
    </w:p>
    <w:p w14:paraId="0FA68702" w14:textId="0C2C1B72" w:rsidR="00217C61" w:rsidRPr="00217C61" w:rsidRDefault="00217C61" w:rsidP="00217C61">
      <w:pPr>
        <w:pStyle w:val="HChG"/>
      </w:pPr>
      <w:r>
        <w:rPr>
          <w:lang w:val="fr-FR"/>
        </w:rPr>
        <w:tab/>
      </w:r>
      <w:r w:rsidRPr="00217C61">
        <w:rPr>
          <w:lang w:val="fr-FR"/>
        </w:rPr>
        <w:t>II.</w:t>
      </w:r>
      <w:r w:rsidRPr="00217C61">
        <w:rPr>
          <w:lang w:val="fr-FR"/>
        </w:rPr>
        <w:tab/>
        <w:t>Incidences</w:t>
      </w:r>
    </w:p>
    <w:tbl>
      <w:tblPr>
        <w:tblW w:w="7370" w:type="dxa"/>
        <w:tblInd w:w="1134" w:type="dxa"/>
        <w:tblLayout w:type="fixed"/>
        <w:tblCellMar>
          <w:left w:w="0" w:type="dxa"/>
          <w:right w:w="0" w:type="dxa"/>
        </w:tblCellMar>
        <w:tblLook w:val="01E0" w:firstRow="1" w:lastRow="1" w:firstColumn="1" w:lastColumn="1" w:noHBand="0" w:noVBand="0"/>
      </w:tblPr>
      <w:tblGrid>
        <w:gridCol w:w="1750"/>
        <w:gridCol w:w="5620"/>
      </w:tblGrid>
      <w:tr w:rsidR="00217C61" w:rsidRPr="00217C61" w14:paraId="162416A8" w14:textId="77777777" w:rsidTr="00217C61">
        <w:tc>
          <w:tcPr>
            <w:tcW w:w="1750" w:type="dxa"/>
            <w:shd w:val="clear" w:color="auto" w:fill="auto"/>
            <w:vAlign w:val="bottom"/>
          </w:tcPr>
          <w:p w14:paraId="33F63FBD" w14:textId="342EBCE6" w:rsidR="00217C61" w:rsidRPr="00217C61" w:rsidRDefault="00217C61" w:rsidP="00217C61">
            <w:pPr>
              <w:spacing w:before="40" w:after="120"/>
              <w:ind w:right="113"/>
              <w:rPr>
                <w:lang w:val="fr-FR"/>
              </w:rPr>
            </w:pPr>
            <w:r w:rsidRPr="00217C61">
              <w:rPr>
                <w:lang w:val="fr-FR"/>
              </w:rPr>
              <w:t>Coût</w:t>
            </w:r>
            <w:r w:rsidRPr="00217C61">
              <w:rPr>
                <w:lang w:val="fr-FR"/>
              </w:rPr>
              <w:t> </w:t>
            </w:r>
            <w:r w:rsidRPr="00217C61">
              <w:rPr>
                <w:lang w:val="fr-FR"/>
              </w:rPr>
              <w:t>:</w:t>
            </w:r>
          </w:p>
          <w:p w14:paraId="3350B13B" w14:textId="3FCA121D" w:rsidR="00217C61" w:rsidRPr="00217C61" w:rsidRDefault="00217C61" w:rsidP="00217C61">
            <w:pPr>
              <w:spacing w:before="40" w:after="120"/>
              <w:ind w:right="113"/>
              <w:rPr>
                <w:lang w:val="fr-FR"/>
              </w:rPr>
            </w:pPr>
            <w:r w:rsidRPr="00217C61">
              <w:rPr>
                <w:lang w:val="fr-FR"/>
              </w:rPr>
              <w:t>Environnement</w:t>
            </w:r>
            <w:r w:rsidRPr="00217C61">
              <w:rPr>
                <w:lang w:val="fr-FR"/>
              </w:rPr>
              <w:t> </w:t>
            </w:r>
            <w:r w:rsidRPr="00217C61">
              <w:rPr>
                <w:lang w:val="fr-FR"/>
              </w:rPr>
              <w:t>:</w:t>
            </w:r>
          </w:p>
        </w:tc>
        <w:tc>
          <w:tcPr>
            <w:tcW w:w="5620" w:type="dxa"/>
            <w:shd w:val="clear" w:color="auto" w:fill="auto"/>
            <w:vAlign w:val="bottom"/>
          </w:tcPr>
          <w:p w14:paraId="304C299A" w14:textId="77777777" w:rsidR="00217C61" w:rsidRPr="00217C61" w:rsidRDefault="00217C61" w:rsidP="00217C61">
            <w:pPr>
              <w:spacing w:before="40" w:after="120"/>
              <w:ind w:right="113"/>
              <w:rPr>
                <w:lang w:val="fr-FR"/>
              </w:rPr>
            </w:pPr>
            <w:r w:rsidRPr="00217C61">
              <w:rPr>
                <w:lang w:val="fr-FR"/>
              </w:rPr>
              <w:t>Aucune incidence.</w:t>
            </w:r>
          </w:p>
          <w:p w14:paraId="39ABFD60" w14:textId="74E4D448" w:rsidR="00217C61" w:rsidRPr="00217C61" w:rsidRDefault="00217C61" w:rsidP="00217C61">
            <w:pPr>
              <w:spacing w:before="40" w:after="120"/>
              <w:ind w:right="113"/>
              <w:rPr>
                <w:lang w:val="fr-FR"/>
              </w:rPr>
            </w:pPr>
            <w:r w:rsidRPr="00217C61">
              <w:rPr>
                <w:lang w:val="fr-FR"/>
              </w:rPr>
              <w:t>Aucune incidence.</w:t>
            </w:r>
          </w:p>
        </w:tc>
      </w:tr>
      <w:tr w:rsidR="00217C61" w:rsidRPr="00217C61" w14:paraId="72C2C906" w14:textId="77777777" w:rsidTr="00217C61">
        <w:tc>
          <w:tcPr>
            <w:tcW w:w="1750" w:type="dxa"/>
            <w:shd w:val="clear" w:color="auto" w:fill="auto"/>
          </w:tcPr>
          <w:p w14:paraId="7F4B89B9" w14:textId="2FCFFDE5" w:rsidR="00217C61" w:rsidRPr="00217C61" w:rsidRDefault="00217C61" w:rsidP="00217C61">
            <w:pPr>
              <w:spacing w:before="40" w:after="120"/>
              <w:ind w:right="113"/>
              <w:rPr>
                <w:lang w:val="fr-FR"/>
              </w:rPr>
            </w:pPr>
            <w:r w:rsidRPr="00217C61">
              <w:rPr>
                <w:lang w:val="fr-FR"/>
              </w:rPr>
              <w:t>Faisabilité</w:t>
            </w:r>
            <w:r>
              <w:rPr>
                <w:lang w:val="fr-FR"/>
              </w:rPr>
              <w:t> </w:t>
            </w:r>
            <w:r w:rsidRPr="00217C61">
              <w:rPr>
                <w:lang w:val="fr-FR"/>
              </w:rPr>
              <w:t>:</w:t>
            </w:r>
          </w:p>
        </w:tc>
        <w:tc>
          <w:tcPr>
            <w:tcW w:w="5620" w:type="dxa"/>
            <w:shd w:val="clear" w:color="auto" w:fill="auto"/>
          </w:tcPr>
          <w:p w14:paraId="0FEF84B5" w14:textId="614B8CE5" w:rsidR="00217C61" w:rsidRPr="00217C61" w:rsidRDefault="00217C61" w:rsidP="00217C61">
            <w:pPr>
              <w:spacing w:before="40" w:after="120"/>
              <w:ind w:right="113"/>
              <w:rPr>
                <w:lang w:val="fr-FR"/>
              </w:rPr>
            </w:pPr>
            <w:r w:rsidRPr="00217C61">
              <w:rPr>
                <w:lang w:val="fr-FR"/>
              </w:rPr>
              <w:t>L’amendement proposé peut aisément être introduit dans l’ATP. Il</w:t>
            </w:r>
            <w:r>
              <w:rPr>
                <w:lang w:val="fr-FR"/>
              </w:rPr>
              <w:t> </w:t>
            </w:r>
            <w:r w:rsidRPr="00217C61">
              <w:rPr>
                <w:lang w:val="fr-FR"/>
              </w:rPr>
              <w:t>n’est pas nécessaire de prévoir une période de transition.</w:t>
            </w:r>
          </w:p>
        </w:tc>
      </w:tr>
      <w:tr w:rsidR="00217C61" w:rsidRPr="00217C61" w14:paraId="1542F76C" w14:textId="77777777" w:rsidTr="00217C61">
        <w:tc>
          <w:tcPr>
            <w:tcW w:w="1750" w:type="dxa"/>
            <w:shd w:val="clear" w:color="auto" w:fill="auto"/>
          </w:tcPr>
          <w:p w14:paraId="0185E927" w14:textId="559DF49B" w:rsidR="00217C61" w:rsidRPr="00217C61" w:rsidRDefault="00217C61" w:rsidP="00217C61">
            <w:pPr>
              <w:spacing w:before="40" w:after="120"/>
              <w:ind w:right="113"/>
            </w:pPr>
            <w:r w:rsidRPr="00217C61">
              <w:rPr>
                <w:lang w:val="fr-FR"/>
              </w:rPr>
              <w:t>Applicabilité</w:t>
            </w:r>
            <w:r>
              <w:rPr>
                <w:lang w:val="fr-FR"/>
              </w:rPr>
              <w:t> </w:t>
            </w:r>
            <w:r w:rsidRPr="00217C61">
              <w:rPr>
                <w:lang w:val="fr-FR"/>
              </w:rPr>
              <w:t>:</w:t>
            </w:r>
          </w:p>
        </w:tc>
        <w:tc>
          <w:tcPr>
            <w:tcW w:w="5620" w:type="dxa"/>
            <w:shd w:val="clear" w:color="auto" w:fill="auto"/>
          </w:tcPr>
          <w:p w14:paraId="094E208A" w14:textId="77777777" w:rsidR="00217C61" w:rsidRPr="00217C61" w:rsidRDefault="00217C61" w:rsidP="00217C61">
            <w:pPr>
              <w:spacing w:before="40" w:after="120"/>
              <w:ind w:right="113"/>
            </w:pPr>
            <w:r w:rsidRPr="00217C61">
              <w:rPr>
                <w:lang w:val="fr-FR"/>
              </w:rPr>
              <w:t>Aucune difficulté n’est à prévoir.</w:t>
            </w:r>
          </w:p>
        </w:tc>
      </w:tr>
    </w:tbl>
    <w:p w14:paraId="19297C1F" w14:textId="1E3EE18A" w:rsidR="00217C61" w:rsidRPr="00217C61" w:rsidRDefault="00217C61" w:rsidP="00217C61">
      <w:pPr>
        <w:pStyle w:val="SingleTxtG"/>
        <w:spacing w:before="240" w:after="0"/>
        <w:jc w:val="center"/>
        <w:rPr>
          <w:u w:val="single"/>
        </w:rPr>
      </w:pPr>
      <w:r>
        <w:rPr>
          <w:u w:val="single"/>
        </w:rPr>
        <w:tab/>
      </w:r>
      <w:r>
        <w:rPr>
          <w:u w:val="single"/>
        </w:rPr>
        <w:tab/>
      </w:r>
      <w:r>
        <w:rPr>
          <w:u w:val="single"/>
        </w:rPr>
        <w:tab/>
      </w:r>
      <w:r>
        <w:rPr>
          <w:u w:val="single"/>
        </w:rPr>
        <w:tab/>
      </w:r>
    </w:p>
    <w:sectPr w:rsidR="00217C61" w:rsidRPr="00217C61" w:rsidSect="00217C6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07641" w14:textId="77777777" w:rsidR="006361E1" w:rsidRDefault="006361E1" w:rsidP="00F95C08">
      <w:pPr>
        <w:spacing w:line="240" w:lineRule="auto"/>
      </w:pPr>
    </w:p>
  </w:endnote>
  <w:endnote w:type="continuationSeparator" w:id="0">
    <w:p w14:paraId="09CE4C35" w14:textId="77777777" w:rsidR="006361E1" w:rsidRPr="00AC3823" w:rsidRDefault="006361E1" w:rsidP="00AC3823">
      <w:pPr>
        <w:pStyle w:val="Pieddepage"/>
      </w:pPr>
    </w:p>
  </w:endnote>
  <w:endnote w:type="continuationNotice" w:id="1">
    <w:p w14:paraId="38918689" w14:textId="77777777" w:rsidR="006361E1" w:rsidRDefault="006361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F6751" w14:textId="6C0815E4" w:rsidR="00217C61" w:rsidRPr="00217C61" w:rsidRDefault="00217C61" w:rsidP="00217C61">
    <w:pPr>
      <w:pStyle w:val="Pieddepage"/>
      <w:tabs>
        <w:tab w:val="right" w:pos="9638"/>
      </w:tabs>
    </w:pPr>
    <w:r w:rsidRPr="00217C61">
      <w:rPr>
        <w:b/>
        <w:sz w:val="18"/>
      </w:rPr>
      <w:fldChar w:fldCharType="begin"/>
    </w:r>
    <w:r w:rsidRPr="00217C61">
      <w:rPr>
        <w:b/>
        <w:sz w:val="18"/>
      </w:rPr>
      <w:instrText xml:space="preserve"> PAGE  \* MERGEFORMAT </w:instrText>
    </w:r>
    <w:r w:rsidRPr="00217C61">
      <w:rPr>
        <w:b/>
        <w:sz w:val="18"/>
      </w:rPr>
      <w:fldChar w:fldCharType="separate"/>
    </w:r>
    <w:r w:rsidRPr="00217C61">
      <w:rPr>
        <w:b/>
        <w:noProof/>
        <w:sz w:val="18"/>
      </w:rPr>
      <w:t>2</w:t>
    </w:r>
    <w:r w:rsidRPr="00217C61">
      <w:rPr>
        <w:b/>
        <w:sz w:val="18"/>
      </w:rPr>
      <w:fldChar w:fldCharType="end"/>
    </w:r>
    <w:r>
      <w:rPr>
        <w:b/>
        <w:sz w:val="18"/>
      </w:rPr>
      <w:tab/>
    </w:r>
    <w:r>
      <w:t>GE.21-10980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DFF57" w14:textId="62812CD9" w:rsidR="00217C61" w:rsidRPr="00217C61" w:rsidRDefault="00217C61" w:rsidP="00217C61">
    <w:pPr>
      <w:pStyle w:val="Pieddepage"/>
      <w:tabs>
        <w:tab w:val="right" w:pos="9638"/>
      </w:tabs>
      <w:rPr>
        <w:b/>
        <w:sz w:val="18"/>
      </w:rPr>
    </w:pPr>
    <w:r>
      <w:t>GE.21-10980</w:t>
    </w:r>
    <w:r>
      <w:tab/>
    </w:r>
    <w:r w:rsidRPr="00217C61">
      <w:rPr>
        <w:b/>
        <w:sz w:val="18"/>
      </w:rPr>
      <w:fldChar w:fldCharType="begin"/>
    </w:r>
    <w:r w:rsidRPr="00217C61">
      <w:rPr>
        <w:b/>
        <w:sz w:val="18"/>
      </w:rPr>
      <w:instrText xml:space="preserve"> PAGE  \* MERGEFORMAT </w:instrText>
    </w:r>
    <w:r w:rsidRPr="00217C61">
      <w:rPr>
        <w:b/>
        <w:sz w:val="18"/>
      </w:rPr>
      <w:fldChar w:fldCharType="separate"/>
    </w:r>
    <w:r w:rsidRPr="00217C61">
      <w:rPr>
        <w:b/>
        <w:noProof/>
        <w:sz w:val="18"/>
      </w:rPr>
      <w:t>3</w:t>
    </w:r>
    <w:r w:rsidRPr="00217C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0F205" w14:textId="2DE4453B" w:rsidR="007F20FA" w:rsidRPr="00217C61" w:rsidRDefault="00217C61" w:rsidP="00217C6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DE95EE6" wp14:editId="228735B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21-10980  (F)</w:t>
    </w:r>
    <w:r>
      <w:rPr>
        <w:noProof/>
        <w:sz w:val="20"/>
      </w:rPr>
      <w:drawing>
        <wp:anchor distT="0" distB="0" distL="114300" distR="114300" simplePos="0" relativeHeight="251660288" behindDoc="0" locked="0" layoutInCell="1" allowOverlap="1" wp14:anchorId="43715A7C" wp14:editId="2B5D633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030921    030921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6DDAD" w14:textId="77777777" w:rsidR="006361E1" w:rsidRPr="00AC3823" w:rsidRDefault="006361E1" w:rsidP="00AC3823">
      <w:pPr>
        <w:pStyle w:val="Pieddepage"/>
        <w:tabs>
          <w:tab w:val="right" w:pos="2155"/>
        </w:tabs>
        <w:spacing w:after="80" w:line="240" w:lineRule="atLeast"/>
        <w:ind w:left="680"/>
        <w:rPr>
          <w:u w:val="single"/>
        </w:rPr>
      </w:pPr>
      <w:r>
        <w:rPr>
          <w:u w:val="single"/>
        </w:rPr>
        <w:tab/>
      </w:r>
    </w:p>
  </w:footnote>
  <w:footnote w:type="continuationSeparator" w:id="0">
    <w:p w14:paraId="7359D848" w14:textId="77777777" w:rsidR="006361E1" w:rsidRPr="00AC3823" w:rsidRDefault="006361E1" w:rsidP="00AC3823">
      <w:pPr>
        <w:pStyle w:val="Pieddepage"/>
        <w:tabs>
          <w:tab w:val="right" w:pos="2155"/>
        </w:tabs>
        <w:spacing w:after="80" w:line="240" w:lineRule="atLeast"/>
        <w:ind w:left="680"/>
        <w:rPr>
          <w:u w:val="single"/>
        </w:rPr>
      </w:pPr>
      <w:r>
        <w:rPr>
          <w:u w:val="single"/>
        </w:rPr>
        <w:tab/>
      </w:r>
    </w:p>
  </w:footnote>
  <w:footnote w:type="continuationNotice" w:id="1">
    <w:p w14:paraId="05CF5700" w14:textId="77777777" w:rsidR="006361E1" w:rsidRPr="00AC3823" w:rsidRDefault="006361E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2397D" w14:textId="47BFFBF3" w:rsidR="00217C61" w:rsidRPr="00217C61" w:rsidRDefault="00217C61">
    <w:pPr>
      <w:pStyle w:val="En-tte"/>
    </w:pPr>
    <w:fldSimple w:instr=" TITLE  \* MERGEFORMAT ">
      <w:r w:rsidR="00AA046F">
        <w:t>ECE/TRANS/WP.11/2021/16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83FB" w14:textId="24F7421B" w:rsidR="00217C61" w:rsidRPr="00217C61" w:rsidRDefault="00217C61" w:rsidP="00217C61">
    <w:pPr>
      <w:pStyle w:val="En-tte"/>
      <w:jc w:val="right"/>
    </w:pPr>
    <w:fldSimple w:instr=" TITLE  \* MERGEFORMAT ">
      <w:r w:rsidR="00AA046F">
        <w:t>ECE/TRANS/WP.11/2021/16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E1"/>
    <w:rsid w:val="00017F94"/>
    <w:rsid w:val="00023842"/>
    <w:rsid w:val="000334F9"/>
    <w:rsid w:val="00045FEB"/>
    <w:rsid w:val="0007796D"/>
    <w:rsid w:val="000B7790"/>
    <w:rsid w:val="000F795F"/>
    <w:rsid w:val="00111F2F"/>
    <w:rsid w:val="0014365E"/>
    <w:rsid w:val="00143C66"/>
    <w:rsid w:val="00176178"/>
    <w:rsid w:val="001F525A"/>
    <w:rsid w:val="00201148"/>
    <w:rsid w:val="00217C61"/>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361E1"/>
    <w:rsid w:val="006C59E9"/>
    <w:rsid w:val="0071601D"/>
    <w:rsid w:val="007A62E6"/>
    <w:rsid w:val="007F20FA"/>
    <w:rsid w:val="0080684C"/>
    <w:rsid w:val="00871C75"/>
    <w:rsid w:val="008776DC"/>
    <w:rsid w:val="008D5EF9"/>
    <w:rsid w:val="00923F65"/>
    <w:rsid w:val="009322ED"/>
    <w:rsid w:val="009446C0"/>
    <w:rsid w:val="009705C8"/>
    <w:rsid w:val="009C1CF4"/>
    <w:rsid w:val="009F6B74"/>
    <w:rsid w:val="00A3029F"/>
    <w:rsid w:val="00A30353"/>
    <w:rsid w:val="00AA046F"/>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A7D0A1"/>
  <w15:docId w15:val="{D1EDF5D7-FF8D-4C5A-A65E-C191989D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217C6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780</Words>
  <Characters>4267</Characters>
  <Application>Microsoft Office Word</Application>
  <DocSecurity>0</DocSecurity>
  <Lines>101</Lines>
  <Paragraphs>68</Paragraphs>
  <ScaleCrop>false</ScaleCrop>
  <HeadingPairs>
    <vt:vector size="2" baseType="variant">
      <vt:variant>
        <vt:lpstr>Titre</vt:lpstr>
      </vt:variant>
      <vt:variant>
        <vt:i4>1</vt:i4>
      </vt:variant>
    </vt:vector>
  </HeadingPairs>
  <TitlesOfParts>
    <vt:vector size="1" baseType="lpstr">
      <vt:lpstr>ECE/TRANS/WP.11/2021/16</vt:lpstr>
    </vt:vector>
  </TitlesOfParts>
  <Company>DCM</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ECE/TRANS/WP.11/2021/16</dc:title>
  <dc:subject/>
  <dc:creator>Marie DESCHAMPS</dc:creator>
  <cp:keywords/>
  <cp:lastModifiedBy>Marie DESCHAMPS</cp:lastModifiedBy>
  <cp:revision>2</cp:revision>
  <cp:lastPrinted>2014-05-14T10:59:00Z</cp:lastPrinted>
  <dcterms:created xsi:type="dcterms:W3CDTF">2021-09-03T15:03:00Z</dcterms:created>
  <dcterms:modified xsi:type="dcterms:W3CDTF">2021-09-03T15:03:00Z</dcterms:modified>
</cp:coreProperties>
</file>