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5C33AF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1740DA" w14:textId="77777777" w:rsidR="00F35BAF" w:rsidRPr="00DB58B5" w:rsidRDefault="00F35BAF" w:rsidP="009C5DF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1FAA4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D48A1C" w14:textId="132401AC" w:rsidR="00F35BAF" w:rsidRPr="00DB58B5" w:rsidRDefault="009C5DFB" w:rsidP="009C5DFB">
            <w:pPr>
              <w:jc w:val="right"/>
            </w:pPr>
            <w:r w:rsidRPr="009C5DFB">
              <w:rPr>
                <w:sz w:val="40"/>
              </w:rPr>
              <w:t>ECE</w:t>
            </w:r>
            <w:r>
              <w:t>/TRANS/WP.11/2021/14</w:t>
            </w:r>
          </w:p>
        </w:tc>
      </w:tr>
      <w:tr w:rsidR="00F35BAF" w:rsidRPr="00DB58B5" w14:paraId="60C19EF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BA446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F754714" wp14:editId="2134962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DE735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0DCA2A" w14:textId="77777777" w:rsidR="00F35BAF" w:rsidRDefault="009C5DFB" w:rsidP="00C97039">
            <w:pPr>
              <w:spacing w:before="240"/>
            </w:pPr>
            <w:r>
              <w:t>Distr. générale</w:t>
            </w:r>
          </w:p>
          <w:p w14:paraId="0B744F1A" w14:textId="1BD8DB63" w:rsidR="009C5DFB" w:rsidRDefault="009C5DFB" w:rsidP="009C5DFB">
            <w:pPr>
              <w:spacing w:line="240" w:lineRule="exact"/>
            </w:pPr>
            <w:r>
              <w:t>10 août 2021</w:t>
            </w:r>
          </w:p>
          <w:p w14:paraId="098885BD" w14:textId="77777777" w:rsidR="009C5DFB" w:rsidRDefault="009C5DFB" w:rsidP="009C5DFB">
            <w:pPr>
              <w:spacing w:line="240" w:lineRule="exact"/>
            </w:pPr>
            <w:r>
              <w:t>Français</w:t>
            </w:r>
          </w:p>
          <w:p w14:paraId="39FAACBD" w14:textId="67A96A3C" w:rsidR="009C5DFB" w:rsidRPr="00DB58B5" w:rsidRDefault="009C5DFB" w:rsidP="009C5DFB">
            <w:pPr>
              <w:spacing w:line="240" w:lineRule="exact"/>
            </w:pPr>
            <w:r>
              <w:t>Original : anglais</w:t>
            </w:r>
          </w:p>
        </w:tc>
      </w:tr>
    </w:tbl>
    <w:p w14:paraId="7EFCF89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9D9D14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B1CD136" w14:textId="77777777" w:rsidR="009C5DFB" w:rsidRPr="00685843" w:rsidRDefault="009C5DFB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7B92E067" w14:textId="5E202A1B" w:rsidR="009C5DFB" w:rsidRPr="00F30D47" w:rsidRDefault="009C5DFB" w:rsidP="00305801">
      <w:pPr>
        <w:spacing w:before="120"/>
        <w:rPr>
          <w:b/>
        </w:rPr>
      </w:pPr>
      <w:r>
        <w:rPr>
          <w:b/>
        </w:rPr>
        <w:t xml:space="preserve">Soixante-dix-septième </w:t>
      </w:r>
      <w:r w:rsidRPr="00F30D47">
        <w:rPr>
          <w:b/>
        </w:rPr>
        <w:t>session</w:t>
      </w:r>
    </w:p>
    <w:p w14:paraId="4CB7BCD0" w14:textId="703C4AE0" w:rsidR="009C5DFB" w:rsidRDefault="009C5DFB" w:rsidP="00305801">
      <w:r>
        <w:t>Genève, 26-29 octobre 2021</w:t>
      </w:r>
    </w:p>
    <w:p w14:paraId="3FD358E5" w14:textId="2EEC7A98" w:rsidR="009C5DFB" w:rsidRDefault="009C5DFB" w:rsidP="00305801">
      <w:r>
        <w:t>Point 5 b) de l’ordre du jour provisoire</w:t>
      </w:r>
    </w:p>
    <w:p w14:paraId="2CE31E14" w14:textId="72CA3CB7" w:rsidR="009C5DFB" w:rsidRPr="009C5DFB" w:rsidRDefault="009C5DFB" w:rsidP="009C5DFB">
      <w:pPr>
        <w:rPr>
          <w:b/>
          <w:bCs/>
          <w:lang w:val="fr-FR"/>
        </w:rPr>
      </w:pPr>
      <w:r>
        <w:rPr>
          <w:b/>
          <w:bCs/>
          <w:lang w:val="fr-FR"/>
        </w:rPr>
        <w:t>Propositions d’amendements à l’ATP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15761805" w14:textId="4EB6D9D0" w:rsidR="009C5DFB" w:rsidRPr="009C5DFB" w:rsidRDefault="009C5DFB" w:rsidP="009C5DF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d’amendements au paragraphe</w:t>
      </w:r>
      <w:r>
        <w:rPr>
          <w:lang w:val="fr-FR"/>
        </w:rPr>
        <w:t> </w:t>
      </w:r>
      <w:r>
        <w:rPr>
          <w:lang w:val="fr-FR"/>
        </w:rPr>
        <w:t>7.1</w:t>
      </w:r>
      <w:r>
        <w:rPr>
          <w:lang w:val="fr-FR"/>
        </w:rPr>
        <w:t> </w:t>
      </w:r>
      <w:r>
        <w:rPr>
          <w:lang w:val="fr-FR"/>
        </w:rPr>
        <w:t>a) de l’appendice</w:t>
      </w:r>
      <w:r>
        <w:rPr>
          <w:lang w:val="fr-FR"/>
        </w:rPr>
        <w:t> </w:t>
      </w:r>
      <w:r>
        <w:rPr>
          <w:lang w:val="fr-FR"/>
        </w:rPr>
        <w:t>2 de l’annexe</w:t>
      </w:r>
      <w:r>
        <w:rPr>
          <w:lang w:val="fr-FR"/>
        </w:rPr>
        <w:t> </w:t>
      </w:r>
      <w:r>
        <w:rPr>
          <w:lang w:val="fr-FR"/>
        </w:rPr>
        <w:t>1 et à l’appendice</w:t>
      </w:r>
      <w:r>
        <w:rPr>
          <w:lang w:val="fr-FR"/>
        </w:rPr>
        <w:t> </w:t>
      </w:r>
      <w:r>
        <w:rPr>
          <w:lang w:val="fr-FR"/>
        </w:rPr>
        <w:t>4 de l’annexe</w:t>
      </w:r>
      <w:r>
        <w:rPr>
          <w:lang w:val="fr-FR"/>
        </w:rPr>
        <w:t> </w:t>
      </w:r>
      <w:r>
        <w:rPr>
          <w:lang w:val="fr-FR"/>
        </w:rPr>
        <w:t>1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bCs/>
          <w:lang w:val="fr-FR"/>
        </w:rPr>
        <w:t>Définition des engins à compartiments multiples et marques d’identification des engins à températures multiples comportant des compartiments non conditionnés</w:t>
      </w:r>
    </w:p>
    <w:p w14:paraId="0B055E1C" w14:textId="01B1E3C6" w:rsidR="00F9573C" w:rsidRDefault="009C5DFB" w:rsidP="009C5DF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allemand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9C5DFB" w14:paraId="5B8022F1" w14:textId="77777777" w:rsidTr="009C5DFB">
        <w:trPr>
          <w:jc w:val="center"/>
        </w:trPr>
        <w:tc>
          <w:tcPr>
            <w:tcW w:w="9628" w:type="dxa"/>
            <w:shd w:val="clear" w:color="auto" w:fill="auto"/>
          </w:tcPr>
          <w:p w14:paraId="4A55E006" w14:textId="77777777" w:rsidR="009C5DFB" w:rsidRDefault="009C5DF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C5DFB" w14:paraId="0E86838A" w14:textId="77777777" w:rsidTr="009C5DFB">
        <w:trPr>
          <w:jc w:val="center"/>
        </w:trPr>
        <w:tc>
          <w:tcPr>
            <w:tcW w:w="9628" w:type="dxa"/>
            <w:shd w:val="clear" w:color="auto" w:fill="auto"/>
          </w:tcPr>
          <w:p w14:paraId="662415A8" w14:textId="513F047D" w:rsidR="009C5DFB" w:rsidRPr="00674DC7" w:rsidRDefault="009C5DFB" w:rsidP="009C5DFB">
            <w:pPr>
              <w:spacing w:after="120"/>
              <w:ind w:left="3402" w:right="1134" w:hanging="2268"/>
            </w:pPr>
            <w:r>
              <w:rPr>
                <w:b/>
                <w:bCs/>
                <w:lang w:val="fr-FR"/>
              </w:rPr>
              <w:t>Résumé analytique</w:t>
            </w:r>
            <w:r w:rsidRPr="009C5DFB">
              <w:rPr>
                <w:lang w:val="fr-FR"/>
              </w:rPr>
              <w:t> </w:t>
            </w:r>
            <w:r w:rsidRPr="009C5DFB">
              <w:rPr>
                <w:lang w:val="fr-FR"/>
              </w:rPr>
              <w:t>:</w:t>
            </w:r>
            <w:r>
              <w:rPr>
                <w:lang w:val="fr-FR"/>
              </w:rPr>
              <w:tab/>
              <w:t>Préciser la définition des engins à compartiments multiples et leurs marques d’identification</w:t>
            </w:r>
          </w:p>
          <w:p w14:paraId="115FBB21" w14:textId="0A345C3F" w:rsidR="009C5DFB" w:rsidRPr="00674DC7" w:rsidRDefault="009C5DFB" w:rsidP="009C5DFB">
            <w:pPr>
              <w:spacing w:after="120"/>
              <w:ind w:left="3402" w:right="1134" w:hanging="2268"/>
            </w:pPr>
            <w:r>
              <w:rPr>
                <w:b/>
                <w:bCs/>
                <w:lang w:val="fr-FR"/>
              </w:rPr>
              <w:t>Mesure à prendre</w:t>
            </w:r>
            <w:r w:rsidRPr="009C5DFB">
              <w:rPr>
                <w:lang w:val="fr-FR"/>
              </w:rPr>
              <w:t> </w:t>
            </w:r>
            <w:r w:rsidRPr="009C5DFB">
              <w:rPr>
                <w:lang w:val="fr-FR"/>
              </w:rPr>
              <w:t>: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Modifier le paragraphe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7.1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a) de l’appendice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 de l’annexe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1 et l’appendice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4 de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l’annexe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1</w:t>
            </w:r>
          </w:p>
          <w:p w14:paraId="5DC94C71" w14:textId="4BA51A8D" w:rsidR="009C5DFB" w:rsidRDefault="009C5DFB" w:rsidP="009C5DFB">
            <w:pPr>
              <w:spacing w:after="120"/>
              <w:ind w:left="3402" w:right="1134" w:hanging="2268"/>
            </w:pPr>
            <w:r>
              <w:rPr>
                <w:b/>
                <w:bCs/>
                <w:lang w:val="fr-FR"/>
              </w:rPr>
              <w:t>Documents connexes</w:t>
            </w:r>
            <w:r w:rsidRPr="009C5DFB">
              <w:rPr>
                <w:lang w:val="fr-FR"/>
              </w:rPr>
              <w:t> </w:t>
            </w:r>
            <w:r w:rsidRPr="009C5DFB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Aucun</w:t>
            </w:r>
          </w:p>
        </w:tc>
      </w:tr>
      <w:tr w:rsidR="009C5DFB" w14:paraId="5E71452B" w14:textId="77777777" w:rsidTr="009C5DFB">
        <w:trPr>
          <w:jc w:val="center"/>
        </w:trPr>
        <w:tc>
          <w:tcPr>
            <w:tcW w:w="9628" w:type="dxa"/>
            <w:shd w:val="clear" w:color="auto" w:fill="auto"/>
          </w:tcPr>
          <w:p w14:paraId="5970FB9B" w14:textId="77777777" w:rsidR="009C5DFB" w:rsidRDefault="009C5DFB"/>
        </w:tc>
      </w:tr>
    </w:tbl>
    <w:p w14:paraId="1330634C" w14:textId="77777777" w:rsidR="009C5DFB" w:rsidRDefault="009C5DFB" w:rsidP="009C5DF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425E0C49" w14:textId="055D288B" w:rsidR="009C5DFB" w:rsidRPr="00674DC7" w:rsidRDefault="009C5DFB" w:rsidP="009C5DFB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La définition actuelle des engins à compartiments multiples semble ne pas être suffisamment claire. Dans plusieurs débats, les groupes frigorifiques à température unique dotés d’une cloison transversale ont été mentionnés comme étant des engins à températures multiples. Il n’était sans doute pas prévu que la définition puisse donner lieu à une telle interprétation.</w:t>
      </w:r>
    </w:p>
    <w:p w14:paraId="2D0A36C5" w14:textId="77777777" w:rsidR="009C5DFB" w:rsidRPr="00674DC7" w:rsidRDefault="009C5DFB" w:rsidP="009C5DFB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« À températures multiples » signifie que la température peut être contrôlée activement dans au moins deux compartiments de l’engin.</w:t>
      </w:r>
    </w:p>
    <w:p w14:paraId="7BE3ECC5" w14:textId="1D7BD145" w:rsidR="009C5DFB" w:rsidRPr="00674DC7" w:rsidRDefault="009C5DFB" w:rsidP="009C5DFB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Par conséquent, la définition des engins à compartiments multiples figurant dans l’appendice</w:t>
      </w:r>
      <w:r>
        <w:rPr>
          <w:lang w:val="fr-FR"/>
        </w:rPr>
        <w:t> </w:t>
      </w:r>
      <w:r>
        <w:rPr>
          <w:lang w:val="fr-FR"/>
        </w:rPr>
        <w:t>2 de l’annexe</w:t>
      </w:r>
      <w:r>
        <w:rPr>
          <w:lang w:val="fr-FR"/>
        </w:rPr>
        <w:t> </w:t>
      </w:r>
      <w:r>
        <w:rPr>
          <w:lang w:val="fr-FR"/>
        </w:rPr>
        <w:t>1 et la description des marques d’identification dans l’appendice</w:t>
      </w:r>
      <w:r>
        <w:rPr>
          <w:lang w:val="fr-FR"/>
        </w:rPr>
        <w:t> </w:t>
      </w:r>
      <w:r>
        <w:rPr>
          <w:lang w:val="fr-FR"/>
        </w:rPr>
        <w:t>4 de l’annexe</w:t>
      </w:r>
      <w:r>
        <w:rPr>
          <w:lang w:val="fr-FR"/>
        </w:rPr>
        <w:t> </w:t>
      </w:r>
      <w:r>
        <w:rPr>
          <w:lang w:val="fr-FR"/>
        </w:rPr>
        <w:t>1 devraient être modifiées comme proposé.</w:t>
      </w:r>
    </w:p>
    <w:p w14:paraId="71FF2D29" w14:textId="3217FEBD" w:rsidR="009C5DFB" w:rsidRPr="00674DC7" w:rsidRDefault="009C5DFB" w:rsidP="009C5DFB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 d’amendement</w:t>
      </w:r>
    </w:p>
    <w:p w14:paraId="657477CD" w14:textId="333A2470" w:rsidR="009C5DFB" w:rsidRPr="00674DC7" w:rsidRDefault="009C5DFB" w:rsidP="009C5DFB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Modifier le paragraphe</w:t>
      </w:r>
      <w:r>
        <w:rPr>
          <w:lang w:val="fr-FR"/>
        </w:rPr>
        <w:t> </w:t>
      </w:r>
      <w:r>
        <w:rPr>
          <w:lang w:val="fr-FR"/>
        </w:rPr>
        <w:t>7.1</w:t>
      </w:r>
      <w:r>
        <w:rPr>
          <w:lang w:val="fr-FR"/>
        </w:rPr>
        <w:t> </w:t>
      </w:r>
      <w:r>
        <w:rPr>
          <w:lang w:val="fr-FR"/>
        </w:rPr>
        <w:t>a) de l’appendice</w:t>
      </w:r>
      <w:r>
        <w:rPr>
          <w:lang w:val="fr-FR"/>
        </w:rPr>
        <w:t> </w:t>
      </w:r>
      <w:r>
        <w:rPr>
          <w:lang w:val="fr-FR"/>
        </w:rPr>
        <w:t>2 de l’annexe</w:t>
      </w:r>
      <w:r>
        <w:rPr>
          <w:lang w:val="fr-FR"/>
        </w:rPr>
        <w:t> </w:t>
      </w:r>
      <w:r>
        <w:rPr>
          <w:lang w:val="fr-FR"/>
        </w:rPr>
        <w:t>1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024E1B1" w14:textId="61E91777" w:rsidR="009C5DFB" w:rsidRPr="00674DC7" w:rsidRDefault="009C5DFB" w:rsidP="009C5DFB">
      <w:pPr>
        <w:pStyle w:val="SingleTxtG"/>
      </w:pPr>
      <w:r>
        <w:rPr>
          <w:lang w:val="fr-FR"/>
        </w:rPr>
        <w:t>« a)</w:t>
      </w:r>
      <w:r>
        <w:rPr>
          <w:lang w:val="fr-FR"/>
        </w:rPr>
        <w:tab/>
        <w:t>Engin à compartiments multiples</w:t>
      </w:r>
      <w:r>
        <w:rPr>
          <w:lang w:val="fr-FR"/>
        </w:rPr>
        <w:t> </w:t>
      </w:r>
      <w:r>
        <w:rPr>
          <w:lang w:val="fr-FR"/>
        </w:rPr>
        <w:t xml:space="preserve">: engin comportant deux compartiments isothermes ou plus dont les températures sont différentes </w:t>
      </w:r>
      <w:r w:rsidRPr="00674DC7">
        <w:rPr>
          <w:b/>
          <w:lang w:val="fr-FR"/>
        </w:rPr>
        <w:t>et</w:t>
      </w:r>
      <w:r>
        <w:rPr>
          <w:lang w:val="fr-FR"/>
        </w:rPr>
        <w:t xml:space="preserve"> </w:t>
      </w:r>
      <w:r>
        <w:rPr>
          <w:b/>
          <w:lang w:val="fr-FR"/>
        </w:rPr>
        <w:t>équipé d’un groupe frigorifique à</w:t>
      </w:r>
      <w:r>
        <w:rPr>
          <w:b/>
          <w:lang w:val="fr-FR"/>
        </w:rPr>
        <w:t> </w:t>
      </w:r>
      <w:r>
        <w:rPr>
          <w:b/>
          <w:lang w:val="fr-FR"/>
        </w:rPr>
        <w:t>températures multiples</w:t>
      </w:r>
      <w:r>
        <w:rPr>
          <w:b/>
          <w:lang w:val="fr-FR"/>
        </w:rPr>
        <w:t> </w:t>
      </w:r>
      <w:r>
        <w:rPr>
          <w:lang w:val="fr-FR"/>
        </w:rPr>
        <w:t>; ».</w:t>
      </w:r>
    </w:p>
    <w:p w14:paraId="61F3248E" w14:textId="58E8149A" w:rsidR="009C5DFB" w:rsidRPr="00674DC7" w:rsidRDefault="009C5DFB" w:rsidP="009C5DFB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Modifier l’appendice</w:t>
      </w:r>
      <w:r>
        <w:rPr>
          <w:lang w:val="fr-FR"/>
        </w:rPr>
        <w:t> </w:t>
      </w:r>
      <w:r>
        <w:rPr>
          <w:lang w:val="fr-FR"/>
        </w:rPr>
        <w:t>4 de l’annexe</w:t>
      </w:r>
      <w:r>
        <w:rPr>
          <w:lang w:val="fr-FR"/>
        </w:rPr>
        <w:t> </w:t>
      </w:r>
      <w:r>
        <w:rPr>
          <w:lang w:val="fr-FR"/>
        </w:rPr>
        <w:t>1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7CE52F2" w14:textId="650AD6E0" w:rsidR="009C5DFB" w:rsidRPr="00674DC7" w:rsidRDefault="009C5DFB" w:rsidP="009C5DFB">
      <w:pPr>
        <w:pStyle w:val="SingleTxtG"/>
      </w:pPr>
      <w:r>
        <w:rPr>
          <w:lang w:val="fr-FR"/>
        </w:rPr>
        <w:t>« Dans le cas d’un engin à températures multiples divisé en deux compartiments, le marquage apposé sur l’engin est composé des marques d’identification de chaque compartiment (par</w:t>
      </w:r>
      <w:r>
        <w:rPr>
          <w:lang w:val="fr-FR"/>
        </w:rPr>
        <w:t> </w:t>
      </w:r>
      <w:r>
        <w:rPr>
          <w:lang w:val="fr-FR"/>
        </w:rPr>
        <w:t>exemple</w:t>
      </w:r>
      <w:r>
        <w:rPr>
          <w:lang w:val="fr-FR"/>
        </w:rPr>
        <w:t> </w:t>
      </w:r>
      <w:r>
        <w:rPr>
          <w:lang w:val="fr-FR"/>
        </w:rPr>
        <w:t>: FRC-FRA) en commençant par le compartiment situé sur la partie avant ou sur la gauche de l’engin</w:t>
      </w:r>
      <w:r>
        <w:rPr>
          <w:lang w:val="fr-FR"/>
        </w:rPr>
        <w:t> </w:t>
      </w:r>
      <w:r>
        <w:rPr>
          <w:lang w:val="fr-FR"/>
        </w:rPr>
        <w:t>;</w:t>
      </w:r>
    </w:p>
    <w:p w14:paraId="5150F550" w14:textId="2D5910F3" w:rsidR="009C5DFB" w:rsidRPr="00674DC7" w:rsidRDefault="009C5DFB" w:rsidP="009C5DFB">
      <w:pPr>
        <w:pStyle w:val="SingleTxtG"/>
        <w:rPr>
          <w:color w:val="010101"/>
        </w:rPr>
      </w:pPr>
      <w:r>
        <w:rPr>
          <w:lang w:val="fr-FR"/>
        </w:rPr>
        <w:t xml:space="preserve">Dans le cas </w:t>
      </w:r>
      <w:r>
        <w:rPr>
          <w:strike/>
          <w:lang w:val="fr-FR"/>
        </w:rPr>
        <w:t>de tout autre</w:t>
      </w:r>
      <w:r>
        <w:rPr>
          <w:lang w:val="fr-FR"/>
        </w:rPr>
        <w:t xml:space="preserve"> </w:t>
      </w:r>
      <w:r>
        <w:rPr>
          <w:b/>
          <w:lang w:val="fr-FR"/>
        </w:rPr>
        <w:t xml:space="preserve">d’un </w:t>
      </w:r>
      <w:r>
        <w:rPr>
          <w:lang w:val="fr-FR"/>
        </w:rPr>
        <w:t xml:space="preserve">engin à températures multiples </w:t>
      </w:r>
      <w:r w:rsidRPr="00674DC7">
        <w:rPr>
          <w:b/>
          <w:lang w:val="fr-FR"/>
        </w:rPr>
        <w:t xml:space="preserve">comportant trois compartiments ou plus, </w:t>
      </w:r>
      <w:r>
        <w:rPr>
          <w:b/>
          <w:lang w:val="fr-FR"/>
        </w:rPr>
        <w:t>même lorsque l’un ou plusieurs de ces compartiments n’est pas conditionné</w:t>
      </w:r>
      <w:r>
        <w:rPr>
          <w:lang w:val="fr-FR"/>
        </w:rPr>
        <w:t>, la marque d’identification ne doit être choisie que pour la classe ATP la plus élevée, c’est-à-dire la classe permettant la plus grande différence entre la température intérieure et la température extérieure, et doit être complétée par la lettre</w:t>
      </w:r>
      <w:r>
        <w:rPr>
          <w:lang w:val="fr-FR"/>
        </w:rPr>
        <w:t> </w:t>
      </w:r>
      <w:r>
        <w:rPr>
          <w:lang w:val="fr-FR"/>
        </w:rPr>
        <w:t>M (par exemple</w:t>
      </w:r>
      <w:r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> </w:t>
      </w:r>
      <w:r>
        <w:rPr>
          <w:lang w:val="fr-FR"/>
        </w:rPr>
        <w:t>FRC-M). ».</w:t>
      </w:r>
    </w:p>
    <w:p w14:paraId="29DFF161" w14:textId="5A6B3F92" w:rsidR="009C5DFB" w:rsidRPr="00A039BF" w:rsidRDefault="009C5DFB" w:rsidP="009C5DFB">
      <w:pPr>
        <w:pStyle w:val="HChG"/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Incidences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5732"/>
      </w:tblGrid>
      <w:tr w:rsidR="009C5DFB" w:rsidRPr="009C5DFB" w14:paraId="53D80324" w14:textId="77777777" w:rsidTr="009C5DFB">
        <w:tc>
          <w:tcPr>
            <w:tcW w:w="1638" w:type="dxa"/>
            <w:shd w:val="clear" w:color="auto" w:fill="auto"/>
            <w:vAlign w:val="bottom"/>
          </w:tcPr>
          <w:p w14:paraId="1A82F9A5" w14:textId="283947B6" w:rsidR="009C5DFB" w:rsidRPr="009C5DFB" w:rsidRDefault="009C5DFB" w:rsidP="009C5DFB">
            <w:pPr>
              <w:spacing w:before="40" w:after="120"/>
              <w:ind w:right="113"/>
              <w:rPr>
                <w:lang w:val="fr-FR"/>
              </w:rPr>
            </w:pPr>
            <w:r w:rsidRPr="009C5DFB">
              <w:rPr>
                <w:lang w:val="fr-FR"/>
              </w:rPr>
              <w:t>Coût</w:t>
            </w:r>
            <w:r>
              <w:rPr>
                <w:lang w:val="fr-FR"/>
              </w:rPr>
              <w:t> </w:t>
            </w:r>
            <w:r w:rsidRPr="009C5DFB">
              <w:rPr>
                <w:lang w:val="fr-FR"/>
              </w:rPr>
              <w:t>:</w:t>
            </w:r>
          </w:p>
        </w:tc>
        <w:tc>
          <w:tcPr>
            <w:tcW w:w="5732" w:type="dxa"/>
            <w:shd w:val="clear" w:color="auto" w:fill="auto"/>
            <w:vAlign w:val="bottom"/>
          </w:tcPr>
          <w:p w14:paraId="2DAFFF0B" w14:textId="3880CC03" w:rsidR="009C5DFB" w:rsidRPr="009C5DFB" w:rsidRDefault="009C5DFB" w:rsidP="009C5DFB">
            <w:pPr>
              <w:spacing w:before="40" w:after="120"/>
              <w:ind w:right="113"/>
              <w:rPr>
                <w:lang w:val="fr-FR"/>
              </w:rPr>
            </w:pPr>
            <w:r w:rsidRPr="009C5DFB">
              <w:rPr>
                <w:lang w:val="fr-FR"/>
              </w:rPr>
              <w:t>Aucune incidence.</w:t>
            </w:r>
          </w:p>
        </w:tc>
      </w:tr>
      <w:tr w:rsidR="009C5DFB" w:rsidRPr="009C5DFB" w14:paraId="1EB944A4" w14:textId="77777777" w:rsidTr="009C5DFB">
        <w:tc>
          <w:tcPr>
            <w:tcW w:w="1638" w:type="dxa"/>
            <w:shd w:val="clear" w:color="auto" w:fill="auto"/>
            <w:vAlign w:val="bottom"/>
          </w:tcPr>
          <w:p w14:paraId="5196E5F3" w14:textId="7CB7E79E" w:rsidR="009C5DFB" w:rsidRPr="009C5DFB" w:rsidRDefault="009C5DFB" w:rsidP="009C5DFB">
            <w:pPr>
              <w:spacing w:before="40" w:after="120"/>
              <w:ind w:right="113"/>
              <w:rPr>
                <w:lang w:val="fr-FR"/>
              </w:rPr>
            </w:pPr>
            <w:r w:rsidRPr="009C5DFB">
              <w:rPr>
                <w:lang w:val="fr-FR"/>
              </w:rPr>
              <w:t>Environnement</w:t>
            </w:r>
            <w:r>
              <w:rPr>
                <w:iCs/>
                <w:sz w:val="16"/>
                <w:lang w:val="fr-FR"/>
              </w:rPr>
              <w:t> :</w:t>
            </w:r>
          </w:p>
        </w:tc>
        <w:tc>
          <w:tcPr>
            <w:tcW w:w="5732" w:type="dxa"/>
            <w:shd w:val="clear" w:color="auto" w:fill="auto"/>
            <w:vAlign w:val="bottom"/>
          </w:tcPr>
          <w:p w14:paraId="25007C9C" w14:textId="128F8DA2" w:rsidR="009C5DFB" w:rsidRPr="009C5DFB" w:rsidRDefault="009C5DFB" w:rsidP="009C5DFB">
            <w:pPr>
              <w:spacing w:before="40" w:after="120"/>
              <w:ind w:right="113"/>
              <w:rPr>
                <w:lang w:val="fr-FR"/>
              </w:rPr>
            </w:pPr>
            <w:r w:rsidRPr="009C5DFB">
              <w:rPr>
                <w:lang w:val="fr-FR"/>
              </w:rPr>
              <w:t>Aucune incidence.</w:t>
            </w:r>
          </w:p>
        </w:tc>
      </w:tr>
      <w:tr w:rsidR="009C5DFB" w:rsidRPr="009C5DFB" w14:paraId="05ACA7F8" w14:textId="77777777" w:rsidTr="009C5DFB">
        <w:tc>
          <w:tcPr>
            <w:tcW w:w="1638" w:type="dxa"/>
            <w:shd w:val="clear" w:color="auto" w:fill="auto"/>
          </w:tcPr>
          <w:p w14:paraId="58AD0252" w14:textId="51139814" w:rsidR="009C5DFB" w:rsidRPr="009C5DFB" w:rsidRDefault="009C5DFB" w:rsidP="009C5DFB">
            <w:pPr>
              <w:spacing w:before="40" w:after="120"/>
              <w:ind w:right="113"/>
            </w:pPr>
            <w:r w:rsidRPr="009C5DFB">
              <w:rPr>
                <w:lang w:val="fr-FR"/>
              </w:rPr>
              <w:t>Faisabilité</w:t>
            </w:r>
            <w:r>
              <w:rPr>
                <w:lang w:val="fr-FR"/>
              </w:rPr>
              <w:t> </w:t>
            </w:r>
            <w:r w:rsidRPr="009C5DFB">
              <w:rPr>
                <w:lang w:val="fr-FR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003ED637" w14:textId="3D85D1E1" w:rsidR="009C5DFB" w:rsidRPr="009C5DFB" w:rsidRDefault="009C5DFB" w:rsidP="009C5DFB">
            <w:pPr>
              <w:spacing w:before="40" w:after="120"/>
              <w:ind w:right="113"/>
            </w:pPr>
            <w:r w:rsidRPr="009C5DFB">
              <w:rPr>
                <w:lang w:val="fr-FR"/>
              </w:rPr>
              <w:t>L’amendement proposé peut aisément être introduit dans l’ATP. Il</w:t>
            </w:r>
            <w:r>
              <w:rPr>
                <w:lang w:val="fr-FR"/>
              </w:rPr>
              <w:t> </w:t>
            </w:r>
            <w:r w:rsidRPr="009C5DFB">
              <w:rPr>
                <w:lang w:val="fr-FR"/>
              </w:rPr>
              <w:t>n’est pas nécessaire de prévoir une période de transition.</w:t>
            </w:r>
          </w:p>
        </w:tc>
      </w:tr>
      <w:tr w:rsidR="009C5DFB" w:rsidRPr="009C5DFB" w14:paraId="2D6719D6" w14:textId="77777777" w:rsidTr="009C5DFB">
        <w:tc>
          <w:tcPr>
            <w:tcW w:w="1638" w:type="dxa"/>
            <w:shd w:val="clear" w:color="auto" w:fill="auto"/>
          </w:tcPr>
          <w:p w14:paraId="4BB47A1C" w14:textId="77BE1D2A" w:rsidR="009C5DFB" w:rsidRPr="009C5DFB" w:rsidRDefault="009C5DFB" w:rsidP="009C5DFB">
            <w:pPr>
              <w:spacing w:before="40" w:after="120"/>
              <w:ind w:right="113"/>
            </w:pPr>
            <w:r w:rsidRPr="009C5DFB">
              <w:rPr>
                <w:lang w:val="fr-FR"/>
              </w:rPr>
              <w:t>Applicabilité</w:t>
            </w:r>
            <w:r>
              <w:rPr>
                <w:lang w:val="fr-FR"/>
              </w:rPr>
              <w:t> </w:t>
            </w:r>
            <w:r w:rsidRPr="009C5DFB">
              <w:rPr>
                <w:lang w:val="fr-FR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14:paraId="65BD620A" w14:textId="77777777" w:rsidR="009C5DFB" w:rsidRPr="009C5DFB" w:rsidRDefault="009C5DFB" w:rsidP="009C5DFB">
            <w:pPr>
              <w:spacing w:before="40" w:after="120"/>
              <w:ind w:right="113"/>
            </w:pPr>
            <w:r w:rsidRPr="009C5DFB">
              <w:rPr>
                <w:lang w:val="fr-FR"/>
              </w:rPr>
              <w:t>Aucune difficulté n’est à prévoir.</w:t>
            </w:r>
          </w:p>
        </w:tc>
      </w:tr>
    </w:tbl>
    <w:p w14:paraId="207BD98E" w14:textId="6EB23143" w:rsidR="009C5DFB" w:rsidRPr="009C5DFB" w:rsidRDefault="009C5DFB" w:rsidP="009C5D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5DFB" w:rsidRPr="009C5DFB" w:rsidSect="009C5D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2C4B" w14:textId="77777777" w:rsidR="001D3CE3" w:rsidRDefault="001D3CE3" w:rsidP="00F95C08">
      <w:pPr>
        <w:spacing w:line="240" w:lineRule="auto"/>
      </w:pPr>
    </w:p>
  </w:endnote>
  <w:endnote w:type="continuationSeparator" w:id="0">
    <w:p w14:paraId="380DAD97" w14:textId="77777777" w:rsidR="001D3CE3" w:rsidRPr="00AC3823" w:rsidRDefault="001D3CE3" w:rsidP="00AC3823">
      <w:pPr>
        <w:pStyle w:val="Pieddepage"/>
      </w:pPr>
    </w:p>
  </w:endnote>
  <w:endnote w:type="continuationNotice" w:id="1">
    <w:p w14:paraId="662A2D09" w14:textId="77777777" w:rsidR="001D3CE3" w:rsidRDefault="001D3C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DD3C" w14:textId="5C2B7C09" w:rsidR="009C5DFB" w:rsidRPr="009C5DFB" w:rsidRDefault="009C5DFB" w:rsidP="009C5DFB">
    <w:pPr>
      <w:pStyle w:val="Pieddepage"/>
      <w:tabs>
        <w:tab w:val="right" w:pos="9638"/>
      </w:tabs>
    </w:pPr>
    <w:r w:rsidRPr="009C5DFB">
      <w:rPr>
        <w:b/>
        <w:sz w:val="18"/>
      </w:rPr>
      <w:fldChar w:fldCharType="begin"/>
    </w:r>
    <w:r w:rsidRPr="009C5DFB">
      <w:rPr>
        <w:b/>
        <w:sz w:val="18"/>
      </w:rPr>
      <w:instrText xml:space="preserve"> PAGE  \* MERGEFORMAT </w:instrText>
    </w:r>
    <w:r w:rsidRPr="009C5DFB">
      <w:rPr>
        <w:b/>
        <w:sz w:val="18"/>
      </w:rPr>
      <w:fldChar w:fldCharType="separate"/>
    </w:r>
    <w:r w:rsidRPr="009C5DFB">
      <w:rPr>
        <w:b/>
        <w:noProof/>
        <w:sz w:val="18"/>
      </w:rPr>
      <w:t>2</w:t>
    </w:r>
    <w:r w:rsidRPr="009C5DFB">
      <w:rPr>
        <w:b/>
        <w:sz w:val="18"/>
      </w:rPr>
      <w:fldChar w:fldCharType="end"/>
    </w:r>
    <w:r>
      <w:rPr>
        <w:b/>
        <w:sz w:val="18"/>
      </w:rPr>
      <w:tab/>
    </w:r>
    <w:r>
      <w:t>GE.21-10974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99A3" w14:textId="00FBB9FE" w:rsidR="009C5DFB" w:rsidRPr="009C5DFB" w:rsidRDefault="009C5DFB" w:rsidP="009C5DFB">
    <w:pPr>
      <w:pStyle w:val="Pieddepage"/>
      <w:tabs>
        <w:tab w:val="right" w:pos="9638"/>
      </w:tabs>
      <w:rPr>
        <w:b/>
        <w:sz w:val="18"/>
      </w:rPr>
    </w:pPr>
    <w:r>
      <w:t>GE.21-10974</w:t>
    </w:r>
    <w:r>
      <w:tab/>
    </w:r>
    <w:r w:rsidRPr="009C5DFB">
      <w:rPr>
        <w:b/>
        <w:sz w:val="18"/>
      </w:rPr>
      <w:fldChar w:fldCharType="begin"/>
    </w:r>
    <w:r w:rsidRPr="009C5DFB">
      <w:rPr>
        <w:b/>
        <w:sz w:val="18"/>
      </w:rPr>
      <w:instrText xml:space="preserve"> PAGE  \* MERGEFORMAT </w:instrText>
    </w:r>
    <w:r w:rsidRPr="009C5DFB">
      <w:rPr>
        <w:b/>
        <w:sz w:val="18"/>
      </w:rPr>
      <w:fldChar w:fldCharType="separate"/>
    </w:r>
    <w:r w:rsidRPr="009C5DFB">
      <w:rPr>
        <w:b/>
        <w:noProof/>
        <w:sz w:val="18"/>
      </w:rPr>
      <w:t>3</w:t>
    </w:r>
    <w:r w:rsidRPr="009C5D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9FB2" w14:textId="110394C2" w:rsidR="007F20FA" w:rsidRPr="009C5DFB" w:rsidRDefault="009C5DFB" w:rsidP="009C5DF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744F04E" wp14:editId="53A2F42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21-10974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8143D98" wp14:editId="4BC7907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030921    060921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1C988" w14:textId="77777777" w:rsidR="001D3CE3" w:rsidRPr="00AC3823" w:rsidRDefault="001D3C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38427D" w14:textId="77777777" w:rsidR="001D3CE3" w:rsidRPr="00AC3823" w:rsidRDefault="001D3C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EF834A" w14:textId="77777777" w:rsidR="001D3CE3" w:rsidRPr="00AC3823" w:rsidRDefault="001D3CE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6232" w14:textId="76895C27" w:rsidR="009C5DFB" w:rsidRPr="009C5DFB" w:rsidRDefault="009C5DFB">
    <w:pPr>
      <w:pStyle w:val="En-tte"/>
    </w:pPr>
    <w:fldSimple w:instr=" TITLE  \* MERGEFORMAT ">
      <w:r w:rsidR="00F35030">
        <w:t>ECE/TRANS/WP.11/2021/14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10705" w14:textId="5C8959AB" w:rsidR="009C5DFB" w:rsidRPr="009C5DFB" w:rsidRDefault="009C5DFB" w:rsidP="009C5DFB">
    <w:pPr>
      <w:pStyle w:val="En-tte"/>
      <w:jc w:val="right"/>
    </w:pPr>
    <w:fldSimple w:instr=" TITLE  \* MERGEFORMAT ">
      <w:r w:rsidR="00F35030">
        <w:t>ECE/TRANS/WP.11/2021/14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E3"/>
    <w:rsid w:val="00017F94"/>
    <w:rsid w:val="00023842"/>
    <w:rsid w:val="000334F9"/>
    <w:rsid w:val="00045FEB"/>
    <w:rsid w:val="0007796D"/>
    <w:rsid w:val="000B7790"/>
    <w:rsid w:val="00111F2F"/>
    <w:rsid w:val="00113FC0"/>
    <w:rsid w:val="0014365E"/>
    <w:rsid w:val="00143C66"/>
    <w:rsid w:val="00176178"/>
    <w:rsid w:val="001D3CE3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C5DFB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030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7706F3"/>
  <w15:docId w15:val="{61F9AB20-FFDE-4A05-85D6-29E7F3D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C5DF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458</Words>
  <Characters>2626</Characters>
  <Application>Microsoft Office Word</Application>
  <DocSecurity>0</DocSecurity>
  <Lines>68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ECE/TRANS/WP.11/2021/14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2021-09-06T09:19:00Z</dcterms:created>
  <dcterms:modified xsi:type="dcterms:W3CDTF">2021-09-06T09:19:00Z</dcterms:modified>
</cp:coreProperties>
</file>