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E22A75F" w14:textId="77777777" w:rsidTr="000D1B89">
        <w:trPr>
          <w:cantSplit/>
          <w:trHeight w:hRule="exact" w:val="851"/>
        </w:trPr>
        <w:tc>
          <w:tcPr>
            <w:tcW w:w="1276" w:type="dxa"/>
            <w:tcBorders>
              <w:bottom w:val="single" w:sz="4" w:space="0" w:color="auto"/>
            </w:tcBorders>
            <w:vAlign w:val="bottom"/>
          </w:tcPr>
          <w:p w14:paraId="45FF461B" w14:textId="77777777" w:rsidR="00717266" w:rsidRDefault="00717266" w:rsidP="000D1B89">
            <w:pPr>
              <w:spacing w:after="80"/>
            </w:pPr>
          </w:p>
        </w:tc>
        <w:tc>
          <w:tcPr>
            <w:tcW w:w="2268" w:type="dxa"/>
            <w:tcBorders>
              <w:bottom w:val="single" w:sz="4" w:space="0" w:color="auto"/>
            </w:tcBorders>
            <w:vAlign w:val="bottom"/>
          </w:tcPr>
          <w:p w14:paraId="6D3141E3"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5B9A604" w14:textId="77777777" w:rsidR="00717266" w:rsidRPr="00D47EEA" w:rsidRDefault="005360E7" w:rsidP="005360E7">
            <w:pPr>
              <w:suppressAutoHyphens w:val="0"/>
              <w:spacing w:after="20"/>
              <w:jc w:val="right"/>
            </w:pPr>
            <w:r w:rsidRPr="005360E7">
              <w:rPr>
                <w:sz w:val="40"/>
              </w:rPr>
              <w:t>ECE</w:t>
            </w:r>
            <w:r>
              <w:t>/TRANS/WP.11/2021/13</w:t>
            </w:r>
          </w:p>
        </w:tc>
      </w:tr>
      <w:tr w:rsidR="00717266" w14:paraId="71C07629" w14:textId="77777777" w:rsidTr="000D1B89">
        <w:trPr>
          <w:cantSplit/>
          <w:trHeight w:hRule="exact" w:val="2835"/>
        </w:trPr>
        <w:tc>
          <w:tcPr>
            <w:tcW w:w="1276" w:type="dxa"/>
            <w:tcBorders>
              <w:top w:val="single" w:sz="4" w:space="0" w:color="auto"/>
              <w:bottom w:val="single" w:sz="12" w:space="0" w:color="auto"/>
            </w:tcBorders>
          </w:tcPr>
          <w:p w14:paraId="627B98AA" w14:textId="77777777" w:rsidR="00717266" w:rsidRDefault="00717266" w:rsidP="000D1B89">
            <w:pPr>
              <w:spacing w:before="120"/>
            </w:pPr>
            <w:r>
              <w:rPr>
                <w:noProof/>
                <w:lang w:val="fr-CH" w:eastAsia="fr-CH"/>
              </w:rPr>
              <w:drawing>
                <wp:inline distT="0" distB="0" distL="0" distR="0" wp14:anchorId="72D1522C" wp14:editId="634A5C6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9C9197"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8A33E9" w14:textId="2B54286C" w:rsidR="00717266" w:rsidRDefault="005360E7" w:rsidP="005360E7">
            <w:pPr>
              <w:spacing w:before="240"/>
            </w:pPr>
            <w:r>
              <w:t>Distr.: General</w:t>
            </w:r>
          </w:p>
          <w:p w14:paraId="07F63442" w14:textId="77777777" w:rsidR="005360E7" w:rsidRDefault="005360E7" w:rsidP="005360E7">
            <w:pPr>
              <w:suppressAutoHyphens w:val="0"/>
            </w:pPr>
            <w:r>
              <w:t>10 August 2021</w:t>
            </w:r>
          </w:p>
          <w:p w14:paraId="0B3F8DD0" w14:textId="007B1E60" w:rsidR="005360E7" w:rsidRDefault="005360E7" w:rsidP="005360E7">
            <w:pPr>
              <w:suppressAutoHyphens w:val="0"/>
            </w:pPr>
            <w:r>
              <w:t>English</w:t>
            </w:r>
          </w:p>
          <w:p w14:paraId="20302321" w14:textId="77777777" w:rsidR="005360E7" w:rsidRDefault="005360E7" w:rsidP="005360E7">
            <w:pPr>
              <w:suppressAutoHyphens w:val="0"/>
            </w:pPr>
            <w:r>
              <w:t>Original: French</w:t>
            </w:r>
          </w:p>
        </w:tc>
      </w:tr>
    </w:tbl>
    <w:p w14:paraId="6FCCA401" w14:textId="77777777" w:rsidR="005360E7" w:rsidRDefault="005360E7">
      <w:pPr>
        <w:spacing w:before="120"/>
        <w:rPr>
          <w:b/>
          <w:sz w:val="28"/>
          <w:szCs w:val="28"/>
        </w:rPr>
      </w:pPr>
      <w:r>
        <w:rPr>
          <w:b/>
          <w:sz w:val="28"/>
          <w:szCs w:val="28"/>
        </w:rPr>
        <w:t>Economic Commission for Europe</w:t>
      </w:r>
    </w:p>
    <w:p w14:paraId="18BC9DA5" w14:textId="77777777" w:rsidR="005360E7" w:rsidRDefault="005360E7">
      <w:pPr>
        <w:spacing w:before="120"/>
        <w:rPr>
          <w:sz w:val="28"/>
          <w:szCs w:val="28"/>
        </w:rPr>
      </w:pPr>
      <w:r>
        <w:rPr>
          <w:sz w:val="28"/>
          <w:szCs w:val="28"/>
        </w:rPr>
        <w:t>Inland Transport Committee</w:t>
      </w:r>
    </w:p>
    <w:p w14:paraId="16F89058" w14:textId="0E9F8678" w:rsidR="005360E7" w:rsidRDefault="005360E7">
      <w:pPr>
        <w:spacing w:before="120"/>
        <w:rPr>
          <w:b/>
          <w:sz w:val="24"/>
          <w:szCs w:val="24"/>
        </w:rPr>
      </w:pPr>
      <w:r>
        <w:rPr>
          <w:b/>
          <w:sz w:val="24"/>
          <w:szCs w:val="24"/>
        </w:rPr>
        <w:t>Working Party on the Transport of Perishable Foodstuffs</w:t>
      </w:r>
    </w:p>
    <w:p w14:paraId="44EDACE1" w14:textId="77777777" w:rsidR="005360E7" w:rsidRPr="00505303" w:rsidRDefault="005360E7" w:rsidP="005360E7">
      <w:pPr>
        <w:spacing w:before="120"/>
        <w:rPr>
          <w:b/>
          <w:bCs/>
          <w:lang w:val="en-US"/>
        </w:rPr>
      </w:pPr>
      <w:r>
        <w:rPr>
          <w:b/>
          <w:bCs/>
        </w:rPr>
        <w:t>Seventy-seventh session</w:t>
      </w:r>
    </w:p>
    <w:p w14:paraId="6D0DFC0B" w14:textId="77777777" w:rsidR="005360E7" w:rsidRPr="00505303" w:rsidRDefault="005360E7" w:rsidP="005360E7">
      <w:pPr>
        <w:rPr>
          <w:lang w:val="en-US"/>
        </w:rPr>
      </w:pPr>
      <w:r>
        <w:t>Geneva, 26–29 October 2021</w:t>
      </w:r>
    </w:p>
    <w:p w14:paraId="4C8B16B3" w14:textId="77777777" w:rsidR="005360E7" w:rsidRPr="00505303" w:rsidRDefault="005360E7" w:rsidP="005360E7">
      <w:pPr>
        <w:pStyle w:val="Standard"/>
        <w:tabs>
          <w:tab w:val="center" w:pos="4819"/>
        </w:tabs>
        <w:overflowPunct w:val="0"/>
        <w:snapToGrid/>
        <w:rPr>
          <w:lang w:val="en-US"/>
        </w:rPr>
      </w:pPr>
      <w:r>
        <w:rPr>
          <w:lang w:val="en-GB"/>
        </w:rPr>
        <w:t>Item 6 of the provisional agenda</w:t>
      </w:r>
    </w:p>
    <w:p w14:paraId="0EF2AFAA" w14:textId="77777777" w:rsidR="005360E7" w:rsidRPr="00505303" w:rsidRDefault="005360E7" w:rsidP="005360E7">
      <w:pPr>
        <w:rPr>
          <w:b/>
          <w:bCs/>
          <w:lang w:val="en-US"/>
        </w:rPr>
      </w:pPr>
      <w:r>
        <w:rPr>
          <w:b/>
          <w:bCs/>
        </w:rPr>
        <w:t>ATP Handbook</w:t>
      </w:r>
    </w:p>
    <w:p w14:paraId="56B9F151" w14:textId="77777777" w:rsidR="005360E7" w:rsidRPr="00505303" w:rsidRDefault="005360E7" w:rsidP="005360E7">
      <w:pPr>
        <w:pStyle w:val="HChG"/>
        <w:rPr>
          <w:lang w:val="en-US"/>
        </w:rPr>
      </w:pPr>
      <w:r>
        <w:tab/>
      </w:r>
      <w:r>
        <w:tab/>
        <w:t>Amendments to the comments to paragraph 4 of Annex 2, Appendix 1 of the ATP Handbook: Location of temperature measurement probes during transport</w:t>
      </w:r>
    </w:p>
    <w:p w14:paraId="366B84A5" w14:textId="77777777" w:rsidR="005360E7" w:rsidRPr="00505303" w:rsidRDefault="005360E7" w:rsidP="005360E7">
      <w:pPr>
        <w:pStyle w:val="H1G"/>
        <w:rPr>
          <w:lang w:val="en-US"/>
        </w:rPr>
      </w:pPr>
      <w:r>
        <w:tab/>
      </w:r>
      <w:r>
        <w:tab/>
      </w:r>
      <w:r>
        <w:tab/>
        <w:t>Transmitted by the Government of France</w:t>
      </w:r>
    </w:p>
    <w:p w14:paraId="55CC8E13" w14:textId="77777777" w:rsidR="005360E7" w:rsidRPr="00505303" w:rsidRDefault="005360E7" w:rsidP="005360E7">
      <w:pPr>
        <w:pStyle w:val="HChG"/>
        <w:rPr>
          <w:lang w:val="en-US"/>
        </w:rPr>
      </w:pPr>
      <w:r>
        <w:tab/>
      </w:r>
      <w:r>
        <w:tab/>
      </w:r>
      <w:r>
        <w:tab/>
        <w:t>Introduction</w:t>
      </w:r>
      <w:bookmarkStart w:id="0" w:name="OLE_LINK2"/>
      <w:bookmarkStart w:id="1" w:name="OLE_LINK1"/>
      <w:bookmarkEnd w:id="0"/>
      <w:bookmarkEnd w:id="1"/>
    </w:p>
    <w:p w14:paraId="23734A77" w14:textId="60043A0C" w:rsidR="005360E7" w:rsidRPr="00505303" w:rsidRDefault="005360E7" w:rsidP="005360E7">
      <w:pPr>
        <w:pStyle w:val="SingleTxtG"/>
        <w:rPr>
          <w:lang w:val="en-US"/>
        </w:rPr>
      </w:pPr>
      <w:r>
        <w:t>1.</w:t>
      </w:r>
      <w:r>
        <w:tab/>
        <w:t xml:space="preserve">The placement of evaporators during construction can produce measurements that are distorted in comparison with </w:t>
      </w:r>
      <w:r w:rsidR="00BC1C9A">
        <w:t>“</w:t>
      </w:r>
      <w:r>
        <w:t>standard</w:t>
      </w:r>
      <w:r w:rsidR="00BC1C9A">
        <w:t>”</w:t>
      </w:r>
      <w:r>
        <w:t xml:space="preserve"> configurations imagined when the locations were defined for the temperature sensors used for temperature control during transport.</w:t>
      </w:r>
    </w:p>
    <w:p w14:paraId="18FC8FB9" w14:textId="77777777" w:rsidR="005360E7" w:rsidRPr="00505303" w:rsidRDefault="005360E7" w:rsidP="005360E7">
      <w:pPr>
        <w:pStyle w:val="SingleTxtG"/>
        <w:rPr>
          <w:lang w:val="en-US"/>
        </w:rPr>
      </w:pPr>
      <w:r>
        <w:t>2.</w:t>
      </w:r>
      <w:r>
        <w:tab/>
        <w:t>The furthest opening is not necessarily opposite the refrigeration unit (there may be a side door, or an evaporator placed in the middle of the body and blowing across it, or located at the rear of the body and blowing towards the front, etc.).</w:t>
      </w:r>
    </w:p>
    <w:p w14:paraId="2C22738A" w14:textId="1B395852" w:rsidR="005360E7" w:rsidRPr="00505303" w:rsidRDefault="005360E7" w:rsidP="005360E7">
      <w:pPr>
        <w:pStyle w:val="SingleTxtG"/>
        <w:rPr>
          <w:lang w:val="en-US"/>
        </w:rPr>
      </w:pPr>
      <w:r>
        <w:t>3.</w:t>
      </w:r>
      <w:r>
        <w:tab/>
        <w:t>If, owing to insufficient air flow, the cargo starts to warm up, the surrounding air layer will continue to be cooled and will stagnate at the bottom. There is thus a risk of delayed detection of the air temperature deviation from the upper part of the body.</w:t>
      </w:r>
    </w:p>
    <w:p w14:paraId="40B74BFA" w14:textId="77777777" w:rsidR="005360E7" w:rsidRPr="00505303" w:rsidRDefault="005360E7" w:rsidP="005360E7">
      <w:pPr>
        <w:pStyle w:val="HChG"/>
        <w:rPr>
          <w:lang w:val="en-US"/>
        </w:rPr>
      </w:pPr>
      <w:r>
        <w:tab/>
        <w:t>I.</w:t>
      </w:r>
      <w:r>
        <w:tab/>
        <w:t>Proposed amendment to the ATP Handbook</w:t>
      </w:r>
    </w:p>
    <w:p w14:paraId="52EA7D4D" w14:textId="2B7D55FB" w:rsidR="005360E7" w:rsidRPr="00D90A8D" w:rsidRDefault="005360E7" w:rsidP="005360E7">
      <w:pPr>
        <w:pStyle w:val="SingleTxtG"/>
        <w:rPr>
          <w:lang w:val="en-US"/>
        </w:rPr>
      </w:pPr>
      <w:r>
        <w:t xml:space="preserve">4. </w:t>
      </w:r>
      <w:r>
        <w:tab/>
        <w:t xml:space="preserve">It is proposed to replace the current sentence: </w:t>
      </w:r>
      <w:r w:rsidR="00BC1C9A">
        <w:t>“</w:t>
      </w:r>
      <w:r>
        <w:rPr>
          <w:i/>
          <w:iCs/>
        </w:rPr>
        <w:t>In the case of upper cold air distribution systems, near (to the left or right of) the bottom of the doorway furthest away from the refrigeration unit;</w:t>
      </w:r>
      <w:r w:rsidR="00BC1C9A">
        <w:t>”</w:t>
      </w:r>
      <w:r>
        <w:t xml:space="preserve"> with:</w:t>
      </w:r>
    </w:p>
    <w:p w14:paraId="08D5D7C1" w14:textId="0BC0D9C6" w:rsidR="005360E7" w:rsidRPr="00505303" w:rsidRDefault="00BC1C9A" w:rsidP="005360E7">
      <w:pPr>
        <w:pStyle w:val="SingleTxtG"/>
        <w:rPr>
          <w:i/>
          <w:iCs/>
          <w:lang w:val="en-US"/>
        </w:rPr>
      </w:pPr>
      <w:r>
        <w:rPr>
          <w:i/>
          <w:iCs/>
        </w:rPr>
        <w:t>“</w:t>
      </w:r>
      <w:r w:rsidR="005360E7">
        <w:rPr>
          <w:i/>
          <w:iCs/>
        </w:rPr>
        <w:t>In the case of upper cold air distribution systems, near (to the left or right of) the corner furthest from the evaporator outlets, at the top (in the upper quarter of the height);</w:t>
      </w:r>
      <w:r>
        <w:rPr>
          <w:i/>
          <w:iCs/>
        </w:rPr>
        <w:t>”</w:t>
      </w:r>
    </w:p>
    <w:p w14:paraId="0EC2C65B" w14:textId="77777777" w:rsidR="005360E7" w:rsidRPr="00505303" w:rsidRDefault="005360E7" w:rsidP="005360E7">
      <w:pPr>
        <w:pStyle w:val="HChG"/>
        <w:rPr>
          <w:lang w:val="en-US"/>
        </w:rPr>
      </w:pPr>
      <w:r>
        <w:tab/>
        <w:t>II.</w:t>
      </w:r>
      <w:r>
        <w:tab/>
        <w:t>Impact</w:t>
      </w:r>
    </w:p>
    <w:p w14:paraId="61405039" w14:textId="46391239" w:rsidR="005360E7" w:rsidRDefault="005360E7" w:rsidP="005360E7">
      <w:pPr>
        <w:pStyle w:val="SingleTxtG"/>
      </w:pPr>
      <w:r>
        <w:t>5.</w:t>
      </w:r>
      <w:r>
        <w:tab/>
        <w:t>This amendment makes the temperature recordings during transport more realistic and thus more reliable.</w:t>
      </w:r>
    </w:p>
    <w:p w14:paraId="5B96C154" w14:textId="4183A063" w:rsidR="005360E7" w:rsidRPr="005360E7" w:rsidRDefault="005360E7" w:rsidP="005360E7">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5360E7" w:rsidRPr="005360E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E533" w14:textId="77777777" w:rsidR="0032791E" w:rsidRPr="00FB1744" w:rsidRDefault="0032791E" w:rsidP="00FB1744">
      <w:pPr>
        <w:pStyle w:val="Footer"/>
      </w:pPr>
    </w:p>
  </w:endnote>
  <w:endnote w:type="continuationSeparator" w:id="0">
    <w:p w14:paraId="77043EB2" w14:textId="77777777" w:rsidR="0032791E" w:rsidRPr="00FB1744" w:rsidRDefault="0032791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75FE" w14:textId="77777777" w:rsidR="005360E7" w:rsidRDefault="005360E7" w:rsidP="005360E7">
    <w:pPr>
      <w:pStyle w:val="Footer"/>
      <w:tabs>
        <w:tab w:val="right" w:pos="9638"/>
      </w:tabs>
    </w:pPr>
    <w:r w:rsidRPr="005360E7">
      <w:rPr>
        <w:b/>
        <w:bCs/>
        <w:sz w:val="18"/>
      </w:rPr>
      <w:fldChar w:fldCharType="begin"/>
    </w:r>
    <w:r w:rsidRPr="005360E7">
      <w:rPr>
        <w:b/>
        <w:bCs/>
        <w:sz w:val="18"/>
      </w:rPr>
      <w:instrText xml:space="preserve"> PAGE  \* MERGEFORMAT </w:instrText>
    </w:r>
    <w:r w:rsidRPr="005360E7">
      <w:rPr>
        <w:b/>
        <w:bCs/>
        <w:sz w:val="18"/>
      </w:rPr>
      <w:fldChar w:fldCharType="separate"/>
    </w:r>
    <w:r w:rsidRPr="005360E7">
      <w:rPr>
        <w:b/>
        <w:bCs/>
        <w:noProof/>
        <w:sz w:val="18"/>
      </w:rPr>
      <w:t>2</w:t>
    </w:r>
    <w:r w:rsidRPr="005360E7">
      <w:rPr>
        <w:b/>
        <w:bCs/>
        <w:sz w:val="18"/>
      </w:rPr>
      <w:fldChar w:fldCharType="end"/>
    </w:r>
    <w:r>
      <w:tab/>
      <w:t>GE.21-10971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CD260" w14:textId="77777777" w:rsidR="005360E7" w:rsidRDefault="005360E7" w:rsidP="005360E7">
    <w:pPr>
      <w:pStyle w:val="Footer"/>
      <w:tabs>
        <w:tab w:val="right" w:pos="9638"/>
      </w:tabs>
    </w:pPr>
    <w:r>
      <w:t>GE.21-10971</w:t>
    </w:r>
    <w:r>
      <w:tab/>
    </w:r>
    <w:r w:rsidRPr="005360E7">
      <w:rPr>
        <w:b/>
        <w:bCs/>
        <w:sz w:val="18"/>
      </w:rPr>
      <w:fldChar w:fldCharType="begin"/>
    </w:r>
    <w:r w:rsidRPr="005360E7">
      <w:rPr>
        <w:b/>
        <w:bCs/>
        <w:sz w:val="18"/>
      </w:rPr>
      <w:instrText xml:space="preserve"> PAGE  \* MERGEFORMAT </w:instrText>
    </w:r>
    <w:r w:rsidRPr="005360E7">
      <w:rPr>
        <w:b/>
        <w:bCs/>
        <w:sz w:val="18"/>
      </w:rPr>
      <w:fldChar w:fldCharType="separate"/>
    </w:r>
    <w:r w:rsidRPr="005360E7">
      <w:rPr>
        <w:b/>
        <w:bCs/>
        <w:noProof/>
        <w:sz w:val="18"/>
      </w:rPr>
      <w:t>3</w:t>
    </w:r>
    <w:r w:rsidRPr="005360E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D124" w14:textId="77777777" w:rsidR="00C448F7" w:rsidRDefault="005360E7">
    <w:pPr>
      <w:pStyle w:val="Footer"/>
      <w:rPr>
        <w:sz w:val="20"/>
      </w:rPr>
    </w:pPr>
    <w:r w:rsidRPr="0027112F">
      <w:rPr>
        <w:noProof/>
        <w:lang w:val="en-US"/>
      </w:rPr>
      <w:drawing>
        <wp:anchor distT="0" distB="0" distL="114300" distR="114300" simplePos="0" relativeHeight="251659264" behindDoc="0" locked="1" layoutInCell="1" allowOverlap="1" wp14:anchorId="743D5141" wp14:editId="6F6313CF">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0920D4" w14:textId="5A963C6B" w:rsidR="005360E7" w:rsidRPr="005360E7" w:rsidRDefault="005360E7" w:rsidP="005360E7">
    <w:pPr>
      <w:pStyle w:val="Footer"/>
      <w:tabs>
        <w:tab w:val="right" w:pos="7370"/>
      </w:tabs>
      <w:rPr>
        <w:sz w:val="20"/>
      </w:rPr>
    </w:pPr>
    <w:r>
      <w:rPr>
        <w:sz w:val="20"/>
      </w:rPr>
      <w:t>GE.21-10971  (E)</w:t>
    </w:r>
    <w:r>
      <w:rPr>
        <w:noProof/>
        <w:sz w:val="20"/>
      </w:rPr>
      <w:drawing>
        <wp:anchor distT="0" distB="0" distL="114300" distR="114300" simplePos="0" relativeHeight="251660288" behindDoc="0" locked="0" layoutInCell="1" allowOverlap="1" wp14:anchorId="46FBED4D" wp14:editId="49CB7B9D">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020921    020921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75266" w14:textId="77777777" w:rsidR="0032791E" w:rsidRPr="00FB1744" w:rsidRDefault="0032791E" w:rsidP="00FB1744">
      <w:pPr>
        <w:tabs>
          <w:tab w:val="right" w:pos="2155"/>
        </w:tabs>
        <w:spacing w:after="80" w:line="240" w:lineRule="auto"/>
        <w:ind w:left="680"/>
      </w:pPr>
      <w:r>
        <w:rPr>
          <w:u w:val="single"/>
        </w:rPr>
        <w:tab/>
      </w:r>
    </w:p>
  </w:footnote>
  <w:footnote w:type="continuationSeparator" w:id="0">
    <w:p w14:paraId="024EB12D" w14:textId="77777777" w:rsidR="0032791E" w:rsidRPr="00FB1744" w:rsidRDefault="0032791E"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B26E" w14:textId="77777777" w:rsidR="005360E7" w:rsidRDefault="005360E7" w:rsidP="005360E7">
    <w:pPr>
      <w:pStyle w:val="Header"/>
    </w:pPr>
    <w:r>
      <w:t>ECE/TRANS/WP.11/2021/13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EC999" w14:textId="77777777" w:rsidR="005360E7" w:rsidRDefault="005360E7" w:rsidP="005360E7">
    <w:pPr>
      <w:pStyle w:val="Header"/>
      <w:jc w:val="right"/>
    </w:pPr>
    <w:r>
      <w:t>ECE/TRANS/WP.11/2021/13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32791E"/>
    <w:rsid w:val="00023609"/>
    <w:rsid w:val="00046E92"/>
    <w:rsid w:val="000D1B89"/>
    <w:rsid w:val="000F6E29"/>
    <w:rsid w:val="001170DC"/>
    <w:rsid w:val="00247E2C"/>
    <w:rsid w:val="002D6C53"/>
    <w:rsid w:val="002F5595"/>
    <w:rsid w:val="0032791E"/>
    <w:rsid w:val="00334F6A"/>
    <w:rsid w:val="00342AC8"/>
    <w:rsid w:val="003B4550"/>
    <w:rsid w:val="0043448D"/>
    <w:rsid w:val="00461253"/>
    <w:rsid w:val="005042C2"/>
    <w:rsid w:val="00506C12"/>
    <w:rsid w:val="005360E7"/>
    <w:rsid w:val="0056599A"/>
    <w:rsid w:val="00585AE1"/>
    <w:rsid w:val="00587690"/>
    <w:rsid w:val="00671529"/>
    <w:rsid w:val="006A5598"/>
    <w:rsid w:val="00717266"/>
    <w:rsid w:val="007268F9"/>
    <w:rsid w:val="007C52B0"/>
    <w:rsid w:val="009411B4"/>
    <w:rsid w:val="009D0139"/>
    <w:rsid w:val="009F5CDC"/>
    <w:rsid w:val="00A429CD"/>
    <w:rsid w:val="00A775CF"/>
    <w:rsid w:val="00AB3C7E"/>
    <w:rsid w:val="00B06045"/>
    <w:rsid w:val="00BC1C9A"/>
    <w:rsid w:val="00C35A27"/>
    <w:rsid w:val="00C448F7"/>
    <w:rsid w:val="00E02C2B"/>
    <w:rsid w:val="00E665C4"/>
    <w:rsid w:val="00E929D6"/>
    <w:rsid w:val="00ED6C48"/>
    <w:rsid w:val="00EF76C5"/>
    <w:rsid w:val="00F65F5D"/>
    <w:rsid w:val="00F86A3A"/>
    <w:rsid w:val="00F9558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87DEF"/>
  <w15:docId w15:val="{D37AA17C-70EF-499A-B512-A5D214F8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customStyle="1" w:styleId="Standard">
    <w:name w:val="Standard"/>
    <w:rsid w:val="005360E7"/>
    <w:pPr>
      <w:suppressAutoHyphens/>
      <w:autoSpaceDN w:val="0"/>
      <w:snapToGrid w:val="0"/>
      <w:spacing w:after="0" w:line="240" w:lineRule="atLeast"/>
    </w:pPr>
    <w:rPr>
      <w:rFonts w:ascii="Times New Roman" w:eastAsia="Times New Roman" w:hAnsi="Times New Roman" w:cs="Times New Roman"/>
      <w:kern w:val="3"/>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1</Pages>
  <Words>296</Words>
  <Characters>1559</Characters>
  <Application>Microsoft Office Word</Application>
  <DocSecurity>0</DocSecurity>
  <Lines>40</Lines>
  <Paragraphs>25</Paragraphs>
  <ScaleCrop>false</ScaleCrop>
  <Company>DCM</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ECE/TRANS/WP.11/2021/13</dc:title>
  <dc:subject>2110971</dc:subject>
  <dc:creator>Brigoli</dc:creator>
  <cp:keywords/>
  <dc:description/>
  <cp:lastModifiedBy>Cristina BRIGOLI</cp:lastModifiedBy>
  <cp:revision>2</cp:revision>
  <dcterms:created xsi:type="dcterms:W3CDTF">2021-09-02T14:33:00Z</dcterms:created>
  <dcterms:modified xsi:type="dcterms:W3CDTF">2021-09-02T14:33:00Z</dcterms:modified>
</cp:coreProperties>
</file>