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55DE3" w14:paraId="57C615E3" w14:textId="77777777" w:rsidTr="00B20551">
        <w:trPr>
          <w:cantSplit/>
          <w:trHeight w:hRule="exact" w:val="851"/>
        </w:trPr>
        <w:tc>
          <w:tcPr>
            <w:tcW w:w="1276" w:type="dxa"/>
            <w:tcBorders>
              <w:bottom w:val="single" w:sz="4" w:space="0" w:color="auto"/>
            </w:tcBorders>
            <w:vAlign w:val="bottom"/>
          </w:tcPr>
          <w:p w14:paraId="2A941949" w14:textId="77777777" w:rsidR="009E6CB7" w:rsidRPr="00755DE3" w:rsidRDefault="009E6CB7" w:rsidP="00B20551">
            <w:pPr>
              <w:spacing w:after="80"/>
            </w:pPr>
            <w:bookmarkStart w:id="0" w:name="_GoBack"/>
            <w:bookmarkEnd w:id="0"/>
          </w:p>
        </w:tc>
        <w:tc>
          <w:tcPr>
            <w:tcW w:w="2268" w:type="dxa"/>
            <w:tcBorders>
              <w:bottom w:val="single" w:sz="4" w:space="0" w:color="auto"/>
            </w:tcBorders>
            <w:vAlign w:val="bottom"/>
          </w:tcPr>
          <w:p w14:paraId="0E9ABE9E" w14:textId="77777777" w:rsidR="009E6CB7" w:rsidRPr="00755DE3" w:rsidRDefault="009E6CB7" w:rsidP="00B20551">
            <w:pPr>
              <w:spacing w:after="80" w:line="300" w:lineRule="exact"/>
              <w:rPr>
                <w:b/>
                <w:sz w:val="24"/>
                <w:szCs w:val="24"/>
              </w:rPr>
            </w:pPr>
            <w:r w:rsidRPr="00755DE3">
              <w:rPr>
                <w:sz w:val="28"/>
                <w:szCs w:val="28"/>
              </w:rPr>
              <w:t>United Nations</w:t>
            </w:r>
          </w:p>
        </w:tc>
        <w:tc>
          <w:tcPr>
            <w:tcW w:w="6095" w:type="dxa"/>
            <w:gridSpan w:val="2"/>
            <w:tcBorders>
              <w:bottom w:val="single" w:sz="4" w:space="0" w:color="auto"/>
            </w:tcBorders>
            <w:vAlign w:val="bottom"/>
          </w:tcPr>
          <w:p w14:paraId="618F769B" w14:textId="0A0154D4" w:rsidR="009E6CB7" w:rsidRPr="00755DE3" w:rsidRDefault="00DF3BB8" w:rsidP="00DF3BB8">
            <w:pPr>
              <w:jc w:val="right"/>
              <w:rPr>
                <w:sz w:val="40"/>
              </w:rPr>
            </w:pPr>
            <w:r w:rsidRPr="00755DE3">
              <w:rPr>
                <w:sz w:val="40"/>
              </w:rPr>
              <w:t>ECE</w:t>
            </w:r>
            <w:r w:rsidRPr="00755DE3">
              <w:t>/CECI/</w:t>
            </w:r>
            <w:r w:rsidR="00F94612" w:rsidRPr="00755DE3">
              <w:t>WP/PPP/</w:t>
            </w:r>
            <w:r w:rsidRPr="00755DE3">
              <w:t>2020/</w:t>
            </w:r>
            <w:r w:rsidR="00FD3EB9" w:rsidRPr="00755DE3">
              <w:t>5</w:t>
            </w:r>
          </w:p>
        </w:tc>
      </w:tr>
      <w:tr w:rsidR="009E6CB7" w:rsidRPr="00755DE3" w14:paraId="7E4E97A1" w14:textId="77777777" w:rsidTr="00B20551">
        <w:trPr>
          <w:cantSplit/>
          <w:trHeight w:hRule="exact" w:val="2835"/>
        </w:trPr>
        <w:tc>
          <w:tcPr>
            <w:tcW w:w="1276" w:type="dxa"/>
            <w:tcBorders>
              <w:top w:val="single" w:sz="4" w:space="0" w:color="auto"/>
              <w:bottom w:val="single" w:sz="12" w:space="0" w:color="auto"/>
            </w:tcBorders>
          </w:tcPr>
          <w:p w14:paraId="65428FC9" w14:textId="77777777" w:rsidR="009E6CB7" w:rsidRPr="00755DE3" w:rsidRDefault="00686A48" w:rsidP="00B20551">
            <w:pPr>
              <w:spacing w:before="120"/>
            </w:pPr>
            <w:r w:rsidRPr="00755DE3">
              <w:rPr>
                <w:noProof/>
                <w:lang w:eastAsia="fr-CH"/>
              </w:rPr>
              <w:drawing>
                <wp:inline distT="0" distB="0" distL="0" distR="0" wp14:anchorId="04BD228C" wp14:editId="66E30C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93088E" w14:textId="77777777" w:rsidR="009E6CB7" w:rsidRPr="00755DE3" w:rsidRDefault="009E6CB7" w:rsidP="00B20551">
            <w:pPr>
              <w:spacing w:before="120" w:line="420" w:lineRule="exact"/>
              <w:rPr>
                <w:sz w:val="40"/>
                <w:szCs w:val="40"/>
              </w:rPr>
            </w:pPr>
            <w:r w:rsidRPr="00755DE3">
              <w:rPr>
                <w:b/>
                <w:sz w:val="40"/>
                <w:szCs w:val="40"/>
              </w:rPr>
              <w:t>Economic and Social Council</w:t>
            </w:r>
          </w:p>
        </w:tc>
        <w:tc>
          <w:tcPr>
            <w:tcW w:w="2835" w:type="dxa"/>
            <w:tcBorders>
              <w:top w:val="single" w:sz="4" w:space="0" w:color="auto"/>
              <w:bottom w:val="single" w:sz="12" w:space="0" w:color="auto"/>
            </w:tcBorders>
          </w:tcPr>
          <w:p w14:paraId="34BC1710" w14:textId="2888FDEB" w:rsidR="009E6CB7" w:rsidRPr="00755DE3" w:rsidRDefault="005F1C09" w:rsidP="00DF3BB8">
            <w:pPr>
              <w:spacing w:before="240" w:line="240" w:lineRule="exact"/>
            </w:pPr>
            <w:r>
              <w:t>10</w:t>
            </w:r>
            <w:r w:rsidR="00DB4D4A">
              <w:t xml:space="preserve"> Novem</w:t>
            </w:r>
            <w:r w:rsidR="00CE6E0A" w:rsidRPr="00A8731C">
              <w:t>ber</w:t>
            </w:r>
            <w:r w:rsidR="00DF3BB8" w:rsidRPr="00A8731C">
              <w:t xml:space="preserve"> 2020</w:t>
            </w:r>
          </w:p>
          <w:p w14:paraId="2ECD94BC" w14:textId="77777777" w:rsidR="00DF3BB8" w:rsidRPr="00755DE3" w:rsidRDefault="00DF3BB8" w:rsidP="00DF3BB8">
            <w:pPr>
              <w:spacing w:line="240" w:lineRule="exact"/>
            </w:pPr>
          </w:p>
          <w:p w14:paraId="1FCFB48F" w14:textId="68F883FA" w:rsidR="00DF3BB8" w:rsidRPr="00755DE3" w:rsidRDefault="0092028B" w:rsidP="0092028B">
            <w:pPr>
              <w:spacing w:line="240" w:lineRule="exact"/>
            </w:pPr>
            <w:r w:rsidRPr="00755DE3">
              <w:t>Original: E</w:t>
            </w:r>
            <w:r w:rsidR="00DF3BB8" w:rsidRPr="00755DE3">
              <w:t>nglish</w:t>
            </w:r>
          </w:p>
        </w:tc>
      </w:tr>
    </w:tbl>
    <w:p w14:paraId="281BF8D8" w14:textId="77777777" w:rsidR="00DF3BB8" w:rsidRPr="00755DE3" w:rsidRDefault="00DF3BB8" w:rsidP="00DF3BB8">
      <w:pPr>
        <w:spacing w:before="120"/>
        <w:rPr>
          <w:b/>
          <w:bCs/>
          <w:sz w:val="28"/>
          <w:szCs w:val="28"/>
        </w:rPr>
      </w:pPr>
      <w:r w:rsidRPr="00755DE3">
        <w:rPr>
          <w:b/>
          <w:bCs/>
          <w:sz w:val="28"/>
          <w:szCs w:val="28"/>
        </w:rPr>
        <w:t>Economic Commission for Europe</w:t>
      </w:r>
    </w:p>
    <w:p w14:paraId="6BA2667D" w14:textId="77777777" w:rsidR="009B2E88" w:rsidRPr="00755DE3" w:rsidRDefault="009B2E88" w:rsidP="009B2E88">
      <w:pPr>
        <w:spacing w:before="120"/>
        <w:rPr>
          <w:sz w:val="28"/>
          <w:szCs w:val="28"/>
          <w:lang w:eastAsia="en-US"/>
        </w:rPr>
      </w:pPr>
      <w:r w:rsidRPr="00755DE3">
        <w:rPr>
          <w:sz w:val="28"/>
          <w:szCs w:val="28"/>
          <w:lang w:eastAsia="en-US"/>
        </w:rPr>
        <w:t>Committee on Innovation, Competitiveness and Public-Private Partnerships</w:t>
      </w:r>
    </w:p>
    <w:p w14:paraId="5042B6F4" w14:textId="77777777" w:rsidR="009B2E88" w:rsidRPr="00755DE3" w:rsidRDefault="009B2E88" w:rsidP="009B2E88">
      <w:pPr>
        <w:spacing w:before="120"/>
        <w:rPr>
          <w:sz w:val="28"/>
          <w:szCs w:val="28"/>
          <w:lang w:eastAsia="en-US"/>
        </w:rPr>
      </w:pPr>
      <w:r w:rsidRPr="00755DE3">
        <w:rPr>
          <w:b/>
          <w:bCs/>
          <w:sz w:val="24"/>
          <w:szCs w:val="24"/>
          <w:lang w:eastAsia="en-US"/>
        </w:rPr>
        <w:t>Working Party on Public-Private Partnerships</w:t>
      </w:r>
    </w:p>
    <w:p w14:paraId="2A719E10" w14:textId="51003118" w:rsidR="009B2E88" w:rsidRPr="00755DE3" w:rsidRDefault="009B2E88" w:rsidP="009B2E88">
      <w:pPr>
        <w:spacing w:before="120"/>
        <w:rPr>
          <w:b/>
          <w:bCs/>
          <w:lang w:eastAsia="en-US"/>
        </w:rPr>
      </w:pPr>
      <w:r w:rsidRPr="00755DE3">
        <w:rPr>
          <w:b/>
          <w:bCs/>
          <w:lang w:eastAsia="en-US"/>
        </w:rPr>
        <w:t>Fourth session</w:t>
      </w:r>
    </w:p>
    <w:p w14:paraId="63C9831C" w14:textId="0D987815" w:rsidR="009B2E88" w:rsidRPr="00755DE3" w:rsidRDefault="009B2E88" w:rsidP="009B2E88">
      <w:pPr>
        <w:rPr>
          <w:lang w:eastAsia="en-US"/>
        </w:rPr>
      </w:pPr>
      <w:r w:rsidRPr="00755DE3">
        <w:rPr>
          <w:lang w:eastAsia="en-US"/>
        </w:rPr>
        <w:t xml:space="preserve">Geneva, </w:t>
      </w:r>
      <w:r w:rsidR="00D44DA6" w:rsidRPr="00755DE3">
        <w:rPr>
          <w:lang w:eastAsia="en-US"/>
        </w:rPr>
        <w:t>1</w:t>
      </w:r>
      <w:r w:rsidRPr="00755DE3">
        <w:rPr>
          <w:lang w:eastAsia="en-US"/>
        </w:rPr>
        <w:t>-</w:t>
      </w:r>
      <w:r w:rsidR="00D44DA6" w:rsidRPr="00755DE3">
        <w:rPr>
          <w:lang w:eastAsia="en-US"/>
        </w:rPr>
        <w:t>2</w:t>
      </w:r>
      <w:r w:rsidRPr="00755DE3">
        <w:rPr>
          <w:lang w:eastAsia="en-US"/>
        </w:rPr>
        <w:t xml:space="preserve"> December 20</w:t>
      </w:r>
      <w:r w:rsidR="00D44DA6" w:rsidRPr="00755DE3">
        <w:rPr>
          <w:lang w:eastAsia="en-US"/>
        </w:rPr>
        <w:t>20</w:t>
      </w:r>
    </w:p>
    <w:p w14:paraId="44B7A4F6" w14:textId="77777777" w:rsidR="009B2E88" w:rsidRPr="00755DE3" w:rsidRDefault="009B2E88" w:rsidP="009B2E88">
      <w:pPr>
        <w:rPr>
          <w:lang w:eastAsia="en-US"/>
        </w:rPr>
      </w:pPr>
      <w:r w:rsidRPr="00755DE3">
        <w:rPr>
          <w:lang w:eastAsia="en-US"/>
        </w:rPr>
        <w:t>Item 4 of the provisional agenda</w:t>
      </w:r>
    </w:p>
    <w:p w14:paraId="54403866" w14:textId="72301738" w:rsidR="009B2E88" w:rsidRPr="00755DE3" w:rsidRDefault="009B2E88" w:rsidP="009B2E88">
      <w:pPr>
        <w:rPr>
          <w:b/>
          <w:bCs/>
          <w:lang w:eastAsia="en-US"/>
        </w:rPr>
      </w:pPr>
      <w:r w:rsidRPr="00755DE3">
        <w:rPr>
          <w:b/>
          <w:bCs/>
          <w:lang w:eastAsia="en-US"/>
        </w:rPr>
        <w:t xml:space="preserve">Review of the work since the </w:t>
      </w:r>
      <w:r w:rsidR="007B6418" w:rsidRPr="00755DE3">
        <w:rPr>
          <w:b/>
          <w:bCs/>
          <w:lang w:eastAsia="en-US"/>
        </w:rPr>
        <w:t>third</w:t>
      </w:r>
      <w:r w:rsidRPr="00755DE3">
        <w:rPr>
          <w:b/>
          <w:bCs/>
          <w:lang w:eastAsia="en-US"/>
        </w:rPr>
        <w:t xml:space="preserve"> session of the Working Party on Public-Private Partnerships </w:t>
      </w:r>
    </w:p>
    <w:p w14:paraId="0F7D5963" w14:textId="6B80DF3D" w:rsidR="00DF3BB8" w:rsidRPr="00755DE3" w:rsidRDefault="009B2E88" w:rsidP="009B2E88">
      <w:r w:rsidRPr="00755DE3">
        <w:rPr>
          <w:b/>
          <w:bCs/>
          <w:lang w:eastAsia="en-US"/>
        </w:rPr>
        <w:t xml:space="preserve">on </w:t>
      </w:r>
      <w:r w:rsidR="007F1C8B" w:rsidRPr="00755DE3">
        <w:rPr>
          <w:b/>
          <w:bCs/>
          <w:lang w:eastAsia="en-US"/>
        </w:rPr>
        <w:t>3</w:t>
      </w:r>
      <w:r w:rsidRPr="00755DE3">
        <w:rPr>
          <w:b/>
          <w:bCs/>
          <w:lang w:eastAsia="en-US"/>
        </w:rPr>
        <w:t>-</w:t>
      </w:r>
      <w:r w:rsidR="007F1C8B" w:rsidRPr="00755DE3">
        <w:rPr>
          <w:b/>
          <w:bCs/>
          <w:lang w:eastAsia="en-US"/>
        </w:rPr>
        <w:t>4</w:t>
      </w:r>
      <w:r w:rsidRPr="00755DE3">
        <w:rPr>
          <w:b/>
          <w:bCs/>
          <w:lang w:eastAsia="en-US"/>
        </w:rPr>
        <w:t xml:space="preserve"> </w:t>
      </w:r>
      <w:r w:rsidR="007B6418" w:rsidRPr="00755DE3">
        <w:rPr>
          <w:b/>
          <w:bCs/>
          <w:lang w:eastAsia="en-US"/>
        </w:rPr>
        <w:t>December</w:t>
      </w:r>
      <w:r w:rsidRPr="00755DE3">
        <w:rPr>
          <w:b/>
          <w:bCs/>
          <w:lang w:eastAsia="en-US"/>
        </w:rPr>
        <w:t xml:space="preserve"> 20</w:t>
      </w:r>
      <w:r w:rsidR="007F1C8B" w:rsidRPr="00755DE3">
        <w:rPr>
          <w:b/>
          <w:bCs/>
          <w:lang w:eastAsia="en-US"/>
        </w:rPr>
        <w:t>19</w:t>
      </w:r>
    </w:p>
    <w:p w14:paraId="56DADCCB" w14:textId="1AAD129E" w:rsidR="00DF3BB8" w:rsidRPr="00755DE3" w:rsidRDefault="007F6F50" w:rsidP="00035C50">
      <w:pPr>
        <w:pStyle w:val="HMG"/>
        <w:rPr>
          <w:sz w:val="32"/>
          <w:szCs w:val="18"/>
        </w:rPr>
      </w:pPr>
      <w:r w:rsidRPr="00755DE3">
        <w:tab/>
      </w:r>
      <w:r w:rsidRPr="00755DE3">
        <w:tab/>
      </w:r>
      <w:r w:rsidR="00035C50" w:rsidRPr="00755DE3">
        <w:rPr>
          <w:sz w:val="32"/>
          <w:szCs w:val="18"/>
        </w:rPr>
        <w:t xml:space="preserve">Guidelines on </w:t>
      </w:r>
      <w:r w:rsidR="00A620ED">
        <w:rPr>
          <w:sz w:val="32"/>
          <w:szCs w:val="18"/>
        </w:rPr>
        <w:t>P</w:t>
      </w:r>
      <w:r w:rsidR="00035C50" w:rsidRPr="00755DE3">
        <w:rPr>
          <w:sz w:val="32"/>
          <w:szCs w:val="18"/>
        </w:rPr>
        <w:t>romoting People-first P</w:t>
      </w:r>
      <w:r w:rsidR="00BD0F50" w:rsidRPr="00755DE3">
        <w:rPr>
          <w:sz w:val="32"/>
          <w:szCs w:val="18"/>
        </w:rPr>
        <w:t>ublic-</w:t>
      </w:r>
      <w:r w:rsidR="00035C50" w:rsidRPr="00755DE3">
        <w:rPr>
          <w:sz w:val="32"/>
          <w:szCs w:val="18"/>
        </w:rPr>
        <w:t>P</w:t>
      </w:r>
      <w:r w:rsidR="00BD0F50" w:rsidRPr="00755DE3">
        <w:rPr>
          <w:sz w:val="32"/>
          <w:szCs w:val="18"/>
        </w:rPr>
        <w:t xml:space="preserve">rivate </w:t>
      </w:r>
      <w:r w:rsidR="00035C50" w:rsidRPr="00755DE3">
        <w:rPr>
          <w:sz w:val="32"/>
          <w:szCs w:val="18"/>
        </w:rPr>
        <w:t>P</w:t>
      </w:r>
      <w:r w:rsidR="00BD0F50" w:rsidRPr="00755DE3">
        <w:rPr>
          <w:sz w:val="32"/>
          <w:szCs w:val="18"/>
        </w:rPr>
        <w:t>artnerships</w:t>
      </w:r>
      <w:r w:rsidR="00035C50" w:rsidRPr="00755DE3">
        <w:rPr>
          <w:sz w:val="32"/>
          <w:szCs w:val="18"/>
        </w:rPr>
        <w:t xml:space="preserve"> Waste-to-Energy Projects for the Circular Economy</w:t>
      </w:r>
    </w:p>
    <w:p w14:paraId="25552992" w14:textId="4E50FF93" w:rsidR="00DF3BB8" w:rsidRPr="00755DE3" w:rsidRDefault="00DF3BB8" w:rsidP="00C02396">
      <w:pPr>
        <w:pStyle w:val="HMG"/>
        <w:rPr>
          <w:sz w:val="24"/>
          <w:szCs w:val="14"/>
        </w:rPr>
      </w:pPr>
      <w:r w:rsidRPr="00755DE3">
        <w:rPr>
          <w:sz w:val="24"/>
          <w:szCs w:val="14"/>
        </w:rPr>
        <w:tab/>
      </w:r>
      <w:r w:rsidRPr="00755DE3">
        <w:rPr>
          <w:sz w:val="24"/>
          <w:szCs w:val="14"/>
        </w:rPr>
        <w:tab/>
        <w:t xml:space="preserve">Note by the </w:t>
      </w:r>
      <w:r w:rsidR="00BD6C74" w:rsidRPr="00755DE3">
        <w:rPr>
          <w:sz w:val="24"/>
          <w:szCs w:val="14"/>
        </w:rPr>
        <w:t>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F3BB8" w:rsidRPr="00755DE3" w14:paraId="60CFF758" w14:textId="77777777" w:rsidTr="002C1D2B">
        <w:trPr>
          <w:jc w:val="center"/>
        </w:trPr>
        <w:tc>
          <w:tcPr>
            <w:tcW w:w="9637" w:type="dxa"/>
            <w:shd w:val="clear" w:color="auto" w:fill="auto"/>
          </w:tcPr>
          <w:p w14:paraId="4F288700" w14:textId="77777777" w:rsidR="00DF3BB8" w:rsidRPr="00755DE3" w:rsidRDefault="00DF3BB8" w:rsidP="002C1D2B">
            <w:pPr>
              <w:spacing w:before="240" w:after="120"/>
              <w:ind w:left="255"/>
              <w:rPr>
                <w:i/>
                <w:sz w:val="24"/>
              </w:rPr>
            </w:pPr>
            <w:r w:rsidRPr="00755DE3">
              <w:rPr>
                <w:i/>
                <w:sz w:val="24"/>
              </w:rPr>
              <w:t>Background</w:t>
            </w:r>
          </w:p>
        </w:tc>
      </w:tr>
      <w:tr w:rsidR="00DF3BB8" w:rsidRPr="00755DE3" w14:paraId="0CEB9D3A" w14:textId="77777777" w:rsidTr="002C1D2B">
        <w:trPr>
          <w:jc w:val="center"/>
        </w:trPr>
        <w:tc>
          <w:tcPr>
            <w:tcW w:w="9637" w:type="dxa"/>
            <w:shd w:val="clear" w:color="auto" w:fill="auto"/>
          </w:tcPr>
          <w:p w14:paraId="40A65A90" w14:textId="77777777" w:rsidR="005C260C" w:rsidRDefault="005C260C" w:rsidP="00A70FB6">
            <w:pPr>
              <w:pStyle w:val="SingleTxtG"/>
            </w:pPr>
            <w:r w:rsidRPr="00755DE3">
              <w:t>The following document</w:t>
            </w:r>
            <w:r w:rsidR="00A66E70">
              <w:t xml:space="preserve"> </w:t>
            </w:r>
            <w:r w:rsidR="00A620ED">
              <w:t xml:space="preserve">is </w:t>
            </w:r>
            <w:r w:rsidR="00A66E70">
              <w:t>based on the mandate</w:t>
            </w:r>
            <w:r w:rsidR="0085664F">
              <w:t xml:space="preserve"> </w:t>
            </w:r>
            <w:r>
              <w:t xml:space="preserve">included in </w:t>
            </w:r>
            <w:r w:rsidRPr="005C260C">
              <w:t>the Intersessional Implementation Plan for 2020-2021 of the Committee on Innovation, Competitiveness and Public-Private Partnerships (ECE/CECI/2020/INF.2)</w:t>
            </w:r>
            <w:r>
              <w:t xml:space="preserve"> </w:t>
            </w:r>
            <w:r w:rsidR="0085664F">
              <w:t xml:space="preserve">and </w:t>
            </w:r>
            <w:r w:rsidR="00A620ED">
              <w:t xml:space="preserve">contributes to </w:t>
            </w:r>
            <w:r w:rsidR="0085664F">
              <w:t>the theme of the 69</w:t>
            </w:r>
            <w:r w:rsidR="0085664F" w:rsidRPr="0085664F">
              <w:rPr>
                <w:vertAlign w:val="superscript"/>
              </w:rPr>
              <w:t>th</w:t>
            </w:r>
            <w:r w:rsidR="0085664F">
              <w:t xml:space="preserve"> session of the Commission in April 2021</w:t>
            </w:r>
            <w:r w:rsidR="00A620ED">
              <w:t xml:space="preserve">. </w:t>
            </w:r>
          </w:p>
          <w:p w14:paraId="0BCCB21B" w14:textId="0C735C3D" w:rsidR="00CF530F" w:rsidRPr="00755DE3" w:rsidRDefault="00A620ED" w:rsidP="00A70FB6">
            <w:pPr>
              <w:pStyle w:val="SingleTxtG"/>
            </w:pPr>
            <w:r>
              <w:t>It</w:t>
            </w:r>
            <w:r w:rsidR="00A66E70">
              <w:t xml:space="preserve"> </w:t>
            </w:r>
            <w:r w:rsidR="00C45B49" w:rsidRPr="00755DE3">
              <w:t>explore</w:t>
            </w:r>
            <w:r w:rsidR="00035C50" w:rsidRPr="00755DE3">
              <w:t>s</w:t>
            </w:r>
            <w:r w:rsidR="00C45B49" w:rsidRPr="00755DE3">
              <w:t xml:space="preserve"> </w:t>
            </w:r>
            <w:r>
              <w:t xml:space="preserve">how </w:t>
            </w:r>
            <w:r w:rsidR="00C45B49" w:rsidRPr="00755DE3">
              <w:t>the Waste-to-Energy industry</w:t>
            </w:r>
            <w:r w:rsidR="00447DD1">
              <w:t xml:space="preserve"> </w:t>
            </w:r>
            <w:r w:rsidR="00CF530F" w:rsidRPr="00755DE3">
              <w:t xml:space="preserve">through the use of </w:t>
            </w:r>
            <w:r w:rsidR="00C45B49" w:rsidRPr="00755DE3">
              <w:t>People-first Public-Private Partnerships</w:t>
            </w:r>
            <w:r w:rsidR="000A7E7E">
              <w:t xml:space="preserve"> (PPPs)</w:t>
            </w:r>
            <w:r w:rsidR="00C45B49" w:rsidRPr="00755DE3">
              <w:t xml:space="preserve"> </w:t>
            </w:r>
            <w:r w:rsidR="00CF530F" w:rsidRPr="00755DE3">
              <w:t>for the S</w:t>
            </w:r>
            <w:r w:rsidR="00393EC9" w:rsidRPr="00755DE3">
              <w:t>ustainable Development Goals</w:t>
            </w:r>
            <w:r w:rsidR="000A7E7E">
              <w:t xml:space="preserve"> (SDGs)</w:t>
            </w:r>
            <w:r>
              <w:t xml:space="preserve">, can contribute to a transition towards a circular economy. </w:t>
            </w:r>
          </w:p>
          <w:p w14:paraId="21AC8C57" w14:textId="77777777" w:rsidR="00DB4D4A" w:rsidRDefault="00DD0991" w:rsidP="00A70FB6">
            <w:pPr>
              <w:pStyle w:val="SingleTxtG"/>
            </w:pPr>
            <w:r w:rsidRPr="00755DE3">
              <w:t xml:space="preserve">The document </w:t>
            </w:r>
            <w:r w:rsidR="00CD6E54">
              <w:t xml:space="preserve">(parts 1- 4) </w:t>
            </w:r>
            <w:r w:rsidRPr="00755DE3">
              <w:t>was prepared by</w:t>
            </w:r>
            <w:r w:rsidR="00035C50" w:rsidRPr="00755DE3">
              <w:t xml:space="preserve"> the secretariat with substantive inputs from</w:t>
            </w:r>
            <w:r w:rsidRPr="00755DE3">
              <w:t xml:space="preserve"> </w:t>
            </w:r>
            <w:r w:rsidR="00FC09FC" w:rsidRPr="00755DE3">
              <w:t>A.C. (</w:t>
            </w:r>
            <w:proofErr w:type="spellStart"/>
            <w:r w:rsidR="00FC09FC" w:rsidRPr="00755DE3">
              <w:t>Thanos</w:t>
            </w:r>
            <w:proofErr w:type="spellEnd"/>
            <w:r w:rsidR="00FC09FC" w:rsidRPr="00755DE3">
              <w:t xml:space="preserve">) </w:t>
            </w:r>
            <w:proofErr w:type="spellStart"/>
            <w:r w:rsidR="00FC09FC" w:rsidRPr="00755DE3">
              <w:t>Bourtsalas</w:t>
            </w:r>
            <w:proofErr w:type="spellEnd"/>
            <w:r w:rsidR="00DA6D37">
              <w:t>, Columbia University</w:t>
            </w:r>
            <w:r w:rsidR="009A16A3">
              <w:t>, United States,</w:t>
            </w:r>
            <w:r w:rsidR="00144584" w:rsidRPr="00755DE3">
              <w:t xml:space="preserve"> and </w:t>
            </w:r>
            <w:proofErr w:type="spellStart"/>
            <w:r w:rsidR="00EF7055" w:rsidRPr="00755DE3">
              <w:t>Jiangrong</w:t>
            </w:r>
            <w:proofErr w:type="spellEnd"/>
            <w:r w:rsidR="00EF7055" w:rsidRPr="00755DE3">
              <w:t xml:space="preserve"> Yu</w:t>
            </w:r>
            <w:r w:rsidR="00DA6D37">
              <w:t>, Swiss Engineers</w:t>
            </w:r>
            <w:r w:rsidR="00020119">
              <w:t xml:space="preserve"> Co</w:t>
            </w:r>
            <w:r w:rsidR="009A16A3">
              <w:t>, Switzerland</w:t>
            </w:r>
            <w:r w:rsidR="00881E81" w:rsidRPr="00755DE3">
              <w:t>.</w:t>
            </w:r>
            <w:r w:rsidR="00A620ED">
              <w:t xml:space="preserve"> </w:t>
            </w:r>
          </w:p>
          <w:p w14:paraId="4EC594D5" w14:textId="7D1ECD07" w:rsidR="00F95E2A" w:rsidRPr="00755DE3" w:rsidRDefault="00881E81" w:rsidP="00A70FB6">
            <w:pPr>
              <w:pStyle w:val="SingleTxtG"/>
            </w:pPr>
            <w:r w:rsidRPr="00755DE3">
              <w:t>The document is submitted</w:t>
            </w:r>
            <w:r w:rsidR="006956B9" w:rsidRPr="00755DE3">
              <w:t xml:space="preserve"> to the Working Party </w:t>
            </w:r>
            <w:r w:rsidR="00B30598">
              <w:t xml:space="preserve">on PPPs </w:t>
            </w:r>
            <w:r w:rsidR="006956B9" w:rsidRPr="00755DE3">
              <w:t>at its fourth session</w:t>
            </w:r>
            <w:r w:rsidR="00035C50" w:rsidRPr="00755DE3">
              <w:t xml:space="preserve"> for decision</w:t>
            </w:r>
            <w:r w:rsidR="006956B9" w:rsidRPr="00755DE3">
              <w:t>.</w:t>
            </w:r>
          </w:p>
        </w:tc>
      </w:tr>
      <w:tr w:rsidR="00DF3BB8" w:rsidRPr="00755DE3" w14:paraId="5B4A12A6" w14:textId="77777777" w:rsidTr="002C1D2B">
        <w:trPr>
          <w:jc w:val="center"/>
        </w:trPr>
        <w:tc>
          <w:tcPr>
            <w:tcW w:w="9637" w:type="dxa"/>
            <w:shd w:val="clear" w:color="auto" w:fill="auto"/>
          </w:tcPr>
          <w:p w14:paraId="45FB787C" w14:textId="77777777" w:rsidR="00DF3BB8" w:rsidRPr="00755DE3" w:rsidRDefault="00DF3BB8" w:rsidP="002C1D2B"/>
        </w:tc>
      </w:tr>
    </w:tbl>
    <w:p w14:paraId="43BA4FD5" w14:textId="0A512EFD" w:rsidR="007817E6" w:rsidRPr="00755DE3" w:rsidRDefault="007817E6" w:rsidP="00DF3BB8"/>
    <w:p w14:paraId="67844AEB" w14:textId="77777777" w:rsidR="007817E6" w:rsidRPr="00755DE3" w:rsidRDefault="007817E6">
      <w:pPr>
        <w:suppressAutoHyphens w:val="0"/>
        <w:spacing w:line="240" w:lineRule="auto"/>
      </w:pPr>
      <w:r w:rsidRPr="00755DE3">
        <w:br w:type="page"/>
      </w:r>
    </w:p>
    <w:p w14:paraId="494B8548" w14:textId="1CBBCE0D" w:rsidR="00DF3BB8" w:rsidRPr="00755DE3" w:rsidRDefault="00DF3BB8" w:rsidP="007E5AA4">
      <w:pPr>
        <w:pStyle w:val="HChG"/>
      </w:pPr>
      <w:bookmarkStart w:id="1" w:name="_Toc54086125"/>
      <w:r w:rsidRPr="00755DE3">
        <w:lastRenderedPageBreak/>
        <w:t>Introduction</w:t>
      </w:r>
      <w:bookmarkEnd w:id="1"/>
      <w:r w:rsidRPr="00755DE3">
        <w:t xml:space="preserve"> </w:t>
      </w:r>
    </w:p>
    <w:p w14:paraId="546F596A" w14:textId="4A5B6F37" w:rsidR="00293E6D" w:rsidRPr="00755DE3" w:rsidRDefault="00F76C44" w:rsidP="00613E96">
      <w:pPr>
        <w:pStyle w:val="SingleTxtG"/>
      </w:pPr>
      <w:r w:rsidRPr="00755DE3">
        <w:t>Waste, and what to do with it, is one of the central problems of our time. Waste accounts for about 4.5 million ton</w:t>
      </w:r>
      <w:r w:rsidR="00CB62CD" w:rsidRPr="00755DE3">
        <w:t>ne</w:t>
      </w:r>
      <w:r w:rsidRPr="00755DE3">
        <w:t>s</w:t>
      </w:r>
      <w:r w:rsidR="00564F09" w:rsidRPr="00755DE3">
        <w:rPr>
          <w:rStyle w:val="FootnoteReference"/>
        </w:rPr>
        <w:footnoteReference w:id="2"/>
      </w:r>
      <w:r w:rsidRPr="00755DE3">
        <w:t xml:space="preserve"> per </w:t>
      </w:r>
      <w:r w:rsidR="00EC743C" w:rsidRPr="00755DE3">
        <w:t>day</w:t>
      </w:r>
      <w:r w:rsidR="00F20153" w:rsidRPr="00755DE3">
        <w:t xml:space="preserve"> worldwide</w:t>
      </w:r>
      <w:r w:rsidR="00564F09" w:rsidRPr="00755DE3">
        <w:t xml:space="preserve">. </w:t>
      </w:r>
      <w:r w:rsidR="00F20153" w:rsidRPr="00755DE3">
        <w:t>A</w:t>
      </w:r>
      <w:r w:rsidRPr="00755DE3">
        <w:t>ccording to the World Ban</w:t>
      </w:r>
      <w:r w:rsidR="00613E96" w:rsidRPr="00755DE3">
        <w:t>k</w:t>
      </w:r>
      <w:r w:rsidR="00B70420" w:rsidRPr="00755DE3">
        <w:t xml:space="preserve">, </w:t>
      </w:r>
      <w:r w:rsidRPr="00755DE3">
        <w:t>th</w:t>
      </w:r>
      <w:r w:rsidR="00F20153" w:rsidRPr="00755DE3">
        <w:t xml:space="preserve">is figure </w:t>
      </w:r>
      <w:r w:rsidRPr="00755DE3">
        <w:t xml:space="preserve">will grow to more than 8 million </w:t>
      </w:r>
      <w:r w:rsidR="00CB62CD" w:rsidRPr="00755DE3">
        <w:t>tonnes</w:t>
      </w:r>
      <w:r w:rsidRPr="00755DE3">
        <w:t xml:space="preserve"> per day by 2050</w:t>
      </w:r>
      <w:r w:rsidR="004778FA" w:rsidRPr="00755DE3">
        <w:t>.</w:t>
      </w:r>
      <w:r w:rsidR="00EC743C" w:rsidRPr="00755DE3">
        <w:rPr>
          <w:rStyle w:val="FootnoteReference"/>
        </w:rPr>
        <w:footnoteReference w:id="3"/>
      </w:r>
      <w:r w:rsidRPr="00755DE3">
        <w:t xml:space="preserve"> Increasing prohibition</w:t>
      </w:r>
      <w:r w:rsidR="00A620ED">
        <w:t>s</w:t>
      </w:r>
      <w:r w:rsidRPr="00755DE3">
        <w:t xml:space="preserve"> of transferring waste across borders also puts </w:t>
      </w:r>
      <w:r w:rsidR="00E95CD9" w:rsidRPr="00755DE3">
        <w:t>a</w:t>
      </w:r>
      <w:r w:rsidRPr="00755DE3">
        <w:t xml:space="preserve"> </w:t>
      </w:r>
      <w:r w:rsidR="00E95CD9" w:rsidRPr="00755DE3">
        <w:t>burden</w:t>
      </w:r>
      <w:r w:rsidRPr="00755DE3">
        <w:t xml:space="preserve"> on national </w:t>
      </w:r>
      <w:r w:rsidR="00172DE9" w:rsidRPr="00755DE3">
        <w:t>G</w:t>
      </w:r>
      <w:r w:rsidRPr="00755DE3">
        <w:t xml:space="preserve">overnments to find practical solutions themselves. </w:t>
      </w:r>
    </w:p>
    <w:p w14:paraId="4DD9D002" w14:textId="4CEAD033" w:rsidR="00F76C44" w:rsidRPr="00755DE3" w:rsidRDefault="00F76C44" w:rsidP="00F76C44">
      <w:pPr>
        <w:pStyle w:val="SingleTxtG"/>
      </w:pPr>
      <w:r w:rsidRPr="00755DE3">
        <w:t xml:space="preserve">At the same time, </w:t>
      </w:r>
      <w:r w:rsidR="00A620ED">
        <w:t xml:space="preserve">in many countries, </w:t>
      </w:r>
      <w:r w:rsidRPr="00755DE3">
        <w:t xml:space="preserve">there has been considerable progress made in waste management by </w:t>
      </w:r>
      <w:r w:rsidR="00172DE9" w:rsidRPr="00755DE3">
        <w:t>G</w:t>
      </w:r>
      <w:r w:rsidRPr="00755DE3">
        <w:t xml:space="preserve">overnments and a high degree of sophistication in the way they manage waste. Long gone are the days when trash was simply </w:t>
      </w:r>
      <w:r w:rsidR="00244C51" w:rsidRPr="00755DE3">
        <w:t>“</w:t>
      </w:r>
      <w:r w:rsidRPr="00755DE3">
        <w:t>thrown out</w:t>
      </w:r>
      <w:r w:rsidR="00244C51" w:rsidRPr="00755DE3">
        <w:t>”</w:t>
      </w:r>
      <w:r w:rsidRPr="00755DE3">
        <w:t xml:space="preserve"> of the house or the factory. It has become an issue both of great public concern on the one hand as well as, importantly</w:t>
      </w:r>
      <w:r w:rsidR="00C65D35" w:rsidRPr="00755DE3">
        <w:t>,</w:t>
      </w:r>
      <w:r w:rsidRPr="00755DE3">
        <w:t xml:space="preserve"> a rather flourishing business with considerable commercial opportunities on the other</w:t>
      </w:r>
      <w:r w:rsidR="004F3FCA" w:rsidRPr="00755DE3">
        <w:t xml:space="preserve"> (see description of the </w:t>
      </w:r>
      <w:r w:rsidR="00381859" w:rsidRPr="00755DE3">
        <w:t>Waste-to-Energy</w:t>
      </w:r>
      <w:r w:rsidR="0024567D" w:rsidRPr="00755DE3">
        <w:t xml:space="preserve"> (</w:t>
      </w:r>
      <w:r w:rsidR="004F3FCA" w:rsidRPr="00755DE3">
        <w:t>WtE</w:t>
      </w:r>
      <w:r w:rsidR="0024567D" w:rsidRPr="00755DE3">
        <w:t>)</w:t>
      </w:r>
      <w:r w:rsidR="004F3FCA" w:rsidRPr="00755DE3">
        <w:t xml:space="preserve"> industry and its global spread below)</w:t>
      </w:r>
      <w:r w:rsidRPr="00755DE3">
        <w:t>.</w:t>
      </w:r>
    </w:p>
    <w:p w14:paraId="380DBEF5" w14:textId="53EEF11A" w:rsidR="00F76C44" w:rsidRPr="00755DE3" w:rsidRDefault="00F76C44" w:rsidP="00F76C44">
      <w:pPr>
        <w:pStyle w:val="SingleTxtG"/>
      </w:pPr>
      <w:r w:rsidRPr="00755DE3">
        <w:t xml:space="preserve">There is now a growing consensus that the response to waste must be part of moves to promote a </w:t>
      </w:r>
      <w:r w:rsidR="00244C51" w:rsidRPr="00755DE3">
        <w:t>“</w:t>
      </w:r>
      <w:r w:rsidRPr="00755DE3">
        <w:t>circular economy</w:t>
      </w:r>
      <w:r w:rsidR="00244C51" w:rsidRPr="00755DE3">
        <w:t>”</w:t>
      </w:r>
      <w:r w:rsidRPr="00755DE3">
        <w:t xml:space="preserve"> - a concept that is increasingly driving policy makers. This approach calls </w:t>
      </w:r>
      <w:r w:rsidRPr="00755DE3">
        <w:rPr>
          <w:i/>
          <w:iCs/>
        </w:rPr>
        <w:t>inter alia</w:t>
      </w:r>
      <w:r w:rsidR="0034712F" w:rsidRPr="00755DE3">
        <w:rPr>
          <w:i/>
          <w:iCs/>
        </w:rPr>
        <w:t xml:space="preserve"> </w:t>
      </w:r>
      <w:r w:rsidRPr="00755DE3">
        <w:t xml:space="preserve">for the </w:t>
      </w:r>
      <w:r w:rsidR="00734C7A" w:rsidRPr="00755DE3">
        <w:t xml:space="preserve">nine </w:t>
      </w:r>
      <w:r w:rsidR="00244C51" w:rsidRPr="00755DE3">
        <w:t>“</w:t>
      </w:r>
      <w:proofErr w:type="spellStart"/>
      <w:r w:rsidRPr="00755DE3">
        <w:t>Rs</w:t>
      </w:r>
      <w:proofErr w:type="spellEnd"/>
      <w:r w:rsidR="00244C51" w:rsidRPr="00755DE3">
        <w:t>”</w:t>
      </w:r>
      <w:r w:rsidRPr="00755DE3">
        <w:t xml:space="preserve"> as a foundation stone for action and for protecting the planet by eliminating waste altogether</w:t>
      </w:r>
      <w:r w:rsidR="004778FA" w:rsidRPr="00755DE3">
        <w:t>.</w:t>
      </w:r>
      <w:r w:rsidR="00722B08" w:rsidRPr="00755DE3">
        <w:rPr>
          <w:rStyle w:val="FootnoteReference"/>
        </w:rPr>
        <w:footnoteReference w:id="4"/>
      </w:r>
      <w:r w:rsidRPr="00755DE3">
        <w:t xml:space="preserve"> </w:t>
      </w:r>
    </w:p>
    <w:p w14:paraId="02639BDE" w14:textId="628FA872" w:rsidR="00F76C44" w:rsidRPr="00755DE3" w:rsidRDefault="00F76C44" w:rsidP="00F76C44">
      <w:pPr>
        <w:pStyle w:val="SingleTxtG"/>
      </w:pPr>
      <w:r w:rsidRPr="00755DE3">
        <w:t xml:space="preserve">In this regard, </w:t>
      </w:r>
      <w:r w:rsidR="00D77914" w:rsidRPr="00755DE3">
        <w:t>circular economy</w:t>
      </w:r>
      <w:r w:rsidRPr="00755DE3">
        <w:t xml:space="preserve"> approaches are consistent </w:t>
      </w:r>
      <w:r w:rsidR="00293E6D" w:rsidRPr="00755DE3">
        <w:t>with</w:t>
      </w:r>
      <w:r w:rsidRPr="00755DE3">
        <w:t xml:space="preserve"> commitments </w:t>
      </w:r>
      <w:r w:rsidR="00CA6E7A" w:rsidRPr="00755DE3">
        <w:t xml:space="preserve">the </w:t>
      </w:r>
      <w:r w:rsidRPr="00755DE3">
        <w:t>U</w:t>
      </w:r>
      <w:r w:rsidR="00CA6E7A" w:rsidRPr="00755DE3">
        <w:t>nited Nations (U</w:t>
      </w:r>
      <w:r w:rsidRPr="00755DE3">
        <w:t>N</w:t>
      </w:r>
      <w:r w:rsidR="00CA6E7A" w:rsidRPr="00755DE3">
        <w:t>)</w:t>
      </w:r>
      <w:r w:rsidRPr="00755DE3">
        <w:t xml:space="preserve"> Member </w:t>
      </w:r>
      <w:r w:rsidR="00C128F6" w:rsidRPr="00755DE3">
        <w:t>S</w:t>
      </w:r>
      <w:r w:rsidRPr="00755DE3">
        <w:t xml:space="preserve">tates made in adopting the 2030 Agenda for Sustainable Development and specifically </w:t>
      </w:r>
      <w:r w:rsidR="00C128F6" w:rsidRPr="00755DE3">
        <w:t>SDG</w:t>
      </w:r>
      <w:r w:rsidRPr="00755DE3">
        <w:t xml:space="preserve"> 12 on responsible consumption and production.</w:t>
      </w:r>
      <w:r w:rsidR="00DA1F2C" w:rsidRPr="00755DE3">
        <w:t xml:space="preserve"> </w:t>
      </w:r>
      <w:r w:rsidRPr="00755DE3">
        <w:t xml:space="preserve">In </w:t>
      </w:r>
      <w:r w:rsidR="00CB62CD" w:rsidRPr="00755DE3">
        <w:t>th</w:t>
      </w:r>
      <w:r w:rsidR="00C65D35" w:rsidRPr="00755DE3">
        <w:t xml:space="preserve">is </w:t>
      </w:r>
      <w:r w:rsidR="00CB62CD" w:rsidRPr="00755DE3">
        <w:t>context</w:t>
      </w:r>
      <w:r w:rsidR="00C65D35" w:rsidRPr="00755DE3">
        <w:t>,</w:t>
      </w:r>
      <w:r w:rsidR="001A6361" w:rsidRPr="00755DE3">
        <w:t xml:space="preserve"> </w:t>
      </w:r>
      <w:r w:rsidR="00CB62CD" w:rsidRPr="00755DE3">
        <w:t>WtE activities</w:t>
      </w:r>
      <w:r w:rsidRPr="00755DE3">
        <w:t xml:space="preserve"> appear from first glance as a sustainable solution. Waste is processed in state-of-the-art facilities and is converted into energy. But is it so certain that WtE is consistent with the </w:t>
      </w:r>
      <w:r w:rsidR="00244C51" w:rsidRPr="00755DE3">
        <w:t>“</w:t>
      </w:r>
      <w:r w:rsidRPr="00755DE3">
        <w:t>circular economy</w:t>
      </w:r>
      <w:r w:rsidR="00244C51" w:rsidRPr="00755DE3">
        <w:t>”</w:t>
      </w:r>
      <w:r w:rsidRPr="00755DE3">
        <w:t>?</w:t>
      </w:r>
      <w:r w:rsidR="0034712F" w:rsidRPr="00755DE3">
        <w:t xml:space="preserve"> </w:t>
      </w:r>
      <w:r w:rsidRPr="00755DE3">
        <w:t>Is it in fact promoting circularity and is the WtE industry really supporting the SDGs? Indeed, recently</w:t>
      </w:r>
      <w:r w:rsidR="00D20791" w:rsidRPr="00755DE3">
        <w:t>, European Union (</w:t>
      </w:r>
      <w:r w:rsidRPr="00755DE3">
        <w:t>EU</w:t>
      </w:r>
      <w:r w:rsidR="00D20791" w:rsidRPr="00755DE3">
        <w:t>)</w:t>
      </w:r>
      <w:r w:rsidRPr="00755DE3">
        <w:t xml:space="preserve"> policy makers have taken a series of decisions that question the circularity of the </w:t>
      </w:r>
      <w:r w:rsidR="00B737F1" w:rsidRPr="00755DE3">
        <w:t>WtE</w:t>
      </w:r>
      <w:r w:rsidRPr="00755DE3">
        <w:t xml:space="preserve"> industry. </w:t>
      </w:r>
    </w:p>
    <w:p w14:paraId="425F457A" w14:textId="3F99560D" w:rsidR="00F76C44" w:rsidRPr="00755DE3" w:rsidRDefault="00F76C44" w:rsidP="00F76C44">
      <w:pPr>
        <w:pStyle w:val="SingleTxtG"/>
      </w:pPr>
      <w:r w:rsidRPr="00755DE3">
        <w:t xml:space="preserve">The central thesis of these Guidelines is that </w:t>
      </w:r>
      <w:r w:rsidR="00CE2EBE" w:rsidRPr="00755DE3">
        <w:t>WtE projects</w:t>
      </w:r>
      <w:r w:rsidR="00F20153" w:rsidRPr="00755DE3">
        <w:t xml:space="preserve"> </w:t>
      </w:r>
      <w:r w:rsidR="00A620ED">
        <w:t xml:space="preserve">can contribute to a transition towards a circular economy. They can </w:t>
      </w:r>
      <w:r w:rsidR="00892A07" w:rsidRPr="00755DE3">
        <w:t>embrace</w:t>
      </w:r>
      <w:r w:rsidRPr="00755DE3">
        <w:t xml:space="preserve"> </w:t>
      </w:r>
      <w:r w:rsidR="00D77914" w:rsidRPr="00755DE3">
        <w:t>circular economy</w:t>
      </w:r>
      <w:r w:rsidRPr="00755DE3">
        <w:t xml:space="preserve"> approaches, and as such, they can be placed</w:t>
      </w:r>
      <w:r w:rsidR="00CE2EBE" w:rsidRPr="00755DE3">
        <w:t xml:space="preserve"> </w:t>
      </w:r>
      <w:r w:rsidR="00244C51" w:rsidRPr="00755DE3">
        <w:t>“</w:t>
      </w:r>
      <w:r w:rsidRPr="00755DE3">
        <w:t>in the loop</w:t>
      </w:r>
      <w:r w:rsidR="00244C51" w:rsidRPr="00755DE3">
        <w:t>”</w:t>
      </w:r>
      <w:r w:rsidR="00E55197" w:rsidRPr="00755DE3">
        <w:t xml:space="preserve"> </w:t>
      </w:r>
      <w:r w:rsidRPr="00755DE3">
        <w:t xml:space="preserve">especially as an energy recovery activity. However, for WtE </w:t>
      </w:r>
      <w:r w:rsidR="00A620ED">
        <w:t xml:space="preserve">to contribute to a circular economy transition </w:t>
      </w:r>
      <w:r w:rsidRPr="00755DE3">
        <w:t>is far from automatic:</w:t>
      </w:r>
      <w:r w:rsidR="0034712F" w:rsidRPr="00755DE3">
        <w:t xml:space="preserve"> </w:t>
      </w:r>
      <w:r w:rsidR="00172DE9" w:rsidRPr="00755DE3">
        <w:t>G</w:t>
      </w:r>
      <w:r w:rsidRPr="00755DE3">
        <w:t xml:space="preserve">overnments and private sector need to adopt better approaches </w:t>
      </w:r>
      <w:r w:rsidR="00935EEF" w:rsidRPr="00755DE3">
        <w:t>to PPPs</w:t>
      </w:r>
      <w:r w:rsidR="00F20153" w:rsidRPr="00755DE3">
        <w:t xml:space="preserve">, namely </w:t>
      </w:r>
      <w:r w:rsidR="00C128F6" w:rsidRPr="00755DE3">
        <w:t>People-first</w:t>
      </w:r>
      <w:r w:rsidR="00F20153" w:rsidRPr="00755DE3">
        <w:t xml:space="preserve">, and </w:t>
      </w:r>
      <w:r w:rsidRPr="00755DE3">
        <w:t xml:space="preserve">support best </w:t>
      </w:r>
      <w:r w:rsidR="00F20153" w:rsidRPr="00755DE3">
        <w:t xml:space="preserve">practices in </w:t>
      </w:r>
      <w:r w:rsidR="00DA1F2C" w:rsidRPr="00755DE3">
        <w:t xml:space="preserve">WtE </w:t>
      </w:r>
      <w:r w:rsidRPr="00755DE3">
        <w:t>projects.</w:t>
      </w:r>
      <w:r w:rsidR="0034712F" w:rsidRPr="00755DE3">
        <w:t xml:space="preserve"> </w:t>
      </w:r>
    </w:p>
    <w:p w14:paraId="6BDE330F" w14:textId="77777777" w:rsidR="00F76C44" w:rsidRPr="00755DE3" w:rsidRDefault="00F76C44" w:rsidP="00F76C44">
      <w:pPr>
        <w:pStyle w:val="SingleTxtG"/>
        <w:rPr>
          <w:b/>
          <w:bCs/>
        </w:rPr>
      </w:pPr>
      <w:r w:rsidRPr="00755DE3">
        <w:rPr>
          <w:b/>
          <w:bCs/>
        </w:rPr>
        <w:t xml:space="preserve">Purpose </w:t>
      </w:r>
    </w:p>
    <w:p w14:paraId="4659BA24" w14:textId="67982165" w:rsidR="00F76C44" w:rsidRPr="00755DE3" w:rsidRDefault="00F76C44" w:rsidP="00F76C44">
      <w:pPr>
        <w:pStyle w:val="SingleTxtG"/>
      </w:pPr>
      <w:r w:rsidRPr="00755DE3">
        <w:t xml:space="preserve">The purpose of the Guidelines is to inform policymakers, </w:t>
      </w:r>
      <w:r w:rsidR="00164AFC" w:rsidRPr="00755DE3">
        <w:t>industry,</w:t>
      </w:r>
      <w:r w:rsidRPr="00755DE3">
        <w:t xml:space="preserve"> and civil society on the potential contribution of </w:t>
      </w:r>
      <w:r w:rsidR="00DA1F2C" w:rsidRPr="00755DE3">
        <w:t xml:space="preserve">WtE </w:t>
      </w:r>
      <w:r w:rsidRPr="00755DE3">
        <w:t xml:space="preserve">to </w:t>
      </w:r>
      <w:r w:rsidR="00D77914" w:rsidRPr="00755DE3">
        <w:t>circular economy</w:t>
      </w:r>
      <w:r w:rsidRPr="00755DE3">
        <w:t xml:space="preserve"> approaches and to demonstrate the type of projects – </w:t>
      </w:r>
      <w:r w:rsidR="00C128F6" w:rsidRPr="00755DE3">
        <w:t>People-first</w:t>
      </w:r>
      <w:r w:rsidRPr="00755DE3">
        <w:t xml:space="preserve"> PPP</w:t>
      </w:r>
      <w:r w:rsidR="000A7E7E">
        <w:t>s</w:t>
      </w:r>
      <w:r w:rsidRPr="00755DE3">
        <w:t xml:space="preserve"> </w:t>
      </w:r>
      <w:r w:rsidR="001C2D21" w:rsidRPr="00755DE3">
        <w:t xml:space="preserve">– </w:t>
      </w:r>
      <w:r w:rsidRPr="00755DE3">
        <w:t>that can best serve this task.</w:t>
      </w:r>
    </w:p>
    <w:p w14:paraId="7B46C779" w14:textId="77777777" w:rsidR="00F76C44" w:rsidRPr="00755DE3" w:rsidRDefault="00F76C44" w:rsidP="00F76C44">
      <w:pPr>
        <w:pStyle w:val="SingleTxtG"/>
        <w:rPr>
          <w:b/>
          <w:bCs/>
        </w:rPr>
      </w:pPr>
      <w:r w:rsidRPr="00755DE3">
        <w:rPr>
          <w:b/>
          <w:bCs/>
        </w:rPr>
        <w:t>Organisation</w:t>
      </w:r>
    </w:p>
    <w:p w14:paraId="655F6956" w14:textId="21B58070" w:rsidR="00F76C44" w:rsidRPr="00755DE3" w:rsidRDefault="00B4554C" w:rsidP="00F76C44">
      <w:pPr>
        <w:pStyle w:val="SingleTxtG"/>
      </w:pPr>
      <w:r w:rsidRPr="00755DE3">
        <w:t>The Guidelines are</w:t>
      </w:r>
      <w:r w:rsidR="00F76C44" w:rsidRPr="00755DE3">
        <w:t xml:space="preserve"> divided into four parts: </w:t>
      </w:r>
    </w:p>
    <w:p w14:paraId="1858F62A" w14:textId="43852744" w:rsidR="00F76C44" w:rsidRPr="00755DE3" w:rsidRDefault="00F76C44" w:rsidP="00F76C44">
      <w:pPr>
        <w:pStyle w:val="SingleTxtG"/>
      </w:pPr>
      <w:r w:rsidRPr="00755DE3">
        <w:rPr>
          <w:u w:val="single"/>
        </w:rPr>
        <w:t>Part 1</w:t>
      </w:r>
      <w:r w:rsidRPr="00755DE3">
        <w:t xml:space="preserve"> examines both the </w:t>
      </w:r>
      <w:r w:rsidR="00DA1F2C" w:rsidRPr="00755DE3">
        <w:t>WtE</w:t>
      </w:r>
      <w:r w:rsidRPr="00755DE3">
        <w:t xml:space="preserve"> </w:t>
      </w:r>
      <w:r w:rsidR="00C65D35" w:rsidRPr="00755DE3">
        <w:t xml:space="preserve">industry </w:t>
      </w:r>
      <w:r w:rsidRPr="00755DE3">
        <w:t xml:space="preserve">and the </w:t>
      </w:r>
      <w:r w:rsidR="00D77914" w:rsidRPr="00755DE3">
        <w:t>circular economy</w:t>
      </w:r>
      <w:r w:rsidRPr="00755DE3">
        <w:t xml:space="preserve"> and sets out the debate that has taken place on whether </w:t>
      </w:r>
      <w:r w:rsidR="00DA1F2C" w:rsidRPr="00755DE3">
        <w:t>WtE</w:t>
      </w:r>
      <w:r w:rsidRPr="00755DE3">
        <w:t xml:space="preserve"> is compatible with the </w:t>
      </w:r>
      <w:r w:rsidR="00D77914" w:rsidRPr="00755DE3">
        <w:t>circular economy</w:t>
      </w:r>
      <w:r w:rsidRPr="00755DE3">
        <w:t>.</w:t>
      </w:r>
    </w:p>
    <w:p w14:paraId="27E86EA5" w14:textId="0E7930EA" w:rsidR="00F76C44" w:rsidRPr="00755DE3" w:rsidRDefault="00F76C44" w:rsidP="00F76C44">
      <w:pPr>
        <w:pStyle w:val="SingleTxtG"/>
      </w:pPr>
      <w:r w:rsidRPr="00755DE3">
        <w:rPr>
          <w:u w:val="single"/>
        </w:rPr>
        <w:t>Part 2</w:t>
      </w:r>
      <w:r w:rsidR="0034712F" w:rsidRPr="00755DE3">
        <w:t xml:space="preserve"> </w:t>
      </w:r>
      <w:r w:rsidRPr="00755DE3">
        <w:t xml:space="preserve">looks at the project level and </w:t>
      </w:r>
      <w:r w:rsidR="001E6F26" w:rsidRPr="00755DE3">
        <w:t xml:space="preserve">how </w:t>
      </w:r>
      <w:r w:rsidR="00DA1F2C" w:rsidRPr="00755DE3">
        <w:t>WtE</w:t>
      </w:r>
      <w:r w:rsidRPr="00755DE3">
        <w:t xml:space="preserve"> projects </w:t>
      </w:r>
      <w:r w:rsidR="001E6F26" w:rsidRPr="00755DE3">
        <w:t xml:space="preserve">should change </w:t>
      </w:r>
      <w:r w:rsidRPr="00755DE3">
        <w:t xml:space="preserve">and the need for holistic solutions to the way projects are designed and structured focusing on </w:t>
      </w:r>
      <w:r w:rsidR="00914626" w:rsidRPr="00755DE3">
        <w:t>ECE</w:t>
      </w:r>
      <w:r w:rsidR="00284228" w:rsidRPr="00755DE3">
        <w:t>’</w:t>
      </w:r>
      <w:r w:rsidR="00067243" w:rsidRPr="00755DE3">
        <w:t>s</w:t>
      </w:r>
      <w:r w:rsidRPr="00755DE3">
        <w:t xml:space="preserve"> </w:t>
      </w:r>
      <w:r w:rsidR="00C128F6" w:rsidRPr="00755DE3">
        <w:t>People-first</w:t>
      </w:r>
      <w:r w:rsidRPr="00755DE3">
        <w:t xml:space="preserve"> approach.</w:t>
      </w:r>
    </w:p>
    <w:p w14:paraId="1AE96B10" w14:textId="58EF1D97" w:rsidR="00F76C44" w:rsidRPr="00755DE3" w:rsidRDefault="00F76C44" w:rsidP="00F76C44">
      <w:pPr>
        <w:pStyle w:val="SingleTxtG"/>
      </w:pPr>
      <w:r w:rsidRPr="00755DE3">
        <w:rPr>
          <w:u w:val="single"/>
        </w:rPr>
        <w:lastRenderedPageBreak/>
        <w:t>Part 3</w:t>
      </w:r>
      <w:r w:rsidRPr="00755DE3">
        <w:t xml:space="preserve"> focuses on the policy level response, at local regional and national levels on </w:t>
      </w:r>
      <w:r w:rsidR="00DA1F2C" w:rsidRPr="00755DE3">
        <w:t>WtE</w:t>
      </w:r>
      <w:r w:rsidR="001A6361" w:rsidRPr="00755DE3">
        <w:t xml:space="preserve"> </w:t>
      </w:r>
      <w:r w:rsidRPr="00755DE3">
        <w:t xml:space="preserve">and </w:t>
      </w:r>
      <w:r w:rsidR="00A620ED">
        <w:t xml:space="preserve">set out a </w:t>
      </w:r>
      <w:r w:rsidRPr="00755DE3">
        <w:t xml:space="preserve">possible </w:t>
      </w:r>
      <w:r w:rsidR="00244C51" w:rsidRPr="00755DE3">
        <w:t>“</w:t>
      </w:r>
      <w:r w:rsidRPr="00755DE3">
        <w:t>road map</w:t>
      </w:r>
      <w:r w:rsidR="00244C51" w:rsidRPr="00755DE3">
        <w:t>”</w:t>
      </w:r>
      <w:r w:rsidRPr="00755DE3">
        <w:t xml:space="preserve"> towards the transition </w:t>
      </w:r>
      <w:r w:rsidR="00793009" w:rsidRPr="00755DE3">
        <w:t>to</w:t>
      </w:r>
      <w:r w:rsidRPr="00755DE3">
        <w:t xml:space="preserve"> a </w:t>
      </w:r>
      <w:r w:rsidR="00D77914" w:rsidRPr="00755DE3">
        <w:t>circular economy</w:t>
      </w:r>
      <w:r w:rsidRPr="00755DE3">
        <w:t>. In this regard</w:t>
      </w:r>
      <w:r w:rsidR="001A6361" w:rsidRPr="00755DE3">
        <w:t>,</w:t>
      </w:r>
      <w:r w:rsidR="00C65D35" w:rsidRPr="00755DE3">
        <w:t xml:space="preserve"> </w:t>
      </w:r>
      <w:r w:rsidRPr="00755DE3">
        <w:t xml:space="preserve">it also presents </w:t>
      </w:r>
      <w:r w:rsidR="00DB1441">
        <w:t xml:space="preserve">the </w:t>
      </w:r>
      <w:r w:rsidRPr="00755DE3">
        <w:t>experiences</w:t>
      </w:r>
      <w:r w:rsidR="00DB1441">
        <w:t xml:space="preserve"> of </w:t>
      </w:r>
      <w:r w:rsidRPr="00755DE3">
        <w:t>Switzerland</w:t>
      </w:r>
      <w:r w:rsidR="00C65D35" w:rsidRPr="00755DE3">
        <w:t>.</w:t>
      </w:r>
      <w:r w:rsidRPr="00755DE3">
        <w:t xml:space="preserve"> </w:t>
      </w:r>
    </w:p>
    <w:p w14:paraId="6AFD9B5E" w14:textId="191ED1DD" w:rsidR="007401F7" w:rsidRPr="00755DE3" w:rsidRDefault="00F76C44" w:rsidP="00F76C44">
      <w:pPr>
        <w:pStyle w:val="SingleTxtG"/>
      </w:pPr>
      <w:r w:rsidRPr="00755DE3">
        <w:rPr>
          <w:u w:val="single"/>
        </w:rPr>
        <w:t>Part 4</w:t>
      </w:r>
      <w:r w:rsidRPr="00755DE3">
        <w:t xml:space="preserve"> presents conclusions and proposals for follow-up actions to take the Guidelines forward.</w:t>
      </w:r>
    </w:p>
    <w:p w14:paraId="07FBE699" w14:textId="5D9B5809" w:rsidR="00081CF1" w:rsidRPr="00755DE3" w:rsidRDefault="00FA7B0E" w:rsidP="008F5446">
      <w:pPr>
        <w:pStyle w:val="HChG"/>
        <w:numPr>
          <w:ilvl w:val="0"/>
          <w:numId w:val="12"/>
        </w:numPr>
        <w:tabs>
          <w:tab w:val="clear" w:pos="1134"/>
        </w:tabs>
        <w:ind w:left="1125" w:hanging="558"/>
      </w:pPr>
      <w:bookmarkStart w:id="2" w:name="_Toc54086126"/>
      <w:r w:rsidRPr="00755DE3">
        <w:t xml:space="preserve">Is </w:t>
      </w:r>
      <w:r w:rsidR="00381859" w:rsidRPr="00755DE3">
        <w:t>Waste-to-Energy</w:t>
      </w:r>
      <w:r w:rsidRPr="00755DE3">
        <w:t xml:space="preserve"> compatible with the Circular Economy?</w:t>
      </w:r>
      <w:bookmarkEnd w:id="2"/>
    </w:p>
    <w:p w14:paraId="3CB6ECF2" w14:textId="3E48CF19" w:rsidR="00232159" w:rsidRPr="00755DE3" w:rsidRDefault="00232159" w:rsidP="00232159">
      <w:pPr>
        <w:pStyle w:val="SingleTxtG"/>
      </w:pPr>
      <w:r w:rsidRPr="00755DE3">
        <w:t xml:space="preserve">This Part explores the arguments surrounding the compatibility of the </w:t>
      </w:r>
      <w:r w:rsidR="00DA1F2C" w:rsidRPr="00755DE3">
        <w:t>WtE</w:t>
      </w:r>
      <w:r w:rsidRPr="00755DE3">
        <w:t xml:space="preserve"> industry with the </w:t>
      </w:r>
      <w:r w:rsidR="00D77914" w:rsidRPr="00755DE3">
        <w:t>circular economy</w:t>
      </w:r>
      <w:r w:rsidRPr="00755DE3">
        <w:t xml:space="preserve"> and the recent responses of policy makers to this debate. </w:t>
      </w:r>
    </w:p>
    <w:p w14:paraId="50ACE30B" w14:textId="07D4F768" w:rsidR="00232159" w:rsidRPr="00755DE3" w:rsidRDefault="001E6F26" w:rsidP="008F5446">
      <w:pPr>
        <w:pStyle w:val="H1G"/>
        <w:numPr>
          <w:ilvl w:val="0"/>
          <w:numId w:val="8"/>
        </w:numPr>
        <w:ind w:left="1134" w:hanging="567"/>
      </w:pPr>
      <w:bookmarkStart w:id="3" w:name="_Toc54086127"/>
      <w:r w:rsidRPr="00755DE3">
        <w:t xml:space="preserve">Background </w:t>
      </w:r>
      <w:r w:rsidR="00892A07" w:rsidRPr="00755DE3">
        <w:t>to the</w:t>
      </w:r>
      <w:r w:rsidRPr="00755DE3">
        <w:t xml:space="preserve"> </w:t>
      </w:r>
      <w:r w:rsidR="00FE4A45" w:rsidRPr="00755DE3">
        <w:t>d</w:t>
      </w:r>
      <w:r w:rsidRPr="00755DE3">
        <w:t>ebate</w:t>
      </w:r>
      <w:bookmarkEnd w:id="3"/>
      <w:r w:rsidRPr="00755DE3">
        <w:t xml:space="preserve"> </w:t>
      </w:r>
    </w:p>
    <w:p w14:paraId="138F02C0" w14:textId="7728FA7E" w:rsidR="00232159" w:rsidRPr="00755DE3" w:rsidRDefault="00A877F1" w:rsidP="001E49E6">
      <w:pPr>
        <w:pStyle w:val="H23G"/>
        <w:ind w:hanging="81"/>
        <w:outlineLvl w:val="9"/>
        <w:rPr>
          <w:lang w:eastAsia="en-GB"/>
        </w:rPr>
      </w:pPr>
      <w:r w:rsidRPr="00755DE3">
        <w:rPr>
          <w:lang w:eastAsia="en-GB"/>
        </w:rPr>
        <w:t>L</w:t>
      </w:r>
      <w:r w:rsidR="00232159" w:rsidRPr="00755DE3">
        <w:rPr>
          <w:lang w:eastAsia="en-GB"/>
        </w:rPr>
        <w:t xml:space="preserve">inear economy </w:t>
      </w:r>
    </w:p>
    <w:p w14:paraId="70694CD9" w14:textId="70A134F9" w:rsidR="00232159" w:rsidRPr="00755DE3" w:rsidRDefault="001E6F26" w:rsidP="00A620ED">
      <w:pPr>
        <w:pStyle w:val="SingleTxtG"/>
      </w:pPr>
      <w:r w:rsidRPr="00755DE3">
        <w:t xml:space="preserve">The mantra of today's </w:t>
      </w:r>
      <w:r w:rsidR="00D3246F" w:rsidRPr="00755DE3">
        <w:t>so-called</w:t>
      </w:r>
      <w:r w:rsidRPr="00755DE3">
        <w:t xml:space="preserve"> linear economy can be summarised as </w:t>
      </w:r>
      <w:r w:rsidR="00D3246F" w:rsidRPr="00755DE3">
        <w:t>follows:</w:t>
      </w:r>
      <w:r w:rsidRPr="00755DE3">
        <w:t xml:space="preserve"> </w:t>
      </w:r>
      <w:r w:rsidR="00F52DAF" w:rsidRPr="00755DE3">
        <w:t>t</w:t>
      </w:r>
      <w:r w:rsidR="00232159" w:rsidRPr="00755DE3">
        <w:t>ake (raw material)</w:t>
      </w:r>
      <w:r w:rsidR="00F75CFE" w:rsidRPr="00755DE3">
        <w:t xml:space="preserve"> </w:t>
      </w:r>
      <w:r w:rsidR="00A620ED">
        <w:t>–</w:t>
      </w:r>
      <w:r w:rsidR="00232159" w:rsidRPr="00755DE3">
        <w:t xml:space="preserve"> make (products)</w:t>
      </w:r>
      <w:r w:rsidR="00F75CFE" w:rsidRPr="00755DE3">
        <w:t xml:space="preserve"> </w:t>
      </w:r>
      <w:r w:rsidR="00A620ED">
        <w:t>–</w:t>
      </w:r>
      <w:r w:rsidR="00232159" w:rsidRPr="00755DE3">
        <w:t xml:space="preserve"> use (consume)</w:t>
      </w:r>
      <w:r w:rsidR="00F75CFE" w:rsidRPr="00755DE3">
        <w:t xml:space="preserve"> </w:t>
      </w:r>
      <w:r w:rsidR="00A620ED">
        <w:t>–</w:t>
      </w:r>
      <w:r w:rsidR="00232159" w:rsidRPr="00755DE3">
        <w:t xml:space="preserve"> dispose (of non-recyclable waste). This has been the economic and social </w:t>
      </w:r>
      <w:r w:rsidR="00232159" w:rsidRPr="00755DE3">
        <w:rPr>
          <w:i/>
          <w:iCs/>
        </w:rPr>
        <w:t xml:space="preserve">modus operandi </w:t>
      </w:r>
      <w:r w:rsidR="00232159" w:rsidRPr="00755DE3">
        <w:t>for many years now. Under this model, waste is the final phase in a society that</w:t>
      </w:r>
      <w:r w:rsidRPr="00755DE3">
        <w:t xml:space="preserve">, it is fair to </w:t>
      </w:r>
      <w:r w:rsidR="00D3246F" w:rsidRPr="00755DE3">
        <w:t>argue, assumes</w:t>
      </w:r>
      <w:r w:rsidR="00232159" w:rsidRPr="00755DE3">
        <w:t xml:space="preserve"> it has unlimited resources</w:t>
      </w:r>
      <w:r w:rsidR="00D7699F" w:rsidRPr="00755DE3">
        <w:t xml:space="preserve"> for its consumption and production cycle</w:t>
      </w:r>
      <w:r w:rsidR="00232159" w:rsidRPr="00755DE3">
        <w:t>.</w:t>
      </w:r>
    </w:p>
    <w:p w14:paraId="12B61D84" w14:textId="2A16883E" w:rsidR="00232159" w:rsidRPr="00755DE3" w:rsidRDefault="001E6F26" w:rsidP="001E49E6">
      <w:pPr>
        <w:pStyle w:val="H23G"/>
        <w:ind w:hanging="81"/>
        <w:outlineLvl w:val="9"/>
        <w:rPr>
          <w:lang w:eastAsia="en-GB"/>
        </w:rPr>
      </w:pPr>
      <w:r w:rsidRPr="00755DE3">
        <w:rPr>
          <w:lang w:eastAsia="en-GB"/>
        </w:rPr>
        <w:t>The main consequences arising from</w:t>
      </w:r>
      <w:r w:rsidR="00232159" w:rsidRPr="00755DE3">
        <w:rPr>
          <w:lang w:eastAsia="en-GB"/>
        </w:rPr>
        <w:t xml:space="preserve"> the linear economy</w:t>
      </w:r>
    </w:p>
    <w:p w14:paraId="6F970E04" w14:textId="08794064" w:rsidR="00232159" w:rsidRPr="00755DE3" w:rsidRDefault="001E6F26" w:rsidP="001E49E6">
      <w:pPr>
        <w:pStyle w:val="SingleTxtG"/>
      </w:pPr>
      <w:r w:rsidRPr="00755DE3">
        <w:t xml:space="preserve">This model </w:t>
      </w:r>
      <w:r w:rsidR="00D3246F" w:rsidRPr="00755DE3">
        <w:t>has,</w:t>
      </w:r>
      <w:r w:rsidRPr="00755DE3">
        <w:t xml:space="preserve"> </w:t>
      </w:r>
      <w:r w:rsidR="00D3246F" w:rsidRPr="00755DE3">
        <w:t>however, consequences.</w:t>
      </w:r>
      <w:r w:rsidRPr="00755DE3">
        <w:t xml:space="preserve"> </w:t>
      </w:r>
      <w:r w:rsidR="00232159" w:rsidRPr="00755DE3">
        <w:t xml:space="preserve">Currently, there are more than </w:t>
      </w:r>
      <w:r w:rsidR="00041D3C" w:rsidRPr="00755DE3">
        <w:t>seven</w:t>
      </w:r>
      <w:r w:rsidR="00232159" w:rsidRPr="00755DE3">
        <w:t xml:space="preserve"> and a half billion people in the world and this population is growing by roughly 80 million each year</w:t>
      </w:r>
      <w:r w:rsidR="00041D3C" w:rsidRPr="00755DE3">
        <w:t>.</w:t>
      </w:r>
      <w:r w:rsidR="00232159" w:rsidRPr="00755DE3">
        <w:rPr>
          <w:vertAlign w:val="superscript"/>
        </w:rPr>
        <w:footnoteReference w:id="5"/>
      </w:r>
      <w:r w:rsidR="00232159" w:rsidRPr="00755DE3">
        <w:t xml:space="preserve"> The energy consumption amounted to 14,282 </w:t>
      </w:r>
      <w:r w:rsidR="00A620ED">
        <w:t>m</w:t>
      </w:r>
      <w:r w:rsidR="0009677D" w:rsidRPr="00755DE3">
        <w:t xml:space="preserve">illion </w:t>
      </w:r>
      <w:r w:rsidR="00CB62CD" w:rsidRPr="00755DE3">
        <w:t>tonnes</w:t>
      </w:r>
      <w:r w:rsidR="0009677D" w:rsidRPr="00755DE3">
        <w:t xml:space="preserve"> of </w:t>
      </w:r>
      <w:r w:rsidR="00A620ED">
        <w:t>o</w:t>
      </w:r>
      <w:r w:rsidR="0009677D" w:rsidRPr="00755DE3">
        <w:t xml:space="preserve">il </w:t>
      </w:r>
      <w:r w:rsidR="00A620ED">
        <w:t>e</w:t>
      </w:r>
      <w:r w:rsidR="0009677D" w:rsidRPr="00755DE3">
        <w:t>quivalent (</w:t>
      </w:r>
      <w:proofErr w:type="spellStart"/>
      <w:r w:rsidR="00A620ED">
        <w:t>m</w:t>
      </w:r>
      <w:r w:rsidR="00EF3B63" w:rsidRPr="00755DE3">
        <w:t>t</w:t>
      </w:r>
      <w:r w:rsidR="00672864" w:rsidRPr="00755DE3">
        <w:t>oe</w:t>
      </w:r>
      <w:proofErr w:type="spellEnd"/>
      <w:r w:rsidR="0009677D" w:rsidRPr="00755DE3">
        <w:t>)</w:t>
      </w:r>
      <w:r w:rsidR="00232159" w:rsidRPr="00755DE3">
        <w:t xml:space="preserve"> in 2018 (in 1971 it was 5,519 </w:t>
      </w:r>
      <w:r w:rsidR="00D3246F" w:rsidRPr="00755DE3">
        <w:t xml:space="preserve">million </w:t>
      </w:r>
      <w:r w:rsidR="00CB62CD" w:rsidRPr="00755DE3">
        <w:t>tonnes</w:t>
      </w:r>
      <w:r w:rsidR="00D3246F" w:rsidRPr="00755DE3">
        <w:t xml:space="preserve"> </w:t>
      </w:r>
      <w:r w:rsidR="00232159" w:rsidRPr="00755DE3">
        <w:t>o</w:t>
      </w:r>
      <w:r w:rsidR="00D3246F" w:rsidRPr="00755DE3">
        <w:t xml:space="preserve">f oil </w:t>
      </w:r>
      <w:r w:rsidR="00232159" w:rsidRPr="00755DE3">
        <w:t>e</w:t>
      </w:r>
      <w:r w:rsidR="00D3246F" w:rsidRPr="00755DE3">
        <w:t>quivalent</w:t>
      </w:r>
      <w:r w:rsidR="00232159" w:rsidRPr="00755DE3">
        <w:t>)</w:t>
      </w:r>
      <w:r w:rsidR="00E90986" w:rsidRPr="00755DE3">
        <w:t>,</w:t>
      </w:r>
      <w:r w:rsidR="00232159" w:rsidRPr="00755DE3">
        <w:rPr>
          <w:vertAlign w:val="superscript"/>
        </w:rPr>
        <w:footnoteReference w:id="6"/>
      </w:r>
      <w:r w:rsidR="00232159" w:rsidRPr="00755DE3">
        <w:t xml:space="preserve"> and the </w:t>
      </w:r>
      <w:r w:rsidR="00963E95" w:rsidRPr="00755DE3">
        <w:t>CO</w:t>
      </w:r>
      <w:r w:rsidR="00963E95" w:rsidRPr="00755DE3">
        <w:rPr>
          <w:vertAlign w:val="subscript"/>
        </w:rPr>
        <w:t>2</w:t>
      </w:r>
      <w:r w:rsidR="00963E95" w:rsidRPr="00755DE3">
        <w:t xml:space="preserve"> equivalent</w:t>
      </w:r>
      <w:r w:rsidR="00232159" w:rsidRPr="00755DE3">
        <w:t xml:space="preserve"> emissions reached 36.6 </w:t>
      </w:r>
      <w:r w:rsidR="007F5F22" w:rsidRPr="00755DE3">
        <w:t xml:space="preserve">billion </w:t>
      </w:r>
      <w:r w:rsidR="0045360D" w:rsidRPr="00755DE3">
        <w:t>tonnes</w:t>
      </w:r>
      <w:r w:rsidR="007F5F22" w:rsidRPr="00755DE3">
        <w:t xml:space="preserve"> </w:t>
      </w:r>
      <w:r w:rsidR="00232159" w:rsidRPr="00755DE3">
        <w:t xml:space="preserve">(in 1971 it was 15.4 </w:t>
      </w:r>
      <w:r w:rsidR="007F5F22" w:rsidRPr="00755DE3">
        <w:t xml:space="preserve">billion </w:t>
      </w:r>
      <w:r w:rsidR="00CB62CD" w:rsidRPr="00755DE3">
        <w:t>tonnes</w:t>
      </w:r>
      <w:r w:rsidR="00232159" w:rsidRPr="00755DE3">
        <w:t>)</w:t>
      </w:r>
      <w:r w:rsidR="00041D3C" w:rsidRPr="00755DE3">
        <w:t>.</w:t>
      </w:r>
      <w:r w:rsidR="00232159" w:rsidRPr="00755DE3">
        <w:rPr>
          <w:vertAlign w:val="superscript"/>
        </w:rPr>
        <w:footnoteReference w:id="7"/>
      </w:r>
      <w:r w:rsidRPr="00755DE3">
        <w:t xml:space="preserve"> </w:t>
      </w:r>
    </w:p>
    <w:p w14:paraId="1101B115" w14:textId="4FE88A6D" w:rsidR="00232159" w:rsidRPr="00755DE3" w:rsidRDefault="00232159" w:rsidP="001E49E6">
      <w:pPr>
        <w:pStyle w:val="SingleTxtG"/>
      </w:pPr>
      <w:r w:rsidRPr="00755DE3">
        <w:t xml:space="preserve">Global </w:t>
      </w:r>
      <w:r w:rsidR="00E90986" w:rsidRPr="00755DE3">
        <w:t>M</w:t>
      </w:r>
      <w:r w:rsidRPr="00755DE3">
        <w:t xml:space="preserve">unicipal </w:t>
      </w:r>
      <w:r w:rsidR="00E90986" w:rsidRPr="00755DE3">
        <w:t>S</w:t>
      </w:r>
      <w:r w:rsidRPr="00755DE3">
        <w:t xml:space="preserve">olid </w:t>
      </w:r>
      <w:r w:rsidR="00E90986" w:rsidRPr="00755DE3">
        <w:t>W</w:t>
      </w:r>
      <w:r w:rsidRPr="00755DE3">
        <w:t xml:space="preserve">aste (MSW) of approximately 2.01 billion </w:t>
      </w:r>
      <w:r w:rsidR="00CB62CD" w:rsidRPr="00755DE3">
        <w:t>tonnes</w:t>
      </w:r>
      <w:r w:rsidRPr="00755DE3">
        <w:t xml:space="preserve"> per year is generated with at least 33 percent of that</w:t>
      </w:r>
      <w:r w:rsidR="0029639D" w:rsidRPr="00755DE3">
        <w:t xml:space="preserve"> – </w:t>
      </w:r>
      <w:r w:rsidRPr="00755DE3">
        <w:t>at an extremely conservative estimate</w:t>
      </w:r>
      <w:r w:rsidR="0029639D" w:rsidRPr="00755DE3">
        <w:t xml:space="preserve"> – </w:t>
      </w:r>
      <w:r w:rsidRPr="00755DE3">
        <w:t xml:space="preserve">not managed in an environmentally safe manner. The global MSW generation is expected to increase to around 2.2 billion by 2025 and to 3.4 billion </w:t>
      </w:r>
      <w:r w:rsidR="00CB62CD" w:rsidRPr="00755DE3">
        <w:t>tonnes</w:t>
      </w:r>
      <w:r w:rsidRPr="00755DE3">
        <w:t xml:space="preserve"> by 2050</w:t>
      </w:r>
      <w:r w:rsidR="00F9219B" w:rsidRPr="00755DE3">
        <w:t>.</w:t>
      </w:r>
      <w:r w:rsidRPr="00755DE3">
        <w:rPr>
          <w:vertAlign w:val="superscript"/>
        </w:rPr>
        <w:footnoteReference w:id="8"/>
      </w:r>
    </w:p>
    <w:p w14:paraId="08F32F66" w14:textId="6199919C" w:rsidR="00232159" w:rsidRPr="00755DE3" w:rsidRDefault="00232159" w:rsidP="001E49E6">
      <w:pPr>
        <w:pStyle w:val="SingleTxtG"/>
      </w:pPr>
      <w:r w:rsidRPr="00755DE3">
        <w:t xml:space="preserve">These figures considerably demonstrate that the challenge of dealing with waste is both rather stark and pressing. </w:t>
      </w:r>
    </w:p>
    <w:p w14:paraId="746E1B71" w14:textId="77777777" w:rsidR="00232159" w:rsidRPr="00755DE3" w:rsidRDefault="00232159" w:rsidP="001E49E6">
      <w:pPr>
        <w:pStyle w:val="H23G"/>
        <w:ind w:hanging="81"/>
        <w:outlineLvl w:val="9"/>
        <w:rPr>
          <w:lang w:eastAsia="en-GB"/>
        </w:rPr>
      </w:pPr>
      <w:r w:rsidRPr="00755DE3">
        <w:rPr>
          <w:lang w:eastAsia="en-GB"/>
        </w:rPr>
        <w:t xml:space="preserve">Circular economy </w:t>
      </w:r>
    </w:p>
    <w:p w14:paraId="25555A36" w14:textId="17AC1849" w:rsidR="000F1B6C" w:rsidRPr="00755DE3" w:rsidRDefault="00067243" w:rsidP="00C66AC7">
      <w:pPr>
        <w:pStyle w:val="SingleTxtG"/>
      </w:pPr>
      <w:r w:rsidRPr="00755DE3">
        <w:t>In response to the problems of a wasteful linear economy</w:t>
      </w:r>
      <w:r w:rsidR="00E55197" w:rsidRPr="00755DE3">
        <w:t>,</w:t>
      </w:r>
      <w:r w:rsidRPr="00755DE3">
        <w:t xml:space="preserve"> </w:t>
      </w:r>
      <w:r w:rsidR="001E6F26" w:rsidRPr="00755DE3">
        <w:t>t</w:t>
      </w:r>
      <w:r w:rsidRPr="00755DE3">
        <w:t xml:space="preserve">he </w:t>
      </w:r>
      <w:r w:rsidR="00CE2EBE" w:rsidRPr="00755DE3">
        <w:t xml:space="preserve">concept of the </w:t>
      </w:r>
      <w:proofErr w:type="gramStart"/>
      <w:r w:rsidRPr="00755DE3">
        <w:t>so called</w:t>
      </w:r>
      <w:proofErr w:type="gramEnd"/>
      <w:r w:rsidRPr="00755DE3">
        <w:t xml:space="preserve"> c</w:t>
      </w:r>
      <w:r w:rsidR="00232159" w:rsidRPr="00755DE3">
        <w:t>ircular economy</w:t>
      </w:r>
      <w:r w:rsidR="00D77914" w:rsidRPr="00755DE3">
        <w:t xml:space="preserve"> </w:t>
      </w:r>
      <w:r w:rsidR="001E6F26" w:rsidRPr="00755DE3">
        <w:t>has emerged</w:t>
      </w:r>
      <w:r w:rsidR="00AA1F4B" w:rsidRPr="00755DE3">
        <w:t xml:space="preserve"> </w:t>
      </w:r>
      <w:r w:rsidR="0024248A" w:rsidRPr="00755DE3">
        <w:t>–</w:t>
      </w:r>
      <w:r w:rsidRPr="00755DE3">
        <w:t xml:space="preserve"> </w:t>
      </w:r>
      <w:r w:rsidR="00232159" w:rsidRPr="00755DE3">
        <w:t xml:space="preserve">an economy that focuses </w:t>
      </w:r>
      <w:r w:rsidRPr="00755DE3">
        <w:t xml:space="preserve">by contrast, </w:t>
      </w:r>
      <w:r w:rsidR="00232159" w:rsidRPr="00755DE3">
        <w:t>on maintaining the value of products, materials and resources in circulat</w:t>
      </w:r>
      <w:r w:rsidR="00CE2EBE" w:rsidRPr="00755DE3">
        <w:t xml:space="preserve">ion </w:t>
      </w:r>
      <w:r w:rsidR="00232159" w:rsidRPr="00755DE3">
        <w:t>for as long as possible</w:t>
      </w:r>
      <w:r w:rsidR="00CE2EBE" w:rsidRPr="00755DE3">
        <w:t>,</w:t>
      </w:r>
      <w:r w:rsidR="00232159" w:rsidRPr="00755DE3">
        <w:t xml:space="preserve"> thus minimising waste generation and resource consumption.</w:t>
      </w:r>
      <w:r w:rsidR="001E6F26" w:rsidRPr="00755DE3">
        <w:rPr>
          <w:rStyle w:val="FootnoteReference"/>
        </w:rPr>
        <w:footnoteReference w:id="9"/>
      </w:r>
      <w:r w:rsidR="00E90986" w:rsidRPr="00755DE3">
        <w:t xml:space="preserve"> </w:t>
      </w:r>
      <w:r w:rsidR="00232159" w:rsidRPr="00755DE3">
        <w:t xml:space="preserve">The transition towards a </w:t>
      </w:r>
      <w:r w:rsidR="00D77914" w:rsidRPr="00755DE3">
        <w:t>circular economy</w:t>
      </w:r>
      <w:r w:rsidR="00232159" w:rsidRPr="00755DE3">
        <w:t xml:space="preserve"> is </w:t>
      </w:r>
      <w:r w:rsidR="001C7FD8" w:rsidRPr="00755DE3">
        <w:t>argued</w:t>
      </w:r>
      <w:r w:rsidR="00E55197" w:rsidRPr="00755DE3">
        <w:t xml:space="preserve"> </w:t>
      </w:r>
      <w:r w:rsidR="00232159" w:rsidRPr="00755DE3">
        <w:t xml:space="preserve">to create new business opportunities and jobs and will imply innovative, more efficient ways of producing and consuming. It is also presumed that a </w:t>
      </w:r>
      <w:r w:rsidR="00D77914" w:rsidRPr="00755DE3">
        <w:t>circular economy</w:t>
      </w:r>
      <w:r w:rsidR="00232159" w:rsidRPr="00755DE3">
        <w:t xml:space="preserve"> will save energy and will</w:t>
      </w:r>
      <w:r w:rsidR="00A620ED">
        <w:t xml:space="preserve"> help</w:t>
      </w:r>
      <w:r w:rsidR="00232159" w:rsidRPr="00755DE3">
        <w:t xml:space="preserve"> avoid irreversible damages to the environment and to society caused by the consumption of resources at a rate that exceeds the earth</w:t>
      </w:r>
      <w:r w:rsidR="00CE2EBE" w:rsidRPr="00755DE3">
        <w:t>’</w:t>
      </w:r>
      <w:r w:rsidR="00232159" w:rsidRPr="00755DE3">
        <w:t xml:space="preserve">s capacity to renew them. </w:t>
      </w:r>
    </w:p>
    <w:p w14:paraId="3290429A" w14:textId="6DA1CEE8" w:rsidR="000F1B6C" w:rsidRPr="00755DE3" w:rsidRDefault="000F1B6C" w:rsidP="001E49E6">
      <w:pPr>
        <w:pStyle w:val="H23G"/>
        <w:ind w:hanging="81"/>
        <w:outlineLvl w:val="9"/>
        <w:rPr>
          <w:lang w:eastAsia="en-GB"/>
        </w:rPr>
      </w:pPr>
      <w:r w:rsidRPr="00755DE3">
        <w:rPr>
          <w:lang w:eastAsia="en-GB"/>
        </w:rPr>
        <w:t xml:space="preserve">Moving away from landfills to circularity </w:t>
      </w:r>
    </w:p>
    <w:p w14:paraId="04E75C1B" w14:textId="05366874" w:rsidR="000F1B6C" w:rsidRPr="00755DE3" w:rsidRDefault="000F1B6C" w:rsidP="00C66AC7">
      <w:pPr>
        <w:pStyle w:val="SingleTxtG"/>
      </w:pPr>
      <w:r w:rsidRPr="00755DE3">
        <w:t xml:space="preserve">The huge rise in waste has in many countries made traditional dumping in landfills unsustainable. One </w:t>
      </w:r>
      <w:r w:rsidR="003D1036" w:rsidRPr="00755DE3">
        <w:t>example</w:t>
      </w:r>
      <w:r w:rsidRPr="00755DE3">
        <w:t xml:space="preserve"> </w:t>
      </w:r>
      <w:r w:rsidR="007D6D43" w:rsidRPr="00755DE3">
        <w:t>of</w:t>
      </w:r>
      <w:r w:rsidRPr="00755DE3">
        <w:t xml:space="preserve"> this is the </w:t>
      </w:r>
      <w:r w:rsidR="00244C51" w:rsidRPr="00755DE3">
        <w:t>“</w:t>
      </w:r>
      <w:r w:rsidRPr="00755DE3">
        <w:t>fast fashion industry</w:t>
      </w:r>
      <w:r w:rsidR="00244C51" w:rsidRPr="00755DE3">
        <w:t>”</w:t>
      </w:r>
      <w:r w:rsidRPr="00755DE3">
        <w:t xml:space="preserve">. Textiles </w:t>
      </w:r>
      <w:r w:rsidR="003F7691" w:rsidRPr="00755DE3">
        <w:t>r</w:t>
      </w:r>
      <w:r w:rsidRPr="00755DE3">
        <w:t xml:space="preserve">epresent one of </w:t>
      </w:r>
      <w:r w:rsidRPr="00755DE3">
        <w:lastRenderedPageBreak/>
        <w:t xml:space="preserve">the </w:t>
      </w:r>
      <w:r w:rsidR="00C102EC" w:rsidRPr="00755DE3">
        <w:t>world’s</w:t>
      </w:r>
      <w:r w:rsidRPr="00755DE3">
        <w:t xml:space="preserve"> fastest growing streams of discarded material</w:t>
      </w:r>
      <w:r w:rsidR="00D533CF" w:rsidRPr="00755DE3">
        <w:t xml:space="preserve">, and </w:t>
      </w:r>
      <w:r w:rsidRPr="00755DE3">
        <w:t>include all forms of fabric, including materials used to make clothing</w:t>
      </w:r>
      <w:r w:rsidR="00D533CF" w:rsidRPr="00755DE3">
        <w:t>. I</w:t>
      </w:r>
      <w:r w:rsidRPr="00755DE3">
        <w:t>n the developed world</w:t>
      </w:r>
      <w:r w:rsidR="00E107E4" w:rsidRPr="00755DE3">
        <w:t>,</w:t>
      </w:r>
      <w:r w:rsidRPr="00755DE3">
        <w:t xml:space="preserve"> fast fashion industries encourage consumers to purchase new apparel in quick succession and </w:t>
      </w:r>
      <w:r w:rsidR="00E107E4" w:rsidRPr="00755DE3">
        <w:t>as a result</w:t>
      </w:r>
      <w:r w:rsidR="001A6361" w:rsidRPr="00755DE3">
        <w:t>,</w:t>
      </w:r>
      <w:r w:rsidR="005B4AC7" w:rsidRPr="00755DE3">
        <w:t xml:space="preserve"> </w:t>
      </w:r>
      <w:r w:rsidRPr="00755DE3">
        <w:t>more used</w:t>
      </w:r>
      <w:r w:rsidR="00E107E4" w:rsidRPr="00755DE3">
        <w:t>, and not-so-used</w:t>
      </w:r>
      <w:r w:rsidR="001A6361" w:rsidRPr="00755DE3">
        <w:t xml:space="preserve"> </w:t>
      </w:r>
      <w:r w:rsidRPr="00755DE3">
        <w:t xml:space="preserve">clothes are being tossed into landfills. </w:t>
      </w:r>
    </w:p>
    <w:p w14:paraId="6F918C55" w14:textId="6EF1B4D8" w:rsidR="000F1B6C" w:rsidRPr="00755DE3" w:rsidRDefault="000F1B6C" w:rsidP="00C66AC7">
      <w:pPr>
        <w:pStyle w:val="SingleTxtG"/>
      </w:pPr>
      <w:r w:rsidRPr="00755DE3">
        <w:t xml:space="preserve">Increasingly though diverting waste from </w:t>
      </w:r>
      <w:r w:rsidR="003F7691" w:rsidRPr="00755DE3">
        <w:t xml:space="preserve">landfills </w:t>
      </w:r>
      <w:r w:rsidRPr="00755DE3">
        <w:t>is becoming commonplace for urban dwellers</w:t>
      </w:r>
      <w:r w:rsidR="00E55197" w:rsidRPr="00755DE3">
        <w:t>.</w:t>
      </w:r>
      <w:r w:rsidRPr="00755DE3">
        <w:t xml:space="preserve"> Recycling and composting programmes are now </w:t>
      </w:r>
      <w:r w:rsidR="008D1B53" w:rsidRPr="00755DE3">
        <w:t>a feature of urban life</w:t>
      </w:r>
      <w:r w:rsidR="00E55197" w:rsidRPr="00755DE3">
        <w:t>,</w:t>
      </w:r>
      <w:r w:rsidRPr="00755DE3">
        <w:t xml:space="preserve"> the familiar </w:t>
      </w:r>
      <w:r w:rsidR="007829F2">
        <w:t xml:space="preserve">recycling </w:t>
      </w:r>
      <w:r w:rsidRPr="00755DE3">
        <w:t xml:space="preserve">bins </w:t>
      </w:r>
      <w:r w:rsidR="00E107E4" w:rsidRPr="00755DE3">
        <w:t xml:space="preserve">almost </w:t>
      </w:r>
      <w:r w:rsidR="004538A7" w:rsidRPr="00755DE3">
        <w:t>everywhere</w:t>
      </w:r>
      <w:r w:rsidRPr="00755DE3">
        <w:t xml:space="preserve"> ubiquitous. </w:t>
      </w:r>
      <w:r w:rsidR="003F7691" w:rsidRPr="00755DE3">
        <w:t>The</w:t>
      </w:r>
      <w:r w:rsidRPr="00755DE3">
        <w:t xml:space="preserve"> benefits </w:t>
      </w:r>
      <w:r w:rsidR="008D1B53" w:rsidRPr="00755DE3">
        <w:t>also</w:t>
      </w:r>
      <w:r w:rsidRPr="00755DE3">
        <w:t xml:space="preserve"> are significant. </w:t>
      </w:r>
      <w:r w:rsidR="00CF5319" w:rsidRPr="00755DE3">
        <w:t>Recycling materials such as wood pulp and paper</w:t>
      </w:r>
      <w:r w:rsidR="00E55197" w:rsidRPr="00755DE3">
        <w:t>,</w:t>
      </w:r>
      <w:r w:rsidR="003F7691" w:rsidRPr="00755DE3">
        <w:t xml:space="preserve"> </w:t>
      </w:r>
      <w:r w:rsidR="00CF5319" w:rsidRPr="00755DE3">
        <w:t>plastics</w:t>
      </w:r>
      <w:r w:rsidR="00E55197" w:rsidRPr="00755DE3">
        <w:t>,</w:t>
      </w:r>
      <w:r w:rsidR="003F7691" w:rsidRPr="00755DE3">
        <w:t xml:space="preserve"> </w:t>
      </w:r>
      <w:r w:rsidR="00CF5319" w:rsidRPr="00755DE3">
        <w:t xml:space="preserve">glass and metals help prevent the depletion of natural resources. </w:t>
      </w:r>
      <w:r w:rsidR="008D1B53" w:rsidRPr="00755DE3">
        <w:t xml:space="preserve">A circular economy </w:t>
      </w:r>
      <w:r w:rsidR="00CF5319" w:rsidRPr="00755DE3">
        <w:t>also creates economic opportunities with more companies producing new products from diverted materials</w:t>
      </w:r>
      <w:r w:rsidR="00E55197" w:rsidRPr="00755DE3">
        <w:t>.</w:t>
      </w:r>
      <w:r w:rsidR="00CF5319" w:rsidRPr="00755DE3">
        <w:t xml:space="preserve"> </w:t>
      </w:r>
      <w:r w:rsidR="00A620ED">
        <w:t>In many instances, l</w:t>
      </w:r>
      <w:r w:rsidR="00CF5319" w:rsidRPr="00755DE3">
        <w:t>ess energy</w:t>
      </w:r>
      <w:r w:rsidR="00E55197" w:rsidRPr="00755DE3">
        <w:t xml:space="preserve"> </w:t>
      </w:r>
      <w:r w:rsidR="00111E06" w:rsidRPr="00755DE3">
        <w:t xml:space="preserve">– </w:t>
      </w:r>
      <w:r w:rsidR="00CF5319" w:rsidRPr="00755DE3">
        <w:t xml:space="preserve">fossil fuels for example </w:t>
      </w:r>
      <w:r w:rsidR="00111E06" w:rsidRPr="00755DE3">
        <w:t xml:space="preserve">– </w:t>
      </w:r>
      <w:r w:rsidR="00CF5319" w:rsidRPr="00755DE3">
        <w:t>is required to produce recycled goods t</w:t>
      </w:r>
      <w:r w:rsidR="008D1B53" w:rsidRPr="00755DE3">
        <w:t>han</w:t>
      </w:r>
      <w:r w:rsidR="00CF5319" w:rsidRPr="00755DE3">
        <w:t xml:space="preserve"> similar items made from raw materials</w:t>
      </w:r>
      <w:r w:rsidR="00393EC9" w:rsidRPr="00755DE3">
        <w:t>.</w:t>
      </w:r>
      <w:r w:rsidR="000207F0" w:rsidRPr="00755DE3">
        <w:rPr>
          <w:rStyle w:val="FootnoteReference"/>
        </w:rPr>
        <w:footnoteReference w:id="10"/>
      </w:r>
    </w:p>
    <w:p w14:paraId="3DE9EB59" w14:textId="65DA9361" w:rsidR="00232159" w:rsidRPr="00755DE3" w:rsidRDefault="00381859" w:rsidP="001E49E6">
      <w:pPr>
        <w:pStyle w:val="H23G"/>
        <w:ind w:hanging="81"/>
        <w:outlineLvl w:val="9"/>
        <w:rPr>
          <w:lang w:eastAsia="en-GB"/>
        </w:rPr>
      </w:pPr>
      <w:r w:rsidRPr="00755DE3">
        <w:rPr>
          <w:lang w:eastAsia="en-GB"/>
        </w:rPr>
        <w:t>Waste-to-Energy</w:t>
      </w:r>
      <w:r w:rsidR="00232159" w:rsidRPr="00755DE3">
        <w:rPr>
          <w:lang w:eastAsia="en-GB"/>
        </w:rPr>
        <w:t xml:space="preserve"> </w:t>
      </w:r>
    </w:p>
    <w:p w14:paraId="51F6795E" w14:textId="2E788D89" w:rsidR="00232159" w:rsidRPr="00755DE3" w:rsidRDefault="00474819" w:rsidP="00232159">
      <w:pPr>
        <w:pStyle w:val="SingleTxtG"/>
      </w:pPr>
      <w:r w:rsidRPr="00755DE3">
        <w:t>WtE</w:t>
      </w:r>
      <w:r w:rsidR="00232159" w:rsidRPr="00755DE3">
        <w:t xml:space="preserve"> is a process that uses heat to recover energy or fuels from waste materials. It has been applied for many decades, as a well-established waste management method in many highly environmentally </w:t>
      </w:r>
      <w:r w:rsidR="00E107E4" w:rsidRPr="00755DE3">
        <w:t xml:space="preserve">sensitive </w:t>
      </w:r>
      <w:r w:rsidR="00232159" w:rsidRPr="00755DE3">
        <w:t>economies, e.g.</w:t>
      </w:r>
      <w:r w:rsidR="0034712F" w:rsidRPr="00755DE3">
        <w:t xml:space="preserve"> </w:t>
      </w:r>
      <w:r w:rsidR="00CE2EBE" w:rsidRPr="00755DE3">
        <w:t xml:space="preserve">in </w:t>
      </w:r>
      <w:r w:rsidR="00232159" w:rsidRPr="00755DE3">
        <w:t>Europe</w:t>
      </w:r>
      <w:r w:rsidR="00CE2EBE" w:rsidRPr="00755DE3">
        <w:t xml:space="preserve"> and in countries like </w:t>
      </w:r>
      <w:r w:rsidR="00232159" w:rsidRPr="00755DE3">
        <w:t xml:space="preserve">Japan, </w:t>
      </w:r>
      <w:r w:rsidR="00CE2EBE" w:rsidRPr="00755DE3">
        <w:t xml:space="preserve">Republic of </w:t>
      </w:r>
      <w:r w:rsidR="00232159" w:rsidRPr="00755DE3">
        <w:t>Korea, Singapore</w:t>
      </w:r>
      <w:r w:rsidR="00CE2EBE" w:rsidRPr="00755DE3">
        <w:t xml:space="preserve"> etc.</w:t>
      </w:r>
      <w:r w:rsidR="00993537" w:rsidRPr="00755DE3">
        <w:rPr>
          <w:rStyle w:val="FootnoteReference"/>
        </w:rPr>
        <w:footnoteReference w:id="11"/>
      </w:r>
      <w:r w:rsidR="00232159" w:rsidRPr="00755DE3">
        <w:t xml:space="preserve"> </w:t>
      </w:r>
    </w:p>
    <w:p w14:paraId="7FB39D12" w14:textId="7F6DC5A3" w:rsidR="004D23B2" w:rsidRPr="00755DE3" w:rsidRDefault="004D23B2" w:rsidP="004D23B2">
      <w:pPr>
        <w:pStyle w:val="SingleTxtG"/>
      </w:pPr>
      <w:r w:rsidRPr="00755DE3">
        <w:t xml:space="preserve">In total, in 2019, there </w:t>
      </w:r>
      <w:r w:rsidR="00881654" w:rsidRPr="00755DE3">
        <w:t>were</w:t>
      </w:r>
      <w:r w:rsidRPr="00755DE3">
        <w:t xml:space="preserve"> over 1,200 W</w:t>
      </w:r>
      <w:r w:rsidR="00284982" w:rsidRPr="00755DE3">
        <w:t>t</w:t>
      </w:r>
      <w:r w:rsidRPr="00755DE3">
        <w:t xml:space="preserve">E plants in the world, with a total capacity of </w:t>
      </w:r>
      <w:r w:rsidR="00284982" w:rsidRPr="00755DE3">
        <w:t xml:space="preserve">approximately </w:t>
      </w:r>
      <w:r w:rsidRPr="00755DE3">
        <w:t>3</w:t>
      </w:r>
      <w:r w:rsidR="00A35A3B" w:rsidRPr="00755DE3">
        <w:t>1</w:t>
      </w:r>
      <w:r w:rsidRPr="00755DE3">
        <w:t xml:space="preserve">0 million </w:t>
      </w:r>
      <w:r w:rsidR="00020490" w:rsidRPr="00755DE3">
        <w:t>tonnes</w:t>
      </w:r>
      <w:r w:rsidRPr="00755DE3">
        <w:t xml:space="preserve"> of waste per year. </w:t>
      </w:r>
      <w:r w:rsidR="00950FCC" w:rsidRPr="00755DE3">
        <w:t xml:space="preserve">Most of </w:t>
      </w:r>
      <w:r w:rsidR="00A620ED">
        <w:t xml:space="preserve">the </w:t>
      </w:r>
      <w:r w:rsidR="00950FCC" w:rsidRPr="00755DE3">
        <w:t xml:space="preserve">existing WtE plants are located in </w:t>
      </w:r>
      <w:r w:rsidR="002A6361" w:rsidRPr="00755DE3">
        <w:t>China with a total capacity of approximately 130 million tonnes</w:t>
      </w:r>
      <w:r w:rsidR="00ED7268" w:rsidRPr="00755DE3">
        <w:t xml:space="preserve"> per year</w:t>
      </w:r>
      <w:r w:rsidR="00BE4DB9">
        <w:t>,</w:t>
      </w:r>
      <w:r w:rsidR="002A6361" w:rsidRPr="00755DE3">
        <w:rPr>
          <w:rStyle w:val="FootnoteReference"/>
        </w:rPr>
        <w:footnoteReference w:id="12"/>
      </w:r>
      <w:r w:rsidR="002A6361" w:rsidRPr="00755DE3">
        <w:t xml:space="preserve"> </w:t>
      </w:r>
      <w:r w:rsidR="00950FCC" w:rsidRPr="00755DE3">
        <w:t>the</w:t>
      </w:r>
      <w:r w:rsidRPr="00755DE3">
        <w:t xml:space="preserve"> EU</w:t>
      </w:r>
      <w:r w:rsidR="00950FCC" w:rsidRPr="00755DE3">
        <w:t xml:space="preserve"> </w:t>
      </w:r>
      <w:r w:rsidR="00ED7268" w:rsidRPr="00755DE3">
        <w:t xml:space="preserve">with </w:t>
      </w:r>
      <w:r w:rsidR="00284982" w:rsidRPr="00755DE3">
        <w:t xml:space="preserve">approximately </w:t>
      </w:r>
      <w:r w:rsidRPr="00755DE3">
        <w:t xml:space="preserve">90 million </w:t>
      </w:r>
      <w:r w:rsidR="00020490" w:rsidRPr="00755DE3">
        <w:t>tonnes</w:t>
      </w:r>
      <w:r w:rsidRPr="00755DE3">
        <w:t xml:space="preserve"> per year</w:t>
      </w:r>
      <w:r w:rsidR="00ED7268" w:rsidRPr="00755DE3">
        <w:t>,</w:t>
      </w:r>
      <w:r w:rsidRPr="00755DE3">
        <w:rPr>
          <w:rStyle w:val="FootnoteReference"/>
        </w:rPr>
        <w:footnoteReference w:id="13"/>
      </w:r>
      <w:r w:rsidR="00ED7268" w:rsidRPr="00755DE3">
        <w:t xml:space="preserve"> </w:t>
      </w:r>
      <w:r w:rsidRPr="00755DE3">
        <w:t xml:space="preserve">Japan </w:t>
      </w:r>
      <w:r w:rsidR="00ED7268" w:rsidRPr="00755DE3">
        <w:t xml:space="preserve">with </w:t>
      </w:r>
      <w:r w:rsidR="00284982" w:rsidRPr="00755DE3">
        <w:t xml:space="preserve">approximately </w:t>
      </w:r>
      <w:r w:rsidRPr="00755DE3">
        <w:t xml:space="preserve">60 million </w:t>
      </w:r>
      <w:r w:rsidR="00020490" w:rsidRPr="00755DE3">
        <w:t>tonnes</w:t>
      </w:r>
      <w:r w:rsidRPr="00755DE3">
        <w:t xml:space="preserve"> per year</w:t>
      </w:r>
      <w:r w:rsidR="00D41127" w:rsidRPr="00755DE3">
        <w:t>,</w:t>
      </w:r>
      <w:r w:rsidRPr="00755DE3">
        <w:rPr>
          <w:rStyle w:val="FootnoteReference"/>
        </w:rPr>
        <w:footnoteReference w:id="14"/>
      </w:r>
      <w:r w:rsidRPr="00755DE3">
        <w:t xml:space="preserve"> </w:t>
      </w:r>
      <w:r w:rsidR="00D41127" w:rsidRPr="00755DE3">
        <w:t xml:space="preserve">the United States </w:t>
      </w:r>
      <w:r w:rsidR="003B4C16" w:rsidRPr="00755DE3">
        <w:t xml:space="preserve">with approximately </w:t>
      </w:r>
      <w:r w:rsidR="00D41127" w:rsidRPr="00755DE3">
        <w:t>27 million tonnes</w:t>
      </w:r>
      <w:r w:rsidR="003B4C16" w:rsidRPr="00755DE3">
        <w:t xml:space="preserve"> </w:t>
      </w:r>
      <w:r w:rsidR="00ED7268" w:rsidRPr="00755DE3">
        <w:t>per year</w:t>
      </w:r>
      <w:r w:rsidR="003B4C16" w:rsidRPr="00755DE3">
        <w:t>,</w:t>
      </w:r>
      <w:r w:rsidR="00D41127" w:rsidRPr="00755DE3">
        <w:rPr>
          <w:rStyle w:val="FootnoteReference"/>
        </w:rPr>
        <w:footnoteReference w:id="15"/>
      </w:r>
      <w:r w:rsidR="009B7CEF" w:rsidRPr="00755DE3">
        <w:t xml:space="preserve"> S</w:t>
      </w:r>
      <w:r w:rsidR="00D41127" w:rsidRPr="00755DE3">
        <w:t>outh</w:t>
      </w:r>
      <w:r w:rsidR="009B7CEF" w:rsidRPr="00755DE3">
        <w:t xml:space="preserve"> Korea </w:t>
      </w:r>
      <w:r w:rsidR="003B4C16" w:rsidRPr="00755DE3">
        <w:t xml:space="preserve">with </w:t>
      </w:r>
      <w:r w:rsidR="00284982" w:rsidRPr="00755DE3">
        <w:t xml:space="preserve">approximately </w:t>
      </w:r>
      <w:r w:rsidR="009B7CEF" w:rsidRPr="00755DE3">
        <w:t xml:space="preserve">4.5 million </w:t>
      </w:r>
      <w:r w:rsidR="00020490" w:rsidRPr="00755DE3">
        <w:t>tonnes</w:t>
      </w:r>
      <w:r w:rsidR="00ED7268" w:rsidRPr="00755DE3">
        <w:t xml:space="preserve"> per year,</w:t>
      </w:r>
      <w:r w:rsidR="00ED7268" w:rsidRPr="00755DE3">
        <w:rPr>
          <w:rStyle w:val="FootnoteReference"/>
        </w:rPr>
        <w:t xml:space="preserve"> </w:t>
      </w:r>
      <w:r w:rsidR="009B7CEF" w:rsidRPr="00755DE3">
        <w:rPr>
          <w:rStyle w:val="FootnoteReference"/>
        </w:rPr>
        <w:footnoteReference w:id="16"/>
      </w:r>
      <w:r w:rsidR="00E81E9F" w:rsidRPr="00755DE3">
        <w:t xml:space="preserve"> and in Singapore </w:t>
      </w:r>
      <w:r w:rsidR="003B4C16" w:rsidRPr="00755DE3">
        <w:t xml:space="preserve">with </w:t>
      </w:r>
      <w:r w:rsidR="00284982" w:rsidRPr="00755DE3">
        <w:t xml:space="preserve">approximately </w:t>
      </w:r>
      <w:r w:rsidR="00E81E9F" w:rsidRPr="00755DE3">
        <w:t xml:space="preserve">2.5 million </w:t>
      </w:r>
      <w:r w:rsidR="00020490" w:rsidRPr="00755DE3">
        <w:t>tonnes</w:t>
      </w:r>
      <w:r w:rsidR="00ED7268" w:rsidRPr="00755DE3">
        <w:t xml:space="preserve"> per year.</w:t>
      </w:r>
      <w:r w:rsidR="00E81E9F" w:rsidRPr="00755DE3">
        <w:rPr>
          <w:rStyle w:val="FootnoteReference"/>
        </w:rPr>
        <w:footnoteReference w:id="17"/>
      </w:r>
    </w:p>
    <w:p w14:paraId="779AE249" w14:textId="74BED785" w:rsidR="00232159" w:rsidRPr="00755DE3" w:rsidRDefault="00232159" w:rsidP="00232159">
      <w:pPr>
        <w:pStyle w:val="SingleTxtG"/>
      </w:pPr>
      <w:r w:rsidRPr="00755DE3">
        <w:t xml:space="preserve">The contribution of </w:t>
      </w:r>
      <w:r w:rsidR="00474819" w:rsidRPr="00755DE3">
        <w:t>WtE</w:t>
      </w:r>
      <w:r w:rsidRPr="00755DE3">
        <w:t xml:space="preserve"> to the global renewable energy supply from the combustion of the biogenic fraction of the waste, is </w:t>
      </w:r>
      <w:r w:rsidR="00F26827" w:rsidRPr="00755DE3">
        <w:t xml:space="preserve">approximately </w:t>
      </w:r>
      <w:r w:rsidRPr="00755DE3">
        <w:t xml:space="preserve">1%. The global </w:t>
      </w:r>
      <w:r w:rsidR="003B4C16" w:rsidRPr="00755DE3">
        <w:t>WtE</w:t>
      </w:r>
      <w:r w:rsidRPr="00755DE3">
        <w:t xml:space="preserve"> market </w:t>
      </w:r>
      <w:r w:rsidR="00CC3923" w:rsidRPr="00755DE3">
        <w:t xml:space="preserve">size </w:t>
      </w:r>
      <w:r w:rsidRPr="00755DE3">
        <w:t xml:space="preserve">was valued at </w:t>
      </w:r>
      <w:r w:rsidR="00CC3923" w:rsidRPr="00755DE3">
        <w:t>USD 31.0</w:t>
      </w:r>
      <w:r w:rsidRPr="00755DE3">
        <w:t xml:space="preserve"> billion </w:t>
      </w:r>
      <w:r w:rsidR="00CC3923" w:rsidRPr="00755DE3">
        <w:t>in 2019</w:t>
      </w:r>
      <w:r w:rsidR="0017344B" w:rsidRPr="00755DE3">
        <w:t xml:space="preserve"> </w:t>
      </w:r>
      <w:r w:rsidRPr="00755DE3">
        <w:t xml:space="preserve">and </w:t>
      </w:r>
      <w:r w:rsidR="000E19E7" w:rsidRPr="00755DE3">
        <w:t>is projected to register a compound annual growth rate (CAGR) of 7.4% until 2027</w:t>
      </w:r>
      <w:r w:rsidR="00A934B1" w:rsidRPr="00755DE3">
        <w:t>.</w:t>
      </w:r>
      <w:r w:rsidR="000E19E7" w:rsidRPr="00755DE3">
        <w:rPr>
          <w:rStyle w:val="FootnoteReference"/>
        </w:rPr>
        <w:footnoteReference w:id="18"/>
      </w:r>
      <w:r w:rsidR="001A6361" w:rsidRPr="00755DE3">
        <w:t xml:space="preserve"> </w:t>
      </w:r>
    </w:p>
    <w:p w14:paraId="5115690D" w14:textId="19D7515C" w:rsidR="00E16EEB" w:rsidRPr="00755DE3" w:rsidRDefault="00A308A4" w:rsidP="006C0E73">
      <w:pPr>
        <w:pStyle w:val="SingleTxtG"/>
      </w:pPr>
      <w:r w:rsidRPr="00755DE3">
        <w:t xml:space="preserve">WtE is an </w:t>
      </w:r>
      <w:r w:rsidR="009C6FDA" w:rsidRPr="00755DE3">
        <w:t xml:space="preserve">oligopolistic </w:t>
      </w:r>
      <w:r w:rsidRPr="00755DE3">
        <w:t xml:space="preserve">industry </w:t>
      </w:r>
      <w:r w:rsidR="00E16EEB" w:rsidRPr="00755DE3">
        <w:t xml:space="preserve">dominated by major </w:t>
      </w:r>
      <w:r w:rsidRPr="00755DE3">
        <w:t xml:space="preserve">players from developed </w:t>
      </w:r>
      <w:r w:rsidR="0044783C" w:rsidRPr="00755DE3">
        <w:t>countries</w:t>
      </w:r>
      <w:r w:rsidR="00BE4DB9">
        <w:t xml:space="preserve"> in Europe, </w:t>
      </w:r>
      <w:r w:rsidR="00E107E4" w:rsidRPr="00755DE3">
        <w:t xml:space="preserve">the United States and </w:t>
      </w:r>
      <w:r w:rsidRPr="00755DE3">
        <w:t xml:space="preserve">including Japan and China in Asia. Many of the latter enter into </w:t>
      </w:r>
      <w:r w:rsidR="001647F2" w:rsidRPr="00755DE3">
        <w:t xml:space="preserve">strategic </w:t>
      </w:r>
      <w:r w:rsidR="00E16EEB" w:rsidRPr="00755DE3">
        <w:t xml:space="preserve">collaborations with </w:t>
      </w:r>
      <w:r w:rsidRPr="00755DE3">
        <w:t xml:space="preserve">smaller </w:t>
      </w:r>
      <w:r w:rsidR="00E16EEB" w:rsidRPr="00755DE3">
        <w:t xml:space="preserve">local </w:t>
      </w:r>
      <w:r w:rsidRPr="00755DE3">
        <w:t>companies</w:t>
      </w:r>
      <w:r w:rsidR="000B0265" w:rsidRPr="00755DE3">
        <w:t xml:space="preserve"> or take stakes in local companies </w:t>
      </w:r>
      <w:r w:rsidRPr="00755DE3">
        <w:t>when accessing new markets</w:t>
      </w:r>
      <w:r w:rsidR="000872DA" w:rsidRPr="00755DE3">
        <w:t>,</w:t>
      </w:r>
      <w:r w:rsidR="000B0265" w:rsidRPr="00755DE3">
        <w:t xml:space="preserve"> thereby contributing to </w:t>
      </w:r>
      <w:r w:rsidR="000F0A53" w:rsidRPr="00755DE3">
        <w:t xml:space="preserve">Foreign Direct Investment (FDI) </w:t>
      </w:r>
      <w:r w:rsidR="000B0265" w:rsidRPr="00755DE3">
        <w:t>flows into these countries</w:t>
      </w:r>
      <w:r w:rsidRPr="00755DE3">
        <w:t>.</w:t>
      </w:r>
      <w:r w:rsidR="001A6361" w:rsidRPr="00755DE3">
        <w:t xml:space="preserve"> </w:t>
      </w:r>
      <w:r w:rsidR="006C0E73" w:rsidRPr="00755DE3">
        <w:t xml:space="preserve">The </w:t>
      </w:r>
      <w:r w:rsidR="009C6FDA" w:rsidRPr="00755DE3">
        <w:t>top</w:t>
      </w:r>
      <w:r w:rsidR="006C0E73" w:rsidRPr="00755DE3">
        <w:t xml:space="preserve"> players in </w:t>
      </w:r>
      <w:r w:rsidR="009C6FDA" w:rsidRPr="00755DE3">
        <w:t xml:space="preserve">the </w:t>
      </w:r>
      <w:r w:rsidR="005210AE" w:rsidRPr="00755DE3">
        <w:t>WtE</w:t>
      </w:r>
      <w:r w:rsidR="006C0E73" w:rsidRPr="00755DE3">
        <w:t xml:space="preserve"> industry </w:t>
      </w:r>
      <w:r w:rsidR="004538A7" w:rsidRPr="00755DE3">
        <w:t>are</w:t>
      </w:r>
      <w:r w:rsidR="006C0E73" w:rsidRPr="00755DE3">
        <w:t xml:space="preserve"> Babcock &amp;Wilcox </w:t>
      </w:r>
      <w:r w:rsidR="001647F2" w:rsidRPr="00755DE3">
        <w:t>Enterprises Inc.</w:t>
      </w:r>
      <w:r w:rsidR="006C0E73" w:rsidRPr="00755DE3">
        <w:t xml:space="preserve">, </w:t>
      </w:r>
      <w:r w:rsidR="009C6FDA" w:rsidRPr="00755DE3">
        <w:t>Everbright Environment</w:t>
      </w:r>
      <w:r w:rsidR="006C0E73" w:rsidRPr="00755DE3">
        <w:t xml:space="preserve">, CNIM (Martin GmbH owns 10.25% of CNIM), Covanta Energy, Hitachi Zosen Inova AG (formerly Von Roll Inova), Keppel </w:t>
      </w:r>
      <w:proofErr w:type="spellStart"/>
      <w:r w:rsidR="006C0E73" w:rsidRPr="00755DE3">
        <w:t>Seghers</w:t>
      </w:r>
      <w:proofErr w:type="spellEnd"/>
      <w:r w:rsidR="006C0E73" w:rsidRPr="00755DE3">
        <w:t>, SUEZ</w:t>
      </w:r>
      <w:r w:rsidR="001647F2" w:rsidRPr="00755DE3">
        <w:t xml:space="preserve"> Environment</w:t>
      </w:r>
      <w:r w:rsidR="006C0E73" w:rsidRPr="00755DE3">
        <w:t>, Veolia Environment S.A., Viridor</w:t>
      </w:r>
      <w:r w:rsidR="00E107E4" w:rsidRPr="00755DE3">
        <w:t xml:space="preserve">, </w:t>
      </w:r>
      <w:r w:rsidR="004538A7" w:rsidRPr="00755DE3">
        <w:t>etc.</w:t>
      </w:r>
      <w:r w:rsidR="00497940" w:rsidRPr="00755DE3">
        <w:rPr>
          <w:rStyle w:val="FootnoteReference"/>
        </w:rPr>
        <w:footnoteReference w:id="19"/>
      </w:r>
    </w:p>
    <w:p w14:paraId="730367A3" w14:textId="1A0C4201" w:rsidR="00993537" w:rsidRDefault="00993537" w:rsidP="001E49E6">
      <w:pPr>
        <w:pStyle w:val="H23G"/>
        <w:ind w:hanging="81"/>
        <w:outlineLvl w:val="9"/>
        <w:rPr>
          <w:lang w:eastAsia="en-GB"/>
        </w:rPr>
      </w:pPr>
      <w:r w:rsidRPr="00755DE3">
        <w:rPr>
          <w:lang w:eastAsia="en-GB"/>
        </w:rPr>
        <w:t>Waste hierarchy</w:t>
      </w:r>
    </w:p>
    <w:p w14:paraId="516FF3CA" w14:textId="7CD6CA6B" w:rsidR="005C5934" w:rsidRDefault="005C5934" w:rsidP="005C5934">
      <w:pPr>
        <w:pStyle w:val="SingleTxtG"/>
      </w:pPr>
      <w:r w:rsidRPr="005C5934">
        <w:t xml:space="preserve">Figure 1 graphically represents the EU waste hierarchy which is the basis of the EU waste policy and legislation. The waste hierarchy dictates that waste should be managed with the </w:t>
      </w:r>
      <w:r w:rsidRPr="005C5934">
        <w:lastRenderedPageBreak/>
        <w:t>following priority order: prevention, reuse, recycling, recovery and disposal. WtE is only competing with landfilling for residual waste and the waste hierarchy recognise that landfilling should come last.</w:t>
      </w:r>
    </w:p>
    <w:p w14:paraId="634CECCA" w14:textId="0DFA2BD3" w:rsidR="005C5934" w:rsidRPr="005C5934" w:rsidRDefault="005C5934" w:rsidP="005C5934">
      <w:pPr>
        <w:pStyle w:val="SingleTxtG"/>
        <w:rPr>
          <w:b/>
          <w:bCs/>
          <w:lang w:eastAsia="en-GB"/>
        </w:rPr>
      </w:pPr>
      <w:r w:rsidRPr="005C5934">
        <w:rPr>
          <w:b/>
          <w:bCs/>
        </w:rPr>
        <w:t>Figure 1. Hierarchy of sustainable waste management</w:t>
      </w:r>
    </w:p>
    <w:p w14:paraId="2EC610BB" w14:textId="620A7587" w:rsidR="005124BA" w:rsidRPr="00755DE3" w:rsidRDefault="00E560D3" w:rsidP="00433FD5">
      <w:pPr>
        <w:pStyle w:val="SingleTxtG"/>
        <w:jc w:val="center"/>
      </w:pPr>
      <w:r w:rsidRPr="00755DE3">
        <w:rPr>
          <w:noProof/>
        </w:rPr>
        <w:drawing>
          <wp:inline distT="0" distB="0" distL="0" distR="0" wp14:anchorId="72CB7CC4" wp14:editId="3DAC6E1E">
            <wp:extent cx="3319670" cy="216804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2034" cy="2176118"/>
                    </a:xfrm>
                    <a:prstGeom prst="rect">
                      <a:avLst/>
                    </a:prstGeom>
                    <a:noFill/>
                  </pic:spPr>
                </pic:pic>
              </a:graphicData>
            </a:graphic>
          </wp:inline>
        </w:drawing>
      </w:r>
    </w:p>
    <w:p w14:paraId="0036E18A" w14:textId="26BBF07B" w:rsidR="00791691" w:rsidRPr="00934C26" w:rsidRDefault="00791691" w:rsidP="00053B13">
      <w:pPr>
        <w:pStyle w:val="SingleTxtG"/>
        <w:jc w:val="center"/>
        <w:rPr>
          <w:sz w:val="18"/>
          <w:szCs w:val="18"/>
        </w:rPr>
      </w:pPr>
      <w:r w:rsidRPr="00934C26">
        <w:rPr>
          <w:sz w:val="18"/>
          <w:szCs w:val="18"/>
          <w:u w:val="single"/>
        </w:rPr>
        <w:t>Source</w:t>
      </w:r>
      <w:r w:rsidRPr="00934C26">
        <w:rPr>
          <w:sz w:val="18"/>
          <w:szCs w:val="18"/>
        </w:rPr>
        <w:t>: European Union</w:t>
      </w:r>
      <w:r w:rsidR="00053B13" w:rsidRPr="00934C26">
        <w:rPr>
          <w:sz w:val="18"/>
          <w:szCs w:val="18"/>
        </w:rPr>
        <w:t>, Directive 2008/98/EC on waste (Waste Framework Directive)</w:t>
      </w:r>
    </w:p>
    <w:p w14:paraId="6A6A14E1" w14:textId="30DF43C0" w:rsidR="00993537" w:rsidRPr="00755DE3" w:rsidRDefault="002F1333" w:rsidP="00180F02">
      <w:pPr>
        <w:pStyle w:val="SingleTxtG"/>
      </w:pPr>
      <w:r w:rsidRPr="00755DE3">
        <w:t>The</w:t>
      </w:r>
      <w:r w:rsidR="001F6F58" w:rsidRPr="00755DE3">
        <w:t xml:space="preserve"> primary purpose</w:t>
      </w:r>
      <w:r w:rsidRPr="00755DE3">
        <w:t xml:space="preserve"> of the hierarchy</w:t>
      </w:r>
      <w:r w:rsidR="001F6F58" w:rsidRPr="00755DE3">
        <w:t xml:space="preserve"> is to establish an order of priority that minimi</w:t>
      </w:r>
      <w:r w:rsidR="00E6285C" w:rsidRPr="00755DE3">
        <w:t>s</w:t>
      </w:r>
      <w:r w:rsidR="001F6F58" w:rsidRPr="00755DE3">
        <w:t>es adverse environmental effects</w:t>
      </w:r>
      <w:r w:rsidR="009676E5" w:rsidRPr="00755DE3">
        <w:t xml:space="preserve"> and negative public health impacts</w:t>
      </w:r>
      <w:r w:rsidR="001F6F58" w:rsidRPr="00755DE3">
        <w:t xml:space="preserve"> and optimi</w:t>
      </w:r>
      <w:r w:rsidR="00E6285C" w:rsidRPr="00755DE3">
        <w:t>s</w:t>
      </w:r>
      <w:r w:rsidR="001F6F58" w:rsidRPr="00755DE3">
        <w:t>es resource efficiency in waste prevention and management, by diverting waste from landfills.</w:t>
      </w:r>
      <w:r w:rsidR="00180F02" w:rsidRPr="00755DE3">
        <w:t xml:space="preserve"> </w:t>
      </w:r>
      <w:r w:rsidR="00993537" w:rsidRPr="00755DE3">
        <w:t xml:space="preserve">It is therefore of paramount importance that going forward this </w:t>
      </w:r>
      <w:r w:rsidR="008D1B53" w:rsidRPr="00755DE3">
        <w:t xml:space="preserve">waste management </w:t>
      </w:r>
      <w:r w:rsidR="00993537" w:rsidRPr="00755DE3">
        <w:t>principle remains a key driver in legislative actions and policies touching on waste management.</w:t>
      </w:r>
    </w:p>
    <w:p w14:paraId="0BE8143E" w14:textId="582103F9" w:rsidR="00232159" w:rsidRPr="00755DE3" w:rsidRDefault="00A20165" w:rsidP="008F5446">
      <w:pPr>
        <w:pStyle w:val="H1G"/>
        <w:numPr>
          <w:ilvl w:val="0"/>
          <w:numId w:val="8"/>
        </w:numPr>
        <w:ind w:left="1134" w:hanging="567"/>
      </w:pPr>
      <w:bookmarkStart w:id="4" w:name="_Toc54086128"/>
      <w:r w:rsidRPr="00755DE3">
        <w:rPr>
          <w:bCs/>
        </w:rPr>
        <w:t>Arguments against and in favour of Waste-to-Energy</w:t>
      </w:r>
      <w:bookmarkEnd w:id="4"/>
    </w:p>
    <w:p w14:paraId="464C7657" w14:textId="7458FCDA" w:rsidR="00232159" w:rsidRPr="00755DE3" w:rsidRDefault="00BE4DB9" w:rsidP="00232159">
      <w:pPr>
        <w:pStyle w:val="SingleTxtG"/>
      </w:pPr>
      <w:r>
        <w:t xml:space="preserve">Over the years, countries have modified their approach to the WtE industry. </w:t>
      </w:r>
      <w:r w:rsidR="00A20165">
        <w:t>Annex 2</w:t>
      </w:r>
      <w:r w:rsidR="005A07F5">
        <w:t xml:space="preserve"> includes </w:t>
      </w:r>
      <w:r w:rsidR="00B62EC9">
        <w:t>a</w:t>
      </w:r>
      <w:r w:rsidR="005A07F5">
        <w:t xml:space="preserve"> </w:t>
      </w:r>
      <w:r w:rsidR="003A38AD">
        <w:t xml:space="preserve">Box with the </w:t>
      </w:r>
      <w:r w:rsidR="005A07F5">
        <w:t>c</w:t>
      </w:r>
      <w:r w:rsidR="005A07F5" w:rsidRPr="00CB4B5C">
        <w:t xml:space="preserve">hronology of the main actions of the </w:t>
      </w:r>
      <w:r w:rsidR="005A07F5">
        <w:t>EU</w:t>
      </w:r>
      <w:r w:rsidR="005A07F5" w:rsidRPr="00CB4B5C">
        <w:t xml:space="preserve"> to the circular economy and waste management</w:t>
      </w:r>
      <w:r w:rsidR="005A07F5">
        <w:t xml:space="preserve"> </w:t>
      </w:r>
      <w:r w:rsidR="003A38AD">
        <w:t>which</w:t>
      </w:r>
      <w:r w:rsidR="00993537" w:rsidRPr="00755DE3">
        <w:t xml:space="preserve"> demonst</w:t>
      </w:r>
      <w:r w:rsidR="00F42D37" w:rsidRPr="00755DE3">
        <w:t>r</w:t>
      </w:r>
      <w:r w:rsidR="00993537" w:rsidRPr="00755DE3">
        <w:t xml:space="preserve">ates the </w:t>
      </w:r>
      <w:r w:rsidR="00E107E4" w:rsidRPr="00755DE3">
        <w:t xml:space="preserve">step-by-step </w:t>
      </w:r>
      <w:r w:rsidR="00993537" w:rsidRPr="00755DE3">
        <w:t>declassification</w:t>
      </w:r>
      <w:r w:rsidR="0018588F" w:rsidRPr="00755DE3">
        <w:t xml:space="preserve"> </w:t>
      </w:r>
      <w:r w:rsidR="00993537" w:rsidRPr="00755DE3">
        <w:t xml:space="preserve">of WtE as a </w:t>
      </w:r>
      <w:r w:rsidR="00D77914" w:rsidRPr="00755DE3">
        <w:t>circular economy</w:t>
      </w:r>
      <w:r w:rsidR="00993537" w:rsidRPr="00755DE3">
        <w:t xml:space="preserve"> activity. </w:t>
      </w:r>
      <w:r w:rsidR="00E107E4" w:rsidRPr="00755DE3">
        <w:t xml:space="preserve">It is worth </w:t>
      </w:r>
      <w:r w:rsidR="00993537" w:rsidRPr="00755DE3">
        <w:t>now to explore</w:t>
      </w:r>
      <w:r w:rsidR="00E107E4" w:rsidRPr="00755DE3">
        <w:t>,</w:t>
      </w:r>
      <w:r w:rsidR="008D1B53" w:rsidRPr="00755DE3">
        <w:t xml:space="preserve"> </w:t>
      </w:r>
      <w:r w:rsidR="00A84ACB" w:rsidRPr="00755DE3">
        <w:t>the</w:t>
      </w:r>
      <w:r w:rsidR="008D1B53" w:rsidRPr="00755DE3">
        <w:t xml:space="preserve"> main </w:t>
      </w:r>
      <w:r w:rsidR="00827084" w:rsidRPr="00755DE3">
        <w:t>arguments why</w:t>
      </w:r>
      <w:r w:rsidR="009536A8" w:rsidRPr="00755DE3">
        <w:t xml:space="preserve"> </w:t>
      </w:r>
      <w:r w:rsidR="00993537" w:rsidRPr="00755DE3">
        <w:t xml:space="preserve">WtE has </w:t>
      </w:r>
      <w:r w:rsidR="008D1B53" w:rsidRPr="00755DE3">
        <w:t xml:space="preserve">given rise to </w:t>
      </w:r>
      <w:r w:rsidR="00993537" w:rsidRPr="00755DE3">
        <w:t xml:space="preserve">such </w:t>
      </w:r>
      <w:r w:rsidR="009D4901" w:rsidRPr="00755DE3">
        <w:t>concerns</w:t>
      </w:r>
      <w:r w:rsidR="00993537" w:rsidRPr="00755DE3">
        <w:t xml:space="preserve"> and </w:t>
      </w:r>
      <w:r w:rsidR="009536A8" w:rsidRPr="00755DE3">
        <w:t>negative</w:t>
      </w:r>
      <w:r w:rsidR="00993537" w:rsidRPr="00755DE3">
        <w:t xml:space="preserve"> positions</w:t>
      </w:r>
      <w:r w:rsidR="00A032ED" w:rsidRPr="00755DE3">
        <w:t xml:space="preserve"> </w:t>
      </w:r>
      <w:r w:rsidR="003C27DF" w:rsidRPr="00755DE3">
        <w:t>as well as the arguments in favour of WtE</w:t>
      </w:r>
      <w:r w:rsidR="00E25425" w:rsidRPr="00755DE3">
        <w:t>,</w:t>
      </w:r>
      <w:r w:rsidR="00495215" w:rsidRPr="00755DE3">
        <w:t xml:space="preserve"> as detailed</w:t>
      </w:r>
      <w:r w:rsidR="00E25425" w:rsidRPr="00755DE3">
        <w:t xml:space="preserve"> in </w:t>
      </w:r>
      <w:r w:rsidR="003C27DF" w:rsidRPr="00755DE3">
        <w:t>Table</w:t>
      </w:r>
      <w:r w:rsidR="00E25425" w:rsidRPr="00755DE3">
        <w:t xml:space="preserve"> 1 below</w:t>
      </w:r>
      <w:r w:rsidR="003C27DF" w:rsidRPr="00755DE3">
        <w:t>.</w:t>
      </w:r>
    </w:p>
    <w:p w14:paraId="477EC320" w14:textId="2460F1A7" w:rsidR="00E25425" w:rsidRPr="00755DE3" w:rsidRDefault="00E25425" w:rsidP="00E25425">
      <w:pPr>
        <w:pStyle w:val="SingleTxtG"/>
        <w:rPr>
          <w:b/>
          <w:bCs/>
        </w:rPr>
      </w:pPr>
      <w:r w:rsidRPr="00755DE3">
        <w:rPr>
          <w:b/>
          <w:bCs/>
        </w:rPr>
        <w:t xml:space="preserve">Table 1. </w:t>
      </w:r>
      <w:r w:rsidR="00495215" w:rsidRPr="00755DE3">
        <w:rPr>
          <w:b/>
          <w:bCs/>
        </w:rPr>
        <w:t xml:space="preserve">Arguments </w:t>
      </w:r>
      <w:r w:rsidR="00CC7582">
        <w:rPr>
          <w:b/>
          <w:bCs/>
        </w:rPr>
        <w:t xml:space="preserve">put forward </w:t>
      </w:r>
      <w:r w:rsidR="00452FC8" w:rsidRPr="00755DE3">
        <w:rPr>
          <w:b/>
          <w:bCs/>
        </w:rPr>
        <w:t xml:space="preserve">against and in favour </w:t>
      </w:r>
      <w:r w:rsidR="00784423" w:rsidRPr="00755DE3">
        <w:rPr>
          <w:b/>
          <w:bCs/>
        </w:rPr>
        <w:t>of Waste-to-Energy</w:t>
      </w:r>
    </w:p>
    <w:tbl>
      <w:tblPr>
        <w:tblStyle w:val="TableGrid"/>
        <w:tblW w:w="743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5"/>
        <w:gridCol w:w="3715"/>
      </w:tblGrid>
      <w:tr w:rsidR="00E25425" w:rsidRPr="00755DE3" w14:paraId="67C1BADF" w14:textId="77777777" w:rsidTr="00EF415C">
        <w:trPr>
          <w:tblHeader/>
        </w:trPr>
        <w:tc>
          <w:tcPr>
            <w:tcW w:w="3715" w:type="dxa"/>
            <w:tcBorders>
              <w:top w:val="single" w:sz="4" w:space="0" w:color="auto"/>
              <w:bottom w:val="single" w:sz="12" w:space="0" w:color="auto"/>
            </w:tcBorders>
            <w:shd w:val="clear" w:color="auto" w:fill="auto"/>
            <w:vAlign w:val="bottom"/>
          </w:tcPr>
          <w:p w14:paraId="6510865A" w14:textId="5AFF620C" w:rsidR="00E25425" w:rsidRPr="00755DE3" w:rsidRDefault="00452FC8" w:rsidP="000A7E7E">
            <w:pPr>
              <w:suppressAutoHyphens w:val="0"/>
              <w:spacing w:before="80" w:after="80" w:line="200" w:lineRule="exact"/>
              <w:ind w:right="113"/>
              <w:rPr>
                <w:i/>
                <w:iCs/>
                <w:sz w:val="16"/>
                <w:szCs w:val="16"/>
                <w:lang w:eastAsia="en-US"/>
              </w:rPr>
            </w:pPr>
            <w:r w:rsidRPr="00755DE3">
              <w:rPr>
                <w:i/>
                <w:iCs/>
                <w:sz w:val="16"/>
                <w:szCs w:val="16"/>
                <w:lang w:eastAsia="en-US"/>
              </w:rPr>
              <w:t xml:space="preserve">Arguments </w:t>
            </w:r>
            <w:r w:rsidR="00CC7582">
              <w:rPr>
                <w:i/>
                <w:iCs/>
                <w:sz w:val="16"/>
                <w:szCs w:val="16"/>
                <w:lang w:eastAsia="en-US"/>
              </w:rPr>
              <w:t xml:space="preserve">put forward </w:t>
            </w:r>
            <w:r w:rsidRPr="00755DE3">
              <w:rPr>
                <w:i/>
                <w:iCs/>
                <w:sz w:val="16"/>
                <w:szCs w:val="16"/>
                <w:lang w:eastAsia="en-US"/>
              </w:rPr>
              <w:t>against</w:t>
            </w:r>
          </w:p>
        </w:tc>
        <w:tc>
          <w:tcPr>
            <w:tcW w:w="3715" w:type="dxa"/>
            <w:tcBorders>
              <w:top w:val="single" w:sz="4" w:space="0" w:color="auto"/>
              <w:bottom w:val="single" w:sz="12" w:space="0" w:color="auto"/>
            </w:tcBorders>
            <w:shd w:val="clear" w:color="auto" w:fill="auto"/>
            <w:vAlign w:val="bottom"/>
          </w:tcPr>
          <w:p w14:paraId="45FF21D5" w14:textId="4DB0E18D" w:rsidR="00E25425" w:rsidRPr="00755DE3" w:rsidRDefault="00452FC8" w:rsidP="000A7E7E">
            <w:pPr>
              <w:suppressAutoHyphens w:val="0"/>
              <w:spacing w:before="80" w:after="80" w:line="200" w:lineRule="exact"/>
              <w:ind w:right="113"/>
              <w:rPr>
                <w:i/>
                <w:iCs/>
                <w:sz w:val="16"/>
                <w:szCs w:val="16"/>
                <w:lang w:eastAsia="en-US"/>
              </w:rPr>
            </w:pPr>
            <w:r w:rsidRPr="00755DE3">
              <w:rPr>
                <w:i/>
                <w:iCs/>
                <w:sz w:val="16"/>
                <w:szCs w:val="16"/>
                <w:lang w:eastAsia="en-US"/>
              </w:rPr>
              <w:t xml:space="preserve">Arguments </w:t>
            </w:r>
            <w:r w:rsidR="00CC7582">
              <w:rPr>
                <w:i/>
                <w:iCs/>
                <w:sz w:val="16"/>
                <w:szCs w:val="16"/>
                <w:lang w:eastAsia="en-US"/>
              </w:rPr>
              <w:t xml:space="preserve">put forward </w:t>
            </w:r>
            <w:r w:rsidRPr="00755DE3">
              <w:rPr>
                <w:i/>
                <w:iCs/>
                <w:sz w:val="16"/>
                <w:szCs w:val="16"/>
                <w:lang w:eastAsia="en-US"/>
              </w:rPr>
              <w:t>in favour</w:t>
            </w:r>
          </w:p>
        </w:tc>
      </w:tr>
      <w:tr w:rsidR="00E25425" w:rsidRPr="00755DE3" w14:paraId="24B2F094" w14:textId="77777777" w:rsidTr="00EF415C">
        <w:tc>
          <w:tcPr>
            <w:tcW w:w="3715" w:type="dxa"/>
            <w:tcBorders>
              <w:top w:val="single" w:sz="12" w:space="0" w:color="auto"/>
            </w:tcBorders>
            <w:shd w:val="clear" w:color="auto" w:fill="auto"/>
          </w:tcPr>
          <w:p w14:paraId="0E2AFCB1" w14:textId="1E020FB8" w:rsidR="00EF415C" w:rsidRPr="00755DE3" w:rsidRDefault="00CC7BDB" w:rsidP="00DC7FEE">
            <w:pPr>
              <w:suppressAutoHyphens w:val="0"/>
              <w:spacing w:before="40" w:after="120" w:line="220" w:lineRule="exact"/>
              <w:ind w:right="113"/>
              <w:rPr>
                <w:lang w:eastAsia="en-US"/>
              </w:rPr>
            </w:pPr>
            <w:r w:rsidRPr="00755DE3">
              <w:rPr>
                <w:lang w:eastAsia="en-US"/>
              </w:rPr>
              <w:t>WtE reduces recycling/composting</w:t>
            </w:r>
            <w:r w:rsidR="00F6423D">
              <w:rPr>
                <w:lang w:eastAsia="en-US"/>
              </w:rPr>
              <w:t xml:space="preserve">, acting as a disincentive or even barrier to </w:t>
            </w:r>
            <w:r w:rsidR="00062DE7">
              <w:rPr>
                <w:lang w:eastAsia="en-US"/>
              </w:rPr>
              <w:t>c</w:t>
            </w:r>
            <w:r w:rsidRPr="00755DE3">
              <w:rPr>
                <w:lang w:eastAsia="en-US"/>
              </w:rPr>
              <w:t xml:space="preserve">ircular </w:t>
            </w:r>
            <w:r w:rsidR="00062DE7">
              <w:rPr>
                <w:lang w:eastAsia="en-US"/>
              </w:rPr>
              <w:t>e</w:t>
            </w:r>
            <w:r w:rsidRPr="00755DE3">
              <w:rPr>
                <w:lang w:eastAsia="en-US"/>
              </w:rPr>
              <w:t>conomy or zero waste practices.</w:t>
            </w:r>
            <w:r w:rsidR="00BE4DB9">
              <w:t xml:space="preserve"> T</w:t>
            </w:r>
            <w:r w:rsidR="00BE4DB9" w:rsidRPr="00755DE3">
              <w:t>urning unsorted and usable trash into a valuable fuel commodity means communities are less likely to choose to reduce, reuse and recycle it.</w:t>
            </w:r>
          </w:p>
        </w:tc>
        <w:tc>
          <w:tcPr>
            <w:tcW w:w="3715" w:type="dxa"/>
            <w:tcBorders>
              <w:top w:val="single" w:sz="12" w:space="0" w:color="auto"/>
            </w:tcBorders>
            <w:shd w:val="clear" w:color="auto" w:fill="auto"/>
          </w:tcPr>
          <w:p w14:paraId="39484605" w14:textId="335626D0" w:rsidR="00576FD0" w:rsidRPr="00755DE3" w:rsidRDefault="00BE4DB9" w:rsidP="00DC7FEE">
            <w:pPr>
              <w:suppressAutoHyphens w:val="0"/>
              <w:spacing w:before="40" w:after="120" w:line="220" w:lineRule="exact"/>
              <w:ind w:right="113"/>
              <w:rPr>
                <w:vertAlign w:val="superscript"/>
                <w:lang w:eastAsia="en-US"/>
              </w:rPr>
            </w:pPr>
            <w:r>
              <w:rPr>
                <w:lang w:eastAsia="en-US"/>
              </w:rPr>
              <w:t>WtE can be part of a holistic waste management strategy</w:t>
            </w:r>
            <w:r w:rsidR="00F6423D">
              <w:rPr>
                <w:lang w:eastAsia="en-US"/>
              </w:rPr>
              <w:t>.</w:t>
            </w:r>
            <w:r>
              <w:rPr>
                <w:lang w:eastAsia="en-US"/>
              </w:rPr>
              <w:t xml:space="preserve"> </w:t>
            </w:r>
            <w:r w:rsidR="00576FD0" w:rsidRPr="00755DE3">
              <w:rPr>
                <w:lang w:eastAsia="en-US"/>
              </w:rPr>
              <w:t>The EU</w:t>
            </w:r>
            <w:r w:rsidR="009B2066">
              <w:rPr>
                <w:lang w:eastAsia="en-US"/>
              </w:rPr>
              <w:t xml:space="preserve"> countries </w:t>
            </w:r>
            <w:r w:rsidR="00576FD0" w:rsidRPr="00755DE3">
              <w:rPr>
                <w:lang w:eastAsia="en-US"/>
              </w:rPr>
              <w:t>reduce landfilling of wastes, by a combined effort of recycling/composting and WtE.</w:t>
            </w:r>
            <w:r w:rsidR="00576FD0" w:rsidRPr="00755DE3">
              <w:rPr>
                <w:vertAlign w:val="superscript"/>
                <w:lang w:eastAsia="en-US"/>
              </w:rPr>
              <w:footnoteReference w:id="20"/>
            </w:r>
            <w:r w:rsidRPr="00755DE3">
              <w:rPr>
                <w:lang w:eastAsia="en-US"/>
              </w:rPr>
              <w:t xml:space="preserve"> In the United States of America, counties and municipalities that utilise WtE consistently show an increased recycling rate</w:t>
            </w:r>
            <w:r w:rsidR="00F6423D">
              <w:rPr>
                <w:lang w:eastAsia="en-US"/>
              </w:rPr>
              <w:t>, in parallel to WtE practice</w:t>
            </w:r>
            <w:r w:rsidRPr="00755DE3">
              <w:rPr>
                <w:lang w:eastAsia="en-US"/>
              </w:rPr>
              <w:t>.</w:t>
            </w:r>
            <w:r w:rsidRPr="00755DE3">
              <w:rPr>
                <w:vertAlign w:val="superscript"/>
                <w:lang w:eastAsia="en-US"/>
              </w:rPr>
              <w:footnoteReference w:id="21"/>
            </w:r>
          </w:p>
        </w:tc>
      </w:tr>
      <w:tr w:rsidR="00E25425" w:rsidRPr="00755DE3" w14:paraId="713295BE" w14:textId="77777777" w:rsidTr="00EF415C">
        <w:tc>
          <w:tcPr>
            <w:tcW w:w="3715" w:type="dxa"/>
            <w:shd w:val="clear" w:color="auto" w:fill="auto"/>
          </w:tcPr>
          <w:p w14:paraId="0FC1713F" w14:textId="07126821" w:rsidR="00E25425" w:rsidRPr="00755DE3" w:rsidRDefault="00576FD0" w:rsidP="001726FD">
            <w:pPr>
              <w:suppressAutoHyphens w:val="0"/>
              <w:spacing w:before="40" w:after="120" w:line="220" w:lineRule="exact"/>
              <w:ind w:right="113"/>
              <w:rPr>
                <w:szCs w:val="18"/>
                <w:lang w:eastAsia="en-US"/>
              </w:rPr>
            </w:pPr>
            <w:r w:rsidRPr="00755DE3">
              <w:rPr>
                <w:szCs w:val="18"/>
                <w:lang w:eastAsia="en-US"/>
              </w:rPr>
              <w:t xml:space="preserve">WtE </w:t>
            </w:r>
            <w:r w:rsidR="006B0DC4">
              <w:rPr>
                <w:szCs w:val="18"/>
                <w:lang w:eastAsia="en-US"/>
              </w:rPr>
              <w:t xml:space="preserve">raises environmental concerns, </w:t>
            </w:r>
            <w:r w:rsidRPr="00755DE3">
              <w:rPr>
                <w:szCs w:val="18"/>
                <w:lang w:eastAsia="en-US"/>
              </w:rPr>
              <w:t>exacerbat</w:t>
            </w:r>
            <w:r w:rsidR="006B0DC4">
              <w:rPr>
                <w:szCs w:val="18"/>
                <w:lang w:eastAsia="en-US"/>
              </w:rPr>
              <w:t>ing</w:t>
            </w:r>
            <w:r w:rsidRPr="00755DE3">
              <w:rPr>
                <w:szCs w:val="18"/>
                <w:lang w:eastAsia="en-US"/>
              </w:rPr>
              <w:t xml:space="preserve"> climate change, emit</w:t>
            </w:r>
            <w:r w:rsidR="006B0DC4">
              <w:rPr>
                <w:szCs w:val="18"/>
                <w:lang w:eastAsia="en-US"/>
              </w:rPr>
              <w:t xml:space="preserve">ting </w:t>
            </w:r>
            <w:r w:rsidRPr="00755DE3">
              <w:rPr>
                <w:szCs w:val="18"/>
                <w:lang w:eastAsia="en-US"/>
              </w:rPr>
              <w:t>toxic emissions and giv</w:t>
            </w:r>
            <w:r w:rsidR="006B0DC4">
              <w:rPr>
                <w:szCs w:val="18"/>
                <w:lang w:eastAsia="en-US"/>
              </w:rPr>
              <w:t>ing</w:t>
            </w:r>
            <w:r w:rsidRPr="00755DE3">
              <w:rPr>
                <w:szCs w:val="18"/>
                <w:lang w:eastAsia="en-US"/>
              </w:rPr>
              <w:t xml:space="preserve"> rise to air pollution.</w:t>
            </w:r>
          </w:p>
        </w:tc>
        <w:tc>
          <w:tcPr>
            <w:tcW w:w="3715" w:type="dxa"/>
            <w:shd w:val="clear" w:color="auto" w:fill="auto"/>
          </w:tcPr>
          <w:p w14:paraId="34B07984" w14:textId="767BBAB4" w:rsidR="00E25425" w:rsidRPr="0053163B" w:rsidRDefault="006B0DC4" w:rsidP="001726FD">
            <w:pPr>
              <w:suppressAutoHyphens w:val="0"/>
              <w:spacing w:before="40" w:after="120" w:line="220" w:lineRule="exact"/>
              <w:ind w:right="113"/>
              <w:rPr>
                <w:lang w:eastAsia="en-US"/>
              </w:rPr>
            </w:pPr>
            <w:r w:rsidRPr="0053163B">
              <w:rPr>
                <w:lang w:eastAsia="en-US"/>
              </w:rPr>
              <w:t xml:space="preserve">Today’s technology allows WtE projects to operate with limited to no polluting effects. WtE plants must comply with stringent environmental standards, such as the EU Industrial Emissions Directive. The latter also sets standards for non-EU countries. </w:t>
            </w:r>
            <w:r w:rsidR="00F6423D" w:rsidRPr="0053163B">
              <w:rPr>
                <w:lang w:eastAsia="en-US"/>
              </w:rPr>
              <w:t xml:space="preserve"> </w:t>
            </w:r>
            <w:r w:rsidR="005A24AD" w:rsidRPr="0053163B">
              <w:rPr>
                <w:lang w:eastAsia="en-US"/>
              </w:rPr>
              <w:lastRenderedPageBreak/>
              <w:t xml:space="preserve">WtE and incineration are </w:t>
            </w:r>
            <w:r w:rsidR="00B7376B" w:rsidRPr="0053163B">
              <w:rPr>
                <w:lang w:eastAsia="en-US"/>
              </w:rPr>
              <w:t>different processes</w:t>
            </w:r>
            <w:r w:rsidR="005A24AD" w:rsidRPr="0053163B">
              <w:rPr>
                <w:lang w:eastAsia="en-US"/>
              </w:rPr>
              <w:t>. Incineration does cause emissions, however WtE facilities equipped with sophisticated Air Pollution Control (APC) systems have far less severe impacts on air pollution. Incinerators moreover do not produce energy. There are over hundreds of thousands of incinerators in the world, whereas WtE facilities are far less numerous, over 1,200.</w:t>
            </w:r>
            <w:r w:rsidR="005A24AD" w:rsidRPr="0053163B">
              <w:rPr>
                <w:vertAlign w:val="superscript"/>
                <w:lang w:eastAsia="en-US"/>
              </w:rPr>
              <w:footnoteReference w:id="22"/>
            </w:r>
          </w:p>
        </w:tc>
      </w:tr>
      <w:tr w:rsidR="001726FD" w:rsidRPr="00755DE3" w14:paraId="42FA6BB3" w14:textId="77777777" w:rsidTr="00EF415C">
        <w:tc>
          <w:tcPr>
            <w:tcW w:w="3715" w:type="dxa"/>
            <w:shd w:val="clear" w:color="auto" w:fill="auto"/>
          </w:tcPr>
          <w:p w14:paraId="07A2A0C9" w14:textId="4A227B30" w:rsidR="001726FD" w:rsidRPr="00755DE3" w:rsidRDefault="000E0650" w:rsidP="005A24AD">
            <w:pPr>
              <w:suppressAutoHyphens w:val="0"/>
              <w:spacing w:before="40" w:after="120" w:line="220" w:lineRule="exact"/>
              <w:ind w:right="113"/>
              <w:rPr>
                <w:szCs w:val="18"/>
                <w:lang w:eastAsia="en-US"/>
              </w:rPr>
            </w:pPr>
            <w:r>
              <w:rPr>
                <w:szCs w:val="18"/>
                <w:lang w:eastAsia="en-US"/>
              </w:rPr>
              <w:lastRenderedPageBreak/>
              <w:t>WtE raises</w:t>
            </w:r>
            <w:r w:rsidR="006B0DC4">
              <w:rPr>
                <w:szCs w:val="18"/>
                <w:lang w:eastAsia="en-US"/>
              </w:rPr>
              <w:t xml:space="preserve"> </w:t>
            </w:r>
            <w:r w:rsidR="001726FD" w:rsidRPr="00755DE3">
              <w:rPr>
                <w:szCs w:val="18"/>
                <w:lang w:eastAsia="en-US"/>
              </w:rPr>
              <w:t xml:space="preserve">public health </w:t>
            </w:r>
            <w:r w:rsidR="006B0DC4">
              <w:rPr>
                <w:szCs w:val="18"/>
                <w:lang w:eastAsia="en-US"/>
              </w:rPr>
              <w:t xml:space="preserve">concerns for the population, emitting carcinogenic </w:t>
            </w:r>
            <w:r w:rsidR="001726FD" w:rsidRPr="00755DE3">
              <w:rPr>
                <w:szCs w:val="18"/>
                <w:lang w:eastAsia="en-US"/>
              </w:rPr>
              <w:t>pathogens.</w:t>
            </w:r>
          </w:p>
        </w:tc>
        <w:tc>
          <w:tcPr>
            <w:tcW w:w="3715" w:type="dxa"/>
            <w:shd w:val="clear" w:color="auto" w:fill="auto"/>
          </w:tcPr>
          <w:p w14:paraId="04FEEDEE" w14:textId="43F4A679" w:rsidR="001726FD" w:rsidRPr="0053163B" w:rsidRDefault="006B0DC4" w:rsidP="005A24AD">
            <w:pPr>
              <w:suppressAutoHyphens w:val="0"/>
              <w:spacing w:before="40" w:after="120" w:line="220" w:lineRule="exact"/>
              <w:ind w:right="113"/>
              <w:rPr>
                <w:lang w:eastAsia="en-US"/>
              </w:rPr>
            </w:pPr>
            <w:r w:rsidRPr="0053163B">
              <w:rPr>
                <w:lang w:eastAsia="en-US"/>
              </w:rPr>
              <w:t xml:space="preserve">Today’s technology allows WtE projects to operate with limited to no polluting effects and WtE plants must comply with stringent regulatory requirements. </w:t>
            </w:r>
            <w:r w:rsidR="001726FD" w:rsidRPr="0053163B">
              <w:rPr>
                <w:lang w:eastAsia="en-US"/>
              </w:rPr>
              <w:t>The only proven alternative to landfilling of materials that cannot be recycled is WtE. Landfilling relates to methane emissions, a potent greenhouse gas, and it is well documented that WtE saves 0.5 to 1 tonne of CO</w:t>
            </w:r>
            <w:r w:rsidR="001726FD" w:rsidRPr="0053163B">
              <w:rPr>
                <w:vertAlign w:val="subscript"/>
                <w:lang w:eastAsia="en-US"/>
              </w:rPr>
              <w:t>2</w:t>
            </w:r>
            <w:r w:rsidR="001726FD" w:rsidRPr="0053163B">
              <w:rPr>
                <w:lang w:eastAsia="en-US"/>
              </w:rPr>
              <w:t xml:space="preserve"> equivalent per tonne of waste.</w:t>
            </w:r>
            <w:r w:rsidR="001726FD" w:rsidRPr="0053163B">
              <w:rPr>
                <w:vertAlign w:val="superscript"/>
                <w:lang w:eastAsia="en-US"/>
              </w:rPr>
              <w:footnoteReference w:id="23"/>
            </w:r>
          </w:p>
        </w:tc>
      </w:tr>
      <w:tr w:rsidR="00E25425" w:rsidRPr="00755DE3" w14:paraId="635105BF" w14:textId="77777777" w:rsidTr="00EF415C">
        <w:tc>
          <w:tcPr>
            <w:tcW w:w="3715" w:type="dxa"/>
            <w:shd w:val="clear" w:color="auto" w:fill="auto"/>
          </w:tcPr>
          <w:p w14:paraId="3CA77D3B" w14:textId="3B2A72E5" w:rsidR="00E25425" w:rsidRPr="00755DE3" w:rsidRDefault="005A24AD" w:rsidP="004B3B36">
            <w:pPr>
              <w:suppressAutoHyphens w:val="0"/>
              <w:spacing w:before="40" w:after="120" w:line="220" w:lineRule="exact"/>
              <w:ind w:right="113"/>
              <w:rPr>
                <w:szCs w:val="18"/>
                <w:lang w:eastAsia="en-US"/>
              </w:rPr>
            </w:pPr>
            <w:r w:rsidRPr="00755DE3">
              <w:rPr>
                <w:szCs w:val="18"/>
                <w:lang w:eastAsia="en-US"/>
              </w:rPr>
              <w:t xml:space="preserve">WtE </w:t>
            </w:r>
            <w:r w:rsidR="006B0DC4">
              <w:rPr>
                <w:szCs w:val="18"/>
                <w:lang w:eastAsia="en-US"/>
              </w:rPr>
              <w:t>raise</w:t>
            </w:r>
            <w:r w:rsidR="00CC7582">
              <w:rPr>
                <w:szCs w:val="18"/>
                <w:lang w:eastAsia="en-US"/>
              </w:rPr>
              <w:t>s</w:t>
            </w:r>
            <w:r w:rsidR="006B0DC4">
              <w:rPr>
                <w:szCs w:val="18"/>
                <w:lang w:eastAsia="en-US"/>
              </w:rPr>
              <w:t xml:space="preserve"> societal concerns </w:t>
            </w:r>
            <w:r w:rsidRPr="00755DE3">
              <w:rPr>
                <w:szCs w:val="18"/>
                <w:lang w:eastAsia="en-US"/>
              </w:rPr>
              <w:t xml:space="preserve">and communities </w:t>
            </w:r>
            <w:r w:rsidR="006B0DC4">
              <w:rPr>
                <w:szCs w:val="18"/>
                <w:lang w:eastAsia="en-US"/>
              </w:rPr>
              <w:t xml:space="preserve">are opposed to </w:t>
            </w:r>
            <w:r w:rsidRPr="00755DE3">
              <w:rPr>
                <w:szCs w:val="18"/>
                <w:lang w:eastAsia="en-US"/>
              </w:rPr>
              <w:t>them in their neighbourhoods.</w:t>
            </w:r>
            <w:r w:rsidR="006B0DC4">
              <w:rPr>
                <w:szCs w:val="18"/>
                <w:lang w:eastAsia="en-US"/>
              </w:rPr>
              <w:t xml:space="preserve"> </w:t>
            </w:r>
            <w:r w:rsidR="006B0DC4" w:rsidRPr="00755DE3">
              <w:rPr>
                <w:szCs w:val="18"/>
                <w:lang w:eastAsia="en-US"/>
              </w:rPr>
              <w:t>In some countries, popular protests have taken place over the location of WtE plants reflecting serious concerns by residents on the impact to their health.</w:t>
            </w:r>
          </w:p>
        </w:tc>
        <w:tc>
          <w:tcPr>
            <w:tcW w:w="3715" w:type="dxa"/>
            <w:shd w:val="clear" w:color="auto" w:fill="auto"/>
          </w:tcPr>
          <w:p w14:paraId="4F615043" w14:textId="75738E58" w:rsidR="00E25425" w:rsidRPr="00755DE3" w:rsidRDefault="005A24AD" w:rsidP="000B4AC5">
            <w:pPr>
              <w:suppressAutoHyphens w:val="0"/>
              <w:spacing w:before="40" w:after="120" w:line="220" w:lineRule="exact"/>
              <w:ind w:right="113"/>
              <w:rPr>
                <w:lang w:eastAsia="en-US"/>
              </w:rPr>
            </w:pPr>
            <w:r w:rsidRPr="00755DE3">
              <w:rPr>
                <w:lang w:eastAsia="en-US"/>
              </w:rPr>
              <w:t>WtE plants monitor their emissions continuously, and report these on site and/or online.</w:t>
            </w:r>
            <w:r w:rsidR="00F6423D">
              <w:rPr>
                <w:lang w:eastAsia="en-US"/>
              </w:rPr>
              <w:t xml:space="preserve"> </w:t>
            </w:r>
            <w:r w:rsidR="00F6423D" w:rsidRPr="00755DE3">
              <w:rPr>
                <w:lang w:eastAsia="en-US"/>
              </w:rPr>
              <w:t>Many WtE plants around the world are built in the middle of residential or industrial sites so as to facilitate the use of heat for district or industrial heating or cooling.</w:t>
            </w:r>
            <w:r w:rsidR="00F6423D" w:rsidRPr="00755DE3">
              <w:rPr>
                <w:vertAlign w:val="superscript"/>
                <w:lang w:eastAsia="en-US"/>
              </w:rPr>
              <w:footnoteReference w:id="24"/>
            </w:r>
            <w:r w:rsidR="00F6423D">
              <w:rPr>
                <w:lang w:eastAsia="en-US"/>
              </w:rPr>
              <w:t xml:space="preserve"> </w:t>
            </w:r>
            <w:r w:rsidR="00F6423D" w:rsidRPr="00755DE3">
              <w:rPr>
                <w:lang w:eastAsia="en-US"/>
              </w:rPr>
              <w:t xml:space="preserve">Some cities, such as </w:t>
            </w:r>
            <w:r w:rsidR="00CC7582">
              <w:rPr>
                <w:lang w:eastAsia="en-US"/>
              </w:rPr>
              <w:t xml:space="preserve">Brescia, Osaka, Paris, </w:t>
            </w:r>
            <w:r w:rsidR="00F6423D" w:rsidRPr="00755DE3">
              <w:rPr>
                <w:lang w:eastAsia="en-US"/>
              </w:rPr>
              <w:t>Vienna, have built WtE plants that have become tourist attractions. The most recent addition is the new WtE Plant in Copenhagen that is planned to have a roof that can be used as a ski slope</w:t>
            </w:r>
          </w:p>
        </w:tc>
      </w:tr>
    </w:tbl>
    <w:p w14:paraId="22865776" w14:textId="56DA529F" w:rsidR="00E25425" w:rsidRPr="00755DE3" w:rsidRDefault="000E0650" w:rsidP="00E25425">
      <w:pPr>
        <w:pStyle w:val="SingleTxtG"/>
      </w:pPr>
      <w:r w:rsidRPr="000E0650">
        <w:t>Source: ECE</w:t>
      </w:r>
      <w:r w:rsidR="00BF3602">
        <w:t>.</w:t>
      </w:r>
    </w:p>
    <w:p w14:paraId="76EB4F92" w14:textId="77777777" w:rsidR="000E0650" w:rsidRDefault="000E0650" w:rsidP="00802C3B">
      <w:pPr>
        <w:pStyle w:val="SingleTxtG"/>
      </w:pPr>
    </w:p>
    <w:p w14:paraId="5CAF5A8C" w14:textId="27DCCFC8" w:rsidR="001C7FD8" w:rsidRPr="00755DE3" w:rsidRDefault="001C7FD8" w:rsidP="00802C3B">
      <w:pPr>
        <w:pStyle w:val="SingleTxtG"/>
      </w:pPr>
      <w:r w:rsidRPr="00755DE3">
        <w:t xml:space="preserve">In </w:t>
      </w:r>
      <w:r w:rsidR="00C67CED" w:rsidRPr="00755DE3">
        <w:t>conclusion</w:t>
      </w:r>
      <w:r w:rsidR="00DD5308" w:rsidRPr="00755DE3">
        <w:t>,</w:t>
      </w:r>
      <w:r w:rsidR="00E55197" w:rsidRPr="00755DE3">
        <w:t xml:space="preserve"> </w:t>
      </w:r>
      <w:r w:rsidR="008037CF" w:rsidRPr="00755DE3">
        <w:t>WtE</w:t>
      </w:r>
      <w:r w:rsidR="00381824" w:rsidRPr="00755DE3">
        <w:t xml:space="preserve"> </w:t>
      </w:r>
      <w:r w:rsidR="00F6423D">
        <w:t xml:space="preserve">can serve </w:t>
      </w:r>
      <w:r w:rsidR="00381824" w:rsidRPr="00755DE3">
        <w:t>as a transition step to a more circular</w:t>
      </w:r>
      <w:r w:rsidR="008037CF" w:rsidRPr="00755DE3">
        <w:t xml:space="preserve"> and </w:t>
      </w:r>
      <w:r w:rsidR="00381824" w:rsidRPr="00755DE3">
        <w:t xml:space="preserve">more sustainable development path, depending on where countries are at the start. WtE is expected to decrease because of the increased reusing and recycling of products. However, </w:t>
      </w:r>
      <w:r w:rsidR="008037CF" w:rsidRPr="00755DE3">
        <w:t>WtE</w:t>
      </w:r>
      <w:r w:rsidR="00381824" w:rsidRPr="00755DE3">
        <w:t xml:space="preserve"> will remain necessary for residual mixed waste</w:t>
      </w:r>
      <w:r w:rsidR="00AA7E9A" w:rsidRPr="00755DE3">
        <w:t xml:space="preserve">. </w:t>
      </w:r>
      <w:r w:rsidR="00A84ACB" w:rsidRPr="00755DE3">
        <w:t>Moreover,</w:t>
      </w:r>
      <w:r w:rsidR="009536A8" w:rsidRPr="00755DE3">
        <w:t xml:space="preserve"> </w:t>
      </w:r>
      <w:r w:rsidR="00AA7E9A" w:rsidRPr="00755DE3">
        <w:t xml:space="preserve">there are </w:t>
      </w:r>
      <w:r w:rsidRPr="00755DE3">
        <w:t xml:space="preserve">some </w:t>
      </w:r>
      <w:r w:rsidR="00AA7E9A" w:rsidRPr="00755DE3">
        <w:t xml:space="preserve">good </w:t>
      </w:r>
      <w:r w:rsidRPr="00755DE3">
        <w:t xml:space="preserve">reasons why </w:t>
      </w:r>
      <w:r w:rsidR="00E84254" w:rsidRPr="00755DE3">
        <w:t>WtE</w:t>
      </w:r>
      <w:r w:rsidR="00E55197" w:rsidRPr="00755DE3">
        <w:t xml:space="preserve"> </w:t>
      </w:r>
      <w:r w:rsidR="009536A8" w:rsidRPr="00755DE3">
        <w:t xml:space="preserve">has a </w:t>
      </w:r>
      <w:r w:rsidR="009D4901" w:rsidRPr="00755DE3">
        <w:t xml:space="preserve">potential </w:t>
      </w:r>
      <w:r w:rsidR="009536A8" w:rsidRPr="00755DE3">
        <w:t>to contrib</w:t>
      </w:r>
      <w:r w:rsidR="00AA7E9A" w:rsidRPr="00755DE3">
        <w:t>ute</w:t>
      </w:r>
      <w:r w:rsidR="009536A8" w:rsidRPr="00755DE3">
        <w:t xml:space="preserve"> to</w:t>
      </w:r>
      <w:r w:rsidR="00AA7E9A" w:rsidRPr="00755DE3">
        <w:t xml:space="preserve"> </w:t>
      </w:r>
      <w:r w:rsidR="00D77914" w:rsidRPr="00755DE3">
        <w:t>circular economy</w:t>
      </w:r>
      <w:r w:rsidRPr="00755DE3">
        <w:t xml:space="preserve"> principles</w:t>
      </w:r>
      <w:r w:rsidR="009536A8" w:rsidRPr="00755DE3">
        <w:t xml:space="preserve"> and practices</w:t>
      </w:r>
      <w:r w:rsidRPr="00755DE3">
        <w:t xml:space="preserve">: </w:t>
      </w:r>
    </w:p>
    <w:p w14:paraId="51E26E17" w14:textId="2937C7DA" w:rsidR="001C7FD8" w:rsidRPr="00755DE3" w:rsidRDefault="001C7FD8" w:rsidP="00802C3B">
      <w:pPr>
        <w:pStyle w:val="SingleTxtG"/>
        <w:numPr>
          <w:ilvl w:val="0"/>
          <w:numId w:val="4"/>
        </w:numPr>
      </w:pPr>
      <w:r w:rsidRPr="00755DE3">
        <w:t>Some products simply cannot be recycled</w:t>
      </w:r>
      <w:r w:rsidR="00D4357F" w:rsidRPr="00755DE3">
        <w:t>;</w:t>
      </w:r>
    </w:p>
    <w:p w14:paraId="3C72BFA4" w14:textId="7B22D9F9" w:rsidR="001C7FD8" w:rsidRPr="00755DE3" w:rsidRDefault="001C7FD8" w:rsidP="00802C3B">
      <w:pPr>
        <w:pStyle w:val="SingleTxtG"/>
        <w:numPr>
          <w:ilvl w:val="0"/>
          <w:numId w:val="4"/>
        </w:numPr>
      </w:pPr>
      <w:r w:rsidRPr="00755DE3">
        <w:t>Landfills are a major</w:t>
      </w:r>
      <w:r w:rsidR="00FE636F" w:rsidRPr="00755DE3">
        <w:t xml:space="preserve"> health and environmental</w:t>
      </w:r>
      <w:r w:rsidR="00E55197" w:rsidRPr="00755DE3">
        <w:t xml:space="preserve"> </w:t>
      </w:r>
      <w:r w:rsidRPr="00755DE3">
        <w:t>problem and need to be scaled down</w:t>
      </w:r>
      <w:r w:rsidR="00D17711" w:rsidRPr="00755DE3">
        <w:t>. E</w:t>
      </w:r>
      <w:r w:rsidRPr="00755DE3">
        <w:t xml:space="preserve">ven in the most developed countries their role is still too strong and </w:t>
      </w:r>
      <w:r w:rsidR="00E84254" w:rsidRPr="00755DE3">
        <w:t>WtE</w:t>
      </w:r>
      <w:r w:rsidRPr="00755DE3">
        <w:t xml:space="preserve"> is a means of ultimately </w:t>
      </w:r>
      <w:r w:rsidR="007A4021" w:rsidRPr="00755DE3">
        <w:t xml:space="preserve">eliminating </w:t>
      </w:r>
      <w:r w:rsidRPr="00755DE3">
        <w:t>them</w:t>
      </w:r>
      <w:r w:rsidR="00D4357F" w:rsidRPr="00755DE3">
        <w:t>;</w:t>
      </w:r>
      <w:r w:rsidR="00A429D4" w:rsidRPr="00755DE3">
        <w:t xml:space="preserve"> and</w:t>
      </w:r>
    </w:p>
    <w:p w14:paraId="279154C8" w14:textId="77777777" w:rsidR="007E0511" w:rsidRPr="00755DE3" w:rsidRDefault="001C7FD8" w:rsidP="007E0511">
      <w:pPr>
        <w:pStyle w:val="SingleTxtG"/>
        <w:numPr>
          <w:ilvl w:val="0"/>
          <w:numId w:val="4"/>
        </w:numPr>
      </w:pPr>
      <w:r w:rsidRPr="00755DE3">
        <w:t xml:space="preserve">There are </w:t>
      </w:r>
      <w:r w:rsidR="007A4021" w:rsidRPr="00755DE3">
        <w:t>technologies</w:t>
      </w:r>
      <w:r w:rsidR="00E55197" w:rsidRPr="00755DE3">
        <w:t xml:space="preserve"> </w:t>
      </w:r>
      <w:r w:rsidR="000D77B8" w:rsidRPr="00755DE3">
        <w:t>(</w:t>
      </w:r>
      <w:r w:rsidR="008E5911" w:rsidRPr="00755DE3">
        <w:t xml:space="preserve">not using combustion to </w:t>
      </w:r>
      <w:r w:rsidR="00F8219C" w:rsidRPr="00755DE3">
        <w:t>produce</w:t>
      </w:r>
      <w:r w:rsidR="008E5911" w:rsidRPr="00755DE3">
        <w:t xml:space="preserve"> energy</w:t>
      </w:r>
      <w:r w:rsidR="000D77B8" w:rsidRPr="00755DE3">
        <w:t>)</w:t>
      </w:r>
      <w:r w:rsidR="00E55197" w:rsidRPr="00755DE3">
        <w:t xml:space="preserve"> </w:t>
      </w:r>
      <w:r w:rsidRPr="00755DE3">
        <w:t xml:space="preserve">coming through which can </w:t>
      </w:r>
      <w:r w:rsidR="007A4021" w:rsidRPr="00755DE3">
        <w:t>lower C</w:t>
      </w:r>
      <w:r w:rsidR="00041D3C" w:rsidRPr="00755DE3">
        <w:t>O</w:t>
      </w:r>
      <w:r w:rsidR="007A4021" w:rsidRPr="00755DE3">
        <w:t xml:space="preserve">2 emissions </w:t>
      </w:r>
      <w:r w:rsidR="009D4901" w:rsidRPr="00755DE3">
        <w:t>a</w:t>
      </w:r>
      <w:r w:rsidR="008E5911" w:rsidRPr="00755DE3">
        <w:t>nd</w:t>
      </w:r>
      <w:r w:rsidR="00E55197" w:rsidRPr="00755DE3">
        <w:t xml:space="preserve"> </w:t>
      </w:r>
      <w:r w:rsidRPr="00755DE3">
        <w:t xml:space="preserve">radically change the </w:t>
      </w:r>
      <w:r w:rsidR="00E84254" w:rsidRPr="00755DE3">
        <w:t>WtE</w:t>
      </w:r>
      <w:r w:rsidRPr="00755DE3">
        <w:t xml:space="preserve"> </w:t>
      </w:r>
      <w:r w:rsidR="008E5911" w:rsidRPr="00755DE3">
        <w:t>industry and</w:t>
      </w:r>
      <w:r w:rsidRPr="00755DE3">
        <w:t xml:space="preserve"> make it more </w:t>
      </w:r>
      <w:r w:rsidR="00D77914" w:rsidRPr="00755DE3">
        <w:t xml:space="preserve">circular economy </w:t>
      </w:r>
      <w:r w:rsidRPr="00755DE3">
        <w:t>responsive</w:t>
      </w:r>
      <w:r w:rsidR="00A429D4" w:rsidRPr="00755DE3">
        <w:t>.</w:t>
      </w:r>
    </w:p>
    <w:p w14:paraId="668DC8B7" w14:textId="4E87DAEB" w:rsidR="00232159" w:rsidRPr="00755DE3" w:rsidRDefault="00791A60" w:rsidP="008F5446">
      <w:pPr>
        <w:pStyle w:val="HChG"/>
        <w:numPr>
          <w:ilvl w:val="0"/>
          <w:numId w:val="12"/>
        </w:numPr>
        <w:tabs>
          <w:tab w:val="clear" w:pos="1134"/>
        </w:tabs>
        <w:ind w:left="1125" w:hanging="558"/>
      </w:pPr>
      <w:bookmarkStart w:id="5" w:name="_Toc54086129"/>
      <w:r w:rsidRPr="00755DE3">
        <w:lastRenderedPageBreak/>
        <w:t>Overcoming</w:t>
      </w:r>
      <w:r w:rsidR="000B00A6" w:rsidRPr="00755DE3">
        <w:t xml:space="preserve"> the </w:t>
      </w:r>
      <w:r w:rsidR="000129BE">
        <w:t>problems</w:t>
      </w:r>
      <w:r w:rsidR="000B00A6" w:rsidRPr="00755DE3">
        <w:t xml:space="preserve"> in </w:t>
      </w:r>
      <w:r w:rsidR="00381859" w:rsidRPr="00755DE3">
        <w:t>Waste-to-Energy</w:t>
      </w:r>
      <w:r w:rsidRPr="00755DE3">
        <w:t xml:space="preserve"> </w:t>
      </w:r>
      <w:r w:rsidR="000B00A6" w:rsidRPr="00755DE3">
        <w:t>projects</w:t>
      </w:r>
      <w:r w:rsidR="00E55197" w:rsidRPr="00755DE3">
        <w:t xml:space="preserve"> </w:t>
      </w:r>
      <w:r w:rsidR="000B00A6" w:rsidRPr="00755DE3">
        <w:t xml:space="preserve">in the </w:t>
      </w:r>
      <w:r w:rsidR="001B7378" w:rsidRPr="00755DE3">
        <w:t>t</w:t>
      </w:r>
      <w:r w:rsidR="00232159" w:rsidRPr="00755DE3">
        <w:t xml:space="preserve">ransition to the </w:t>
      </w:r>
      <w:r w:rsidR="00C562EB" w:rsidRPr="00755DE3">
        <w:t>C</w:t>
      </w:r>
      <w:r w:rsidR="00232159" w:rsidRPr="00755DE3">
        <w:t xml:space="preserve">ircular </w:t>
      </w:r>
      <w:r w:rsidR="00C562EB" w:rsidRPr="00755DE3">
        <w:t>E</w:t>
      </w:r>
      <w:r w:rsidR="00232159" w:rsidRPr="00755DE3">
        <w:t>conomy</w:t>
      </w:r>
      <w:r w:rsidR="008E5911" w:rsidRPr="00755DE3">
        <w:t xml:space="preserve"> and mak</w:t>
      </w:r>
      <w:r w:rsidR="00F6423D">
        <w:t>ing</w:t>
      </w:r>
      <w:r w:rsidR="008E5911" w:rsidRPr="00755DE3">
        <w:t xml:space="preserve"> them </w:t>
      </w:r>
      <w:r w:rsidR="00B469AB" w:rsidRPr="00755DE3">
        <w:t>People-first</w:t>
      </w:r>
      <w:r w:rsidR="008E5911" w:rsidRPr="00755DE3">
        <w:t>.</w:t>
      </w:r>
      <w:bookmarkEnd w:id="5"/>
      <w:r w:rsidR="008E5911" w:rsidRPr="00755DE3">
        <w:t xml:space="preserve"> </w:t>
      </w:r>
    </w:p>
    <w:p w14:paraId="685A102F" w14:textId="5A05D878" w:rsidR="00232159" w:rsidRPr="00755DE3" w:rsidRDefault="00232159" w:rsidP="00232159">
      <w:pPr>
        <w:pStyle w:val="SingleTxtG"/>
      </w:pPr>
      <w:r w:rsidRPr="00755DE3">
        <w:t xml:space="preserve">This section </w:t>
      </w:r>
      <w:r w:rsidR="00AA7E9A" w:rsidRPr="00755DE3">
        <w:t xml:space="preserve">explores </w:t>
      </w:r>
      <w:r w:rsidR="003A0224" w:rsidRPr="00755DE3">
        <w:t xml:space="preserve">individual </w:t>
      </w:r>
      <w:r w:rsidR="00F6423D">
        <w:t xml:space="preserve">WtE </w:t>
      </w:r>
      <w:r w:rsidRPr="00755DE3">
        <w:t>project</w:t>
      </w:r>
      <w:r w:rsidR="003A0224" w:rsidRPr="00755DE3">
        <w:t xml:space="preserve">s </w:t>
      </w:r>
      <w:r w:rsidR="00AA7E9A" w:rsidRPr="00755DE3">
        <w:t xml:space="preserve">to assess their actual and potential </w:t>
      </w:r>
      <w:r w:rsidRPr="00755DE3">
        <w:t>i</w:t>
      </w:r>
      <w:r w:rsidR="00AA7E9A" w:rsidRPr="00755DE3">
        <w:t xml:space="preserve">mpact on </w:t>
      </w:r>
      <w:r w:rsidR="00D77914" w:rsidRPr="00755DE3">
        <w:t>circular economy</w:t>
      </w:r>
      <w:r w:rsidR="00AA7E9A" w:rsidRPr="00755DE3">
        <w:t xml:space="preserve"> practices.</w:t>
      </w:r>
      <w:r w:rsidRPr="00755DE3">
        <w:t xml:space="preserve"> It consists of two parts: the first </w:t>
      </w:r>
      <w:r w:rsidR="00F6423D">
        <w:t xml:space="preserve">looks </w:t>
      </w:r>
      <w:r w:rsidR="00AA7E9A" w:rsidRPr="00755DE3">
        <w:t xml:space="preserve">at </w:t>
      </w:r>
      <w:r w:rsidR="006E7AAA" w:rsidRPr="00755DE3">
        <w:t xml:space="preserve">traditional </w:t>
      </w:r>
      <w:r w:rsidR="00163D81" w:rsidRPr="00755DE3">
        <w:t xml:space="preserve">PPP and </w:t>
      </w:r>
      <w:r w:rsidR="005E1C12" w:rsidRPr="00755DE3">
        <w:t>why better, more</w:t>
      </w:r>
      <w:r w:rsidR="006E7AAA" w:rsidRPr="00755DE3">
        <w:t xml:space="preserve"> expansive models</w:t>
      </w:r>
      <w:r w:rsidR="00AA7E9A" w:rsidRPr="00755DE3">
        <w:t xml:space="preserve"> are </w:t>
      </w:r>
      <w:r w:rsidR="00365921" w:rsidRPr="00755DE3">
        <w:t xml:space="preserve">needed </w:t>
      </w:r>
      <w:r w:rsidR="00BE0986" w:rsidRPr="00755DE3">
        <w:t>if the</w:t>
      </w:r>
      <w:r w:rsidR="00163D81" w:rsidRPr="00755DE3">
        <w:t xml:space="preserve"> SDGs and the transition to a </w:t>
      </w:r>
      <w:r w:rsidR="00D77914" w:rsidRPr="00755DE3">
        <w:t>circular economy</w:t>
      </w:r>
      <w:r w:rsidR="00163D81" w:rsidRPr="00755DE3">
        <w:t xml:space="preserve"> </w:t>
      </w:r>
      <w:r w:rsidR="006E7AAA" w:rsidRPr="00755DE3">
        <w:t xml:space="preserve">are </w:t>
      </w:r>
      <w:r w:rsidR="00163D81" w:rsidRPr="00755DE3">
        <w:t>to be achieved.</w:t>
      </w:r>
      <w:r w:rsidR="0076684C" w:rsidRPr="00755DE3">
        <w:t xml:space="preserve"> The second part deals with </w:t>
      </w:r>
      <w:r w:rsidR="00AC28EB" w:rsidRPr="00755DE3">
        <w:t xml:space="preserve">the </w:t>
      </w:r>
      <w:r w:rsidR="00163D81" w:rsidRPr="00755DE3">
        <w:t xml:space="preserve">problems </w:t>
      </w:r>
      <w:r w:rsidR="00AC28EB" w:rsidRPr="00755DE3">
        <w:t xml:space="preserve">that WtE projects will have to </w:t>
      </w:r>
      <w:r w:rsidR="006E7AAA" w:rsidRPr="00755DE3">
        <w:t xml:space="preserve">overcome </w:t>
      </w:r>
      <w:r w:rsidR="00AC28EB" w:rsidRPr="00755DE3">
        <w:t>in</w:t>
      </w:r>
      <w:r w:rsidR="00895059" w:rsidRPr="00755DE3">
        <w:t xml:space="preserve"> order to </w:t>
      </w:r>
      <w:r w:rsidR="00F6423D">
        <w:t xml:space="preserve">contribute to </w:t>
      </w:r>
      <w:r w:rsidR="00163D81" w:rsidRPr="00755DE3">
        <w:t>this transition</w:t>
      </w:r>
      <w:r w:rsidR="006E7AAA" w:rsidRPr="00755DE3">
        <w:t>.</w:t>
      </w:r>
      <w:r w:rsidR="00895059" w:rsidRPr="00755DE3">
        <w:t xml:space="preserve"> </w:t>
      </w:r>
    </w:p>
    <w:p w14:paraId="48B8DB0F" w14:textId="715619AD" w:rsidR="00E20D5C" w:rsidRPr="00755DE3" w:rsidRDefault="00AF57DA" w:rsidP="008F5446">
      <w:pPr>
        <w:pStyle w:val="H1G"/>
        <w:numPr>
          <w:ilvl w:val="0"/>
          <w:numId w:val="10"/>
        </w:numPr>
        <w:ind w:left="1134" w:hanging="567"/>
      </w:pPr>
      <w:bookmarkStart w:id="6" w:name="_Toc54086130"/>
      <w:r w:rsidRPr="00755DE3">
        <w:t>P</w:t>
      </w:r>
      <w:r w:rsidR="008346EE" w:rsidRPr="00755DE3">
        <w:t>ublic-Private Partnerships</w:t>
      </w:r>
      <w:r w:rsidR="00A308A4" w:rsidRPr="00755DE3">
        <w:t xml:space="preserve"> </w:t>
      </w:r>
      <w:r w:rsidR="005E1C12" w:rsidRPr="00755DE3">
        <w:t>and</w:t>
      </w:r>
      <w:r w:rsidR="00035BB3" w:rsidRPr="00755DE3">
        <w:t xml:space="preserve"> </w:t>
      </w:r>
      <w:r w:rsidR="00E20D5C" w:rsidRPr="00755DE3">
        <w:t xml:space="preserve">People-first </w:t>
      </w:r>
      <w:r w:rsidR="00F7080C" w:rsidRPr="00755DE3">
        <w:t>Public-Private Partnerships</w:t>
      </w:r>
      <w:r w:rsidR="00035BB3" w:rsidRPr="00755DE3">
        <w:t>: a comparison and the main challenges to overcome.</w:t>
      </w:r>
      <w:bookmarkEnd w:id="6"/>
      <w:r w:rsidR="00035BB3" w:rsidRPr="00755DE3">
        <w:t xml:space="preserve"> </w:t>
      </w:r>
    </w:p>
    <w:p w14:paraId="2C127628" w14:textId="716FB62F" w:rsidR="00035BB3" w:rsidRPr="00755DE3" w:rsidRDefault="003B0106" w:rsidP="0026059D">
      <w:pPr>
        <w:pStyle w:val="SingleTxtG"/>
        <w:rPr>
          <w:i/>
          <w:iCs/>
        </w:rPr>
      </w:pPr>
      <w:r w:rsidRPr="00755DE3">
        <w:rPr>
          <w:i/>
          <w:iCs/>
        </w:rPr>
        <w:t>Typical PPP</w:t>
      </w:r>
      <w:r w:rsidR="00062BCC" w:rsidRPr="00755DE3">
        <w:rPr>
          <w:i/>
          <w:iCs/>
        </w:rPr>
        <w:t xml:space="preserve"> in the WtE industry</w:t>
      </w:r>
      <w:r w:rsidR="001A6361" w:rsidRPr="00755DE3">
        <w:rPr>
          <w:i/>
          <w:iCs/>
        </w:rPr>
        <w:t xml:space="preserve"> </w:t>
      </w:r>
    </w:p>
    <w:p w14:paraId="6CFFAD61" w14:textId="4129DC9E" w:rsidR="00AA7E9A" w:rsidRPr="00755DE3" w:rsidRDefault="00062BCC" w:rsidP="00062BCC">
      <w:pPr>
        <w:pStyle w:val="SingleTxtG"/>
      </w:pPr>
      <w:r w:rsidRPr="00755DE3">
        <w:t>PPPs</w:t>
      </w:r>
      <w:r w:rsidR="00035BB3" w:rsidRPr="00755DE3">
        <w:t xml:space="preserve"> are a favoured development strategy in countries </w:t>
      </w:r>
      <w:r w:rsidRPr="00755DE3">
        <w:t>for several industries</w:t>
      </w:r>
      <w:r w:rsidR="00944324" w:rsidRPr="00755DE3">
        <w:t>,</w:t>
      </w:r>
      <w:r w:rsidRPr="00755DE3">
        <w:t xml:space="preserve"> including </w:t>
      </w:r>
      <w:r w:rsidR="00B0148C" w:rsidRPr="00755DE3">
        <w:t>WtE</w:t>
      </w:r>
      <w:r w:rsidR="00035BB3" w:rsidRPr="00755DE3">
        <w:t xml:space="preserve"> facilities. In a typical PPP structure for </w:t>
      </w:r>
      <w:r w:rsidR="00B0148C" w:rsidRPr="00755DE3">
        <w:t>WtE</w:t>
      </w:r>
      <w:r w:rsidR="00035BB3" w:rsidRPr="00755DE3">
        <w:t xml:space="preserve"> projects, the developer undertakes the development of the project under the </w:t>
      </w:r>
      <w:r w:rsidRPr="00755DE3">
        <w:t>D</w:t>
      </w:r>
      <w:r w:rsidR="00035BB3" w:rsidRPr="00755DE3">
        <w:t>esign-</w:t>
      </w:r>
      <w:r w:rsidRPr="00755DE3">
        <w:t>B</w:t>
      </w:r>
      <w:r w:rsidR="00035BB3" w:rsidRPr="00755DE3">
        <w:t>uild-</w:t>
      </w:r>
      <w:r w:rsidRPr="00755DE3">
        <w:t>O</w:t>
      </w:r>
      <w:r w:rsidR="00035BB3" w:rsidRPr="00755DE3">
        <w:t>wn-</w:t>
      </w:r>
      <w:r w:rsidRPr="00755DE3">
        <w:t>O</w:t>
      </w:r>
      <w:r w:rsidR="00035BB3" w:rsidRPr="00755DE3">
        <w:t>perate (DBOO) model. In the DBOO model, the developer secures its own financing and builds</w:t>
      </w:r>
      <w:r w:rsidRPr="00755DE3">
        <w:t>,</w:t>
      </w:r>
      <w:r w:rsidR="00035BB3" w:rsidRPr="00755DE3">
        <w:t xml:space="preserve"> owns</w:t>
      </w:r>
      <w:r w:rsidRPr="00755DE3">
        <w:t>,</w:t>
      </w:r>
      <w:r w:rsidR="00035BB3" w:rsidRPr="00755DE3">
        <w:t xml:space="preserve"> maintains and operates the </w:t>
      </w:r>
      <w:r w:rsidR="00B0148C" w:rsidRPr="00755DE3">
        <w:t>WtE</w:t>
      </w:r>
      <w:r w:rsidR="00035BB3" w:rsidRPr="00755DE3">
        <w:t xml:space="preserve"> facility to meet the contracted ways to </w:t>
      </w:r>
      <w:r w:rsidRPr="00755DE3">
        <w:t xml:space="preserve">create the </w:t>
      </w:r>
      <w:r w:rsidR="00035BB3" w:rsidRPr="00755DE3">
        <w:t>energy capacity over the life span of the facility, which is about 25 to 30 years</w:t>
      </w:r>
      <w:r w:rsidR="001A6361" w:rsidRPr="00755DE3">
        <w:t>.</w:t>
      </w:r>
      <w:r w:rsidR="00035BB3" w:rsidRPr="00755DE3">
        <w:t xml:space="preserve"> </w:t>
      </w:r>
    </w:p>
    <w:p w14:paraId="75B5B0E3" w14:textId="2C5EFEE5" w:rsidR="00035BB3" w:rsidRPr="00755DE3" w:rsidRDefault="00B0148C" w:rsidP="00062BCC">
      <w:pPr>
        <w:pStyle w:val="SingleTxtG"/>
      </w:pPr>
      <w:r w:rsidRPr="00755DE3">
        <w:t>WtE</w:t>
      </w:r>
      <w:r w:rsidR="00035BB3" w:rsidRPr="00755DE3">
        <w:t xml:space="preserve"> facilities require significant upfront investments</w:t>
      </w:r>
      <w:r w:rsidR="00062BCC" w:rsidRPr="00755DE3">
        <w:t xml:space="preserve"> however</w:t>
      </w:r>
      <w:r w:rsidR="00035BB3" w:rsidRPr="00755DE3">
        <w:t xml:space="preserve"> and developers and their financiers require assurances from the </w:t>
      </w:r>
      <w:r w:rsidR="00172DE9" w:rsidRPr="00755DE3">
        <w:t>G</w:t>
      </w:r>
      <w:r w:rsidR="00035BB3" w:rsidRPr="00755DE3">
        <w:t>overnment agency commissioning the project</w:t>
      </w:r>
      <w:r w:rsidR="00367298" w:rsidRPr="00755DE3">
        <w:t>,</w:t>
      </w:r>
      <w:r w:rsidR="00035BB3" w:rsidRPr="00755DE3">
        <w:t xml:space="preserve"> that enables </w:t>
      </w:r>
      <w:r w:rsidR="00062BCC" w:rsidRPr="00755DE3">
        <w:t xml:space="preserve">satisfactory returns from </w:t>
      </w:r>
      <w:r w:rsidR="00035BB3" w:rsidRPr="00755DE3">
        <w:t>the investment to be recovered over</w:t>
      </w:r>
      <w:r w:rsidR="0015395A" w:rsidRPr="00755DE3">
        <w:t xml:space="preserve"> time</w:t>
      </w:r>
      <w:r w:rsidR="00062BCC" w:rsidRPr="00755DE3">
        <w:t>.</w:t>
      </w:r>
      <w:r w:rsidR="00E54344" w:rsidRPr="00755DE3">
        <w:rPr>
          <w:rStyle w:val="FootnoteReference"/>
        </w:rPr>
        <w:footnoteReference w:id="25"/>
      </w:r>
    </w:p>
    <w:p w14:paraId="0A0BC588" w14:textId="7421636C" w:rsidR="00035BB3" w:rsidRPr="00755DE3" w:rsidRDefault="00035BB3" w:rsidP="003A5C97">
      <w:pPr>
        <w:pStyle w:val="SingleTxtG"/>
      </w:pPr>
      <w:r w:rsidRPr="00755DE3">
        <w:t xml:space="preserve">Along with </w:t>
      </w:r>
      <w:r w:rsidR="00172DE9" w:rsidRPr="00755DE3">
        <w:t>G</w:t>
      </w:r>
      <w:r w:rsidRPr="00755DE3">
        <w:t>overnment incentives</w:t>
      </w:r>
      <w:r w:rsidR="00062BCC" w:rsidRPr="00755DE3">
        <w:t xml:space="preserve"> </w:t>
      </w:r>
      <w:r w:rsidR="003B0106" w:rsidRPr="00755DE3">
        <w:t>(see</w:t>
      </w:r>
      <w:r w:rsidR="00062BCC" w:rsidRPr="00755DE3">
        <w:t xml:space="preserve"> Part </w:t>
      </w:r>
      <w:r w:rsidR="00367298" w:rsidRPr="00755DE3">
        <w:t xml:space="preserve">III </w:t>
      </w:r>
      <w:r w:rsidR="00062BCC" w:rsidRPr="00755DE3">
        <w:t>below)</w:t>
      </w:r>
      <w:r w:rsidRPr="00755DE3">
        <w:t xml:space="preserve">, </w:t>
      </w:r>
      <w:r w:rsidR="00F06457" w:rsidRPr="00755DE3">
        <w:t>WtE</w:t>
      </w:r>
      <w:r w:rsidRPr="00755DE3">
        <w:t xml:space="preserve"> projects are based mainly on two sources of </w:t>
      </w:r>
      <w:r w:rsidR="00E54344" w:rsidRPr="00755DE3">
        <w:t>revenue. The</w:t>
      </w:r>
      <w:r w:rsidRPr="00755DE3">
        <w:t xml:space="preserve"> first source is a </w:t>
      </w:r>
      <w:r w:rsidR="00244C51" w:rsidRPr="00755DE3">
        <w:t>“</w:t>
      </w:r>
      <w:r w:rsidRPr="00755DE3">
        <w:t>gate fee</w:t>
      </w:r>
      <w:r w:rsidR="00244C51" w:rsidRPr="00755DE3">
        <w:t>”</w:t>
      </w:r>
      <w:r w:rsidRPr="00755DE3">
        <w:t xml:space="preserve"> charged when municipalities</w:t>
      </w:r>
      <w:r w:rsidR="00062BCC" w:rsidRPr="00755DE3">
        <w:t>,</w:t>
      </w:r>
      <w:r w:rsidRPr="00755DE3">
        <w:t xml:space="preserve"> businesses or other organisations deliver their waste to the facility for disposal. The second source is the generation of </w:t>
      </w:r>
      <w:r w:rsidR="003B0106" w:rsidRPr="00755DE3">
        <w:t>energy, electricity and/or heat,</w:t>
      </w:r>
      <w:r w:rsidRPr="00755DE3">
        <w:t xml:space="preserve"> that is sold to local power grids</w:t>
      </w:r>
      <w:r w:rsidR="00367298" w:rsidRPr="00755DE3">
        <w:t>.</w:t>
      </w:r>
      <w:r w:rsidRPr="00755DE3">
        <w:t xml:space="preserve"> </w:t>
      </w:r>
      <w:r w:rsidR="00062BCC" w:rsidRPr="00755DE3">
        <w:t>Some en</w:t>
      </w:r>
      <w:r w:rsidRPr="00755DE3">
        <w:t xml:space="preserve">d products coming out of </w:t>
      </w:r>
      <w:r w:rsidR="00F06457" w:rsidRPr="00755DE3">
        <w:t>WtE</w:t>
      </w:r>
      <w:r w:rsidRPr="00755DE3">
        <w:t xml:space="preserve"> incineration like</w:t>
      </w:r>
      <w:r w:rsidR="003B0106" w:rsidRPr="00755DE3">
        <w:t xml:space="preserve"> bottom ash</w:t>
      </w:r>
      <w:r w:rsidR="00062BCC" w:rsidRPr="00755DE3">
        <w:t xml:space="preserve">, </w:t>
      </w:r>
      <w:r w:rsidRPr="00755DE3">
        <w:t>represent a third</w:t>
      </w:r>
      <w:r w:rsidR="00062BCC" w:rsidRPr="00755DE3">
        <w:t>,</w:t>
      </w:r>
      <w:r w:rsidRPr="00755DE3">
        <w:t xml:space="preserve"> smaller source of revenue.</w:t>
      </w:r>
    </w:p>
    <w:p w14:paraId="23A0AE08" w14:textId="10EE2492" w:rsidR="00035BB3" w:rsidRPr="00755DE3" w:rsidRDefault="00035BB3" w:rsidP="0026059D">
      <w:pPr>
        <w:pStyle w:val="SingleTxtG"/>
      </w:pPr>
      <w:r w:rsidRPr="00755DE3">
        <w:t>The gate fee is driven by the volume of waste</w:t>
      </w:r>
      <w:r w:rsidR="00367298" w:rsidRPr="00755DE3">
        <w:t>,</w:t>
      </w:r>
      <w:r w:rsidRPr="00755DE3">
        <w:t xml:space="preserve"> </w:t>
      </w:r>
      <w:r w:rsidR="00F20C98" w:rsidRPr="00755DE3">
        <w:t>while</w:t>
      </w:r>
      <w:r w:rsidRPr="00755DE3">
        <w:t xml:space="preserve"> e</w:t>
      </w:r>
      <w:r w:rsidR="003B0106" w:rsidRPr="00755DE3">
        <w:t>nergy</w:t>
      </w:r>
      <w:r w:rsidRPr="00755DE3">
        <w:t xml:space="preserve"> sales are driven by the heat produced</w:t>
      </w:r>
      <w:r w:rsidR="00062BCC" w:rsidRPr="00755DE3">
        <w:t>. T</w:t>
      </w:r>
      <w:r w:rsidRPr="00755DE3">
        <w:t xml:space="preserve">his fact in turn can influence the business model of the </w:t>
      </w:r>
      <w:r w:rsidR="0026326F" w:rsidRPr="00755DE3">
        <w:t>WtE</w:t>
      </w:r>
      <w:r w:rsidRPr="00755DE3">
        <w:t xml:space="preserve"> project</w:t>
      </w:r>
      <w:r w:rsidR="00062BCC" w:rsidRPr="00755DE3">
        <w:t>. T</w:t>
      </w:r>
      <w:r w:rsidRPr="00755DE3">
        <w:t>he more waste that is combustible like plastics</w:t>
      </w:r>
      <w:r w:rsidR="00062BCC" w:rsidRPr="00755DE3">
        <w:t>,</w:t>
      </w:r>
      <w:r w:rsidRPr="00755DE3">
        <w:t xml:space="preserve"> paper or wood, the hotter the furnaces burn and the higher the </w:t>
      </w:r>
      <w:r w:rsidR="000765B2" w:rsidRPr="00755DE3">
        <w:t>C</w:t>
      </w:r>
      <w:r w:rsidRPr="00755DE3">
        <w:t>alori</w:t>
      </w:r>
      <w:r w:rsidR="003B0106" w:rsidRPr="00755DE3">
        <w:t>fi</w:t>
      </w:r>
      <w:r w:rsidRPr="00755DE3">
        <w:t xml:space="preserve">c </w:t>
      </w:r>
      <w:r w:rsidR="000765B2" w:rsidRPr="00755DE3">
        <w:t>V</w:t>
      </w:r>
      <w:r w:rsidRPr="00755DE3">
        <w:t>alue</w:t>
      </w:r>
      <w:r w:rsidR="003B0106" w:rsidRPr="00755DE3">
        <w:t xml:space="preserve"> </w:t>
      </w:r>
      <w:r w:rsidR="00062BCC" w:rsidRPr="00755DE3">
        <w:t xml:space="preserve">(CV) </w:t>
      </w:r>
      <w:r w:rsidRPr="00755DE3">
        <w:t>produced</w:t>
      </w:r>
      <w:r w:rsidR="00062BCC" w:rsidRPr="00755DE3">
        <w:t>. The</w:t>
      </w:r>
      <w:r w:rsidRPr="00755DE3">
        <w:t xml:space="preserve"> more non</w:t>
      </w:r>
      <w:r w:rsidR="00062BCC" w:rsidRPr="00755DE3">
        <w:t>-</w:t>
      </w:r>
      <w:r w:rsidRPr="00755DE3">
        <w:t>combustible waste, like bricks or glass</w:t>
      </w:r>
      <w:r w:rsidR="00062BCC" w:rsidRPr="00755DE3">
        <w:t>,</w:t>
      </w:r>
      <w:r w:rsidRPr="00755DE3">
        <w:t xml:space="preserve"> the lower the CV. This </w:t>
      </w:r>
      <w:r w:rsidR="00367298" w:rsidRPr="00755DE3">
        <w:t>mix</w:t>
      </w:r>
      <w:r w:rsidRPr="00755DE3">
        <w:t xml:space="preserve"> determines the facilit</w:t>
      </w:r>
      <w:r w:rsidR="00367298" w:rsidRPr="00755DE3">
        <w:t>y’s</w:t>
      </w:r>
      <w:r w:rsidRPr="00755DE3">
        <w:t xml:space="preserve"> revenue streams.</w:t>
      </w:r>
    </w:p>
    <w:p w14:paraId="5DC591D2" w14:textId="3805EAB7" w:rsidR="00A7339D" w:rsidRPr="00755DE3" w:rsidRDefault="00035BB3" w:rsidP="0026059D">
      <w:pPr>
        <w:pStyle w:val="SingleTxtG"/>
      </w:pPr>
      <w:r w:rsidRPr="00755DE3">
        <w:t>In addition</w:t>
      </w:r>
      <w:r w:rsidR="00F20C98" w:rsidRPr="00755DE3">
        <w:t>,</w:t>
      </w:r>
      <w:r w:rsidRPr="00755DE3">
        <w:t xml:space="preserve"> safety regulations require that the facility is designed for a certain thermal capacity. If the percentage of combustible waste is too high the C</w:t>
      </w:r>
      <w:r w:rsidR="003B0106" w:rsidRPr="00755DE3">
        <w:t>V</w:t>
      </w:r>
      <w:r w:rsidRPr="00755DE3">
        <w:t xml:space="preserve"> will be above the designated level and the operator will have to reduce the amount of waste going through the facility</w:t>
      </w:r>
      <w:r w:rsidR="00367298" w:rsidRPr="00755DE3">
        <w:t>. T</w:t>
      </w:r>
      <w:r w:rsidRPr="00755DE3">
        <w:t xml:space="preserve">his reduces gate fees. However, if the CV is too low, the facility generates less electricity than it can sell. The single </w:t>
      </w:r>
      <w:r w:rsidR="000B0265" w:rsidRPr="00755DE3">
        <w:t xml:space="preserve">biggest </w:t>
      </w:r>
      <w:r w:rsidRPr="00755DE3">
        <w:t xml:space="preserve">business challenge for PPP </w:t>
      </w:r>
      <w:r w:rsidR="008171A7" w:rsidRPr="00755DE3">
        <w:t>WtE</w:t>
      </w:r>
      <w:r w:rsidRPr="00755DE3">
        <w:t xml:space="preserve"> projects is to balance the right CV and quality of the waste to optimise both waste volumes and sales of power and electricity</w:t>
      </w:r>
      <w:r w:rsidR="00A7339D" w:rsidRPr="00755DE3">
        <w:t>.</w:t>
      </w:r>
    </w:p>
    <w:p w14:paraId="41AACAA2" w14:textId="52461002" w:rsidR="00035BB3" w:rsidRPr="00755DE3" w:rsidRDefault="001A6361" w:rsidP="0026059D">
      <w:pPr>
        <w:pStyle w:val="SingleTxtG"/>
        <w:rPr>
          <w:i/>
          <w:iCs/>
        </w:rPr>
      </w:pPr>
      <w:r w:rsidRPr="00755DE3">
        <w:rPr>
          <w:i/>
          <w:iCs/>
        </w:rPr>
        <w:t>People-first PPP</w:t>
      </w:r>
      <w:r w:rsidR="000A7E7E">
        <w:rPr>
          <w:i/>
          <w:iCs/>
        </w:rPr>
        <w:t>s</w:t>
      </w:r>
    </w:p>
    <w:p w14:paraId="360B61B9" w14:textId="181811DC" w:rsidR="008E5911" w:rsidRPr="00755DE3" w:rsidRDefault="0026059D" w:rsidP="00B24808">
      <w:pPr>
        <w:pStyle w:val="SingleTxtG"/>
      </w:pPr>
      <w:r w:rsidRPr="00755DE3">
        <w:t xml:space="preserve">The </w:t>
      </w:r>
      <w:r w:rsidR="00914626" w:rsidRPr="00755DE3">
        <w:t>ECE</w:t>
      </w:r>
      <w:r w:rsidRPr="00755DE3">
        <w:t xml:space="preserve"> has advocated the need </w:t>
      </w:r>
      <w:r w:rsidR="00A7339D" w:rsidRPr="00755DE3">
        <w:t xml:space="preserve">for a more expansive and </w:t>
      </w:r>
      <w:r w:rsidR="00E54344" w:rsidRPr="00755DE3">
        <w:t>broader</w:t>
      </w:r>
      <w:r w:rsidR="00A7339D" w:rsidRPr="00755DE3">
        <w:t xml:space="preserve"> developmental model</w:t>
      </w:r>
      <w:r w:rsidR="00CF2209" w:rsidRPr="00755DE3">
        <w:t xml:space="preserve">, </w:t>
      </w:r>
      <w:r w:rsidR="00A7339D" w:rsidRPr="00755DE3">
        <w:t>argu</w:t>
      </w:r>
      <w:r w:rsidR="00CF2209" w:rsidRPr="00755DE3">
        <w:t xml:space="preserve">ing </w:t>
      </w:r>
      <w:r w:rsidR="00A7339D" w:rsidRPr="00755DE3">
        <w:t>that such P</w:t>
      </w:r>
      <w:r w:rsidR="000765B2" w:rsidRPr="00755DE3">
        <w:t xml:space="preserve">eople-first </w:t>
      </w:r>
      <w:r w:rsidR="00A7339D" w:rsidRPr="00755DE3">
        <w:t>PPP</w:t>
      </w:r>
      <w:r w:rsidR="00F27DD0">
        <w:t>s</w:t>
      </w:r>
      <w:r w:rsidR="00A7339D" w:rsidRPr="00755DE3">
        <w:t xml:space="preserve"> </w:t>
      </w:r>
      <w:r w:rsidR="005E0BB6" w:rsidRPr="00755DE3">
        <w:t>should place</w:t>
      </w:r>
      <w:r w:rsidR="00A7339D" w:rsidRPr="00755DE3">
        <w:t xml:space="preserve"> sustainable development at its core and </w:t>
      </w:r>
      <w:r w:rsidR="00A22BA2" w:rsidRPr="00755DE3">
        <w:t xml:space="preserve">the </w:t>
      </w:r>
      <w:r w:rsidR="00244C51" w:rsidRPr="00755DE3">
        <w:t>“</w:t>
      </w:r>
      <w:r w:rsidRPr="00755DE3">
        <w:t>people</w:t>
      </w:r>
      <w:r w:rsidR="00244C51" w:rsidRPr="00755DE3">
        <w:t>”</w:t>
      </w:r>
      <w:r w:rsidRPr="00755DE3">
        <w:t xml:space="preserve"> a</w:t>
      </w:r>
      <w:r w:rsidR="00A7339D" w:rsidRPr="00755DE3">
        <w:t xml:space="preserve">s the main </w:t>
      </w:r>
      <w:r w:rsidR="00E54344" w:rsidRPr="00755DE3">
        <w:t>beneficiaries</w:t>
      </w:r>
      <w:r w:rsidR="00A7339D" w:rsidRPr="00755DE3">
        <w:t>.</w:t>
      </w:r>
      <w:r w:rsidR="001A6361" w:rsidRPr="00755DE3">
        <w:t xml:space="preserve"> </w:t>
      </w:r>
      <w:r w:rsidR="00232159" w:rsidRPr="00755DE3">
        <w:t>Partnerships must now be evaluated according to a new set of criteria which</w:t>
      </w:r>
      <w:r w:rsidR="008E5911" w:rsidRPr="00755DE3">
        <w:t xml:space="preserve"> </w:t>
      </w:r>
      <w:r w:rsidR="00232159" w:rsidRPr="00755DE3">
        <w:t xml:space="preserve">are </w:t>
      </w:r>
      <w:r w:rsidR="00244C51" w:rsidRPr="00755DE3">
        <w:t>“</w:t>
      </w:r>
      <w:r w:rsidR="00232159" w:rsidRPr="00755DE3">
        <w:t>quality infrastructure</w:t>
      </w:r>
      <w:r w:rsidR="00244C51" w:rsidRPr="00755DE3">
        <w:t>”</w:t>
      </w:r>
      <w:r w:rsidR="00232159" w:rsidRPr="00755DE3">
        <w:t xml:space="preserve"> </w:t>
      </w:r>
      <w:r w:rsidR="004538A7" w:rsidRPr="00755DE3">
        <w:t>investments</w:t>
      </w:r>
      <w:r w:rsidR="00232159" w:rsidRPr="00755DE3">
        <w:t xml:space="preserve">. </w:t>
      </w:r>
      <w:r w:rsidR="009C76CD" w:rsidRPr="00755DE3">
        <w:t>Overall, s</w:t>
      </w:r>
      <w:r w:rsidR="008E5911" w:rsidRPr="00755DE3">
        <w:t xml:space="preserve">uch </w:t>
      </w:r>
      <w:r w:rsidR="00C128F6" w:rsidRPr="00755DE3">
        <w:t>People-first</w:t>
      </w:r>
      <w:r w:rsidR="008E5911" w:rsidRPr="00755DE3">
        <w:t xml:space="preserve"> PPP</w:t>
      </w:r>
      <w:r w:rsidR="00F27DD0">
        <w:t>s</w:t>
      </w:r>
      <w:r w:rsidR="008E5911" w:rsidRPr="00755DE3">
        <w:t xml:space="preserve"> </w:t>
      </w:r>
      <w:r w:rsidR="009C76CD" w:rsidRPr="00755DE3">
        <w:t xml:space="preserve">should </w:t>
      </w:r>
      <w:r w:rsidR="008E5911" w:rsidRPr="00755DE3">
        <w:t>give</w:t>
      </w:r>
      <w:r w:rsidR="009C76CD" w:rsidRPr="00755DE3">
        <w:t xml:space="preserve"> meaning to</w:t>
      </w:r>
      <w:r w:rsidR="001A6361" w:rsidRPr="00755DE3">
        <w:t xml:space="preserve"> </w:t>
      </w:r>
      <w:r w:rsidR="00244C51" w:rsidRPr="00755DE3">
        <w:t>“</w:t>
      </w:r>
      <w:r w:rsidR="00232159" w:rsidRPr="00755DE3">
        <w:t>value to people</w:t>
      </w:r>
      <w:r w:rsidR="00244C51" w:rsidRPr="00755DE3">
        <w:t>”</w:t>
      </w:r>
      <w:r w:rsidR="00232159" w:rsidRPr="00755DE3">
        <w:t xml:space="preserve"> and </w:t>
      </w:r>
      <w:r w:rsidR="00244C51" w:rsidRPr="00755DE3">
        <w:t>“</w:t>
      </w:r>
      <w:r w:rsidR="00232159" w:rsidRPr="00755DE3">
        <w:t>value to the planet</w:t>
      </w:r>
      <w:r w:rsidR="00244C51" w:rsidRPr="00755DE3">
        <w:t>”</w:t>
      </w:r>
      <w:r w:rsidR="00E55197" w:rsidRPr="00755DE3">
        <w:t xml:space="preserve"> </w:t>
      </w:r>
      <w:r w:rsidR="00232159" w:rsidRPr="00755DE3">
        <w:t xml:space="preserve">through </w:t>
      </w:r>
      <w:r w:rsidR="009C76CD" w:rsidRPr="00755DE3">
        <w:t xml:space="preserve">achieving and </w:t>
      </w:r>
      <w:r w:rsidR="00232159" w:rsidRPr="00755DE3">
        <w:t>complying with five</w:t>
      </w:r>
      <w:r w:rsidR="008E5911" w:rsidRPr="00755DE3">
        <w:t xml:space="preserve"> People-first </w:t>
      </w:r>
      <w:r w:rsidR="00232159" w:rsidRPr="00755DE3">
        <w:t>outcomes</w:t>
      </w:r>
      <w:r w:rsidR="00004969" w:rsidRPr="00755DE3">
        <w:t xml:space="preserve"> as referred to in Table </w:t>
      </w:r>
      <w:r w:rsidR="00E25425" w:rsidRPr="00755DE3">
        <w:t>2</w:t>
      </w:r>
      <w:r w:rsidR="00C36C35">
        <w:t xml:space="preserve"> below</w:t>
      </w:r>
      <w:r w:rsidR="00004969" w:rsidRPr="00755DE3">
        <w:t>.</w:t>
      </w:r>
    </w:p>
    <w:p w14:paraId="4BB275A6" w14:textId="6C57216D" w:rsidR="00232159" w:rsidRPr="00755DE3" w:rsidRDefault="00232159" w:rsidP="00232159">
      <w:pPr>
        <w:pStyle w:val="SingleTxtG"/>
        <w:rPr>
          <w:b/>
          <w:bCs/>
        </w:rPr>
      </w:pPr>
      <w:r w:rsidRPr="00755DE3">
        <w:rPr>
          <w:b/>
          <w:bCs/>
        </w:rPr>
        <w:t xml:space="preserve">Table </w:t>
      </w:r>
      <w:r w:rsidR="00E25425" w:rsidRPr="00755DE3">
        <w:rPr>
          <w:b/>
          <w:bCs/>
        </w:rPr>
        <w:t>2</w:t>
      </w:r>
      <w:r w:rsidRPr="00755DE3">
        <w:rPr>
          <w:b/>
          <w:bCs/>
        </w:rPr>
        <w:t xml:space="preserve">. People-first </w:t>
      </w:r>
      <w:r w:rsidR="000A7E7E">
        <w:rPr>
          <w:b/>
          <w:bCs/>
        </w:rPr>
        <w:t xml:space="preserve">PPP </w:t>
      </w:r>
      <w:r w:rsidRPr="00755DE3">
        <w:rPr>
          <w:b/>
          <w:bCs/>
        </w:rPr>
        <w:t>outcomes and benchmarks</w:t>
      </w:r>
    </w:p>
    <w:tbl>
      <w:tblPr>
        <w:tblStyle w:val="TableGrid"/>
        <w:tblW w:w="741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6"/>
        <w:gridCol w:w="4860"/>
      </w:tblGrid>
      <w:tr w:rsidR="00D43E0B" w:rsidRPr="00755DE3" w14:paraId="1F5B0260" w14:textId="77777777" w:rsidTr="0001251D">
        <w:trPr>
          <w:tblHeader/>
        </w:trPr>
        <w:tc>
          <w:tcPr>
            <w:tcW w:w="2556" w:type="dxa"/>
            <w:tcBorders>
              <w:top w:val="single" w:sz="4" w:space="0" w:color="auto"/>
              <w:bottom w:val="single" w:sz="12" w:space="0" w:color="auto"/>
            </w:tcBorders>
            <w:shd w:val="clear" w:color="auto" w:fill="auto"/>
            <w:vAlign w:val="bottom"/>
          </w:tcPr>
          <w:p w14:paraId="00F3E972" w14:textId="59B5D8D5" w:rsidR="00D43E0B" w:rsidRPr="00755DE3" w:rsidRDefault="00D43E0B" w:rsidP="00D43E0B">
            <w:pPr>
              <w:suppressAutoHyphens w:val="0"/>
              <w:spacing w:before="80" w:after="80" w:line="200" w:lineRule="exact"/>
              <w:ind w:right="113"/>
              <w:rPr>
                <w:i/>
                <w:iCs/>
                <w:sz w:val="16"/>
                <w:szCs w:val="16"/>
                <w:lang w:eastAsia="en-US"/>
              </w:rPr>
            </w:pPr>
            <w:r w:rsidRPr="00755DE3">
              <w:rPr>
                <w:i/>
                <w:iCs/>
                <w:sz w:val="16"/>
                <w:szCs w:val="16"/>
                <w:lang w:eastAsia="en-US"/>
              </w:rPr>
              <w:lastRenderedPageBreak/>
              <w:t>Outcomes</w:t>
            </w:r>
          </w:p>
        </w:tc>
        <w:tc>
          <w:tcPr>
            <w:tcW w:w="4860" w:type="dxa"/>
            <w:tcBorders>
              <w:top w:val="single" w:sz="4" w:space="0" w:color="auto"/>
              <w:bottom w:val="single" w:sz="12" w:space="0" w:color="auto"/>
            </w:tcBorders>
            <w:shd w:val="clear" w:color="auto" w:fill="auto"/>
            <w:vAlign w:val="bottom"/>
          </w:tcPr>
          <w:p w14:paraId="284F686C" w14:textId="42052053" w:rsidR="00D43E0B" w:rsidRPr="00755DE3" w:rsidRDefault="00D43E0B" w:rsidP="00D43E0B">
            <w:pPr>
              <w:suppressAutoHyphens w:val="0"/>
              <w:spacing w:before="80" w:after="80" w:line="200" w:lineRule="exact"/>
              <w:ind w:right="113"/>
              <w:rPr>
                <w:i/>
                <w:iCs/>
                <w:sz w:val="16"/>
                <w:szCs w:val="16"/>
                <w:lang w:eastAsia="en-US"/>
              </w:rPr>
            </w:pPr>
            <w:r w:rsidRPr="00755DE3">
              <w:rPr>
                <w:i/>
                <w:iCs/>
                <w:sz w:val="16"/>
                <w:szCs w:val="16"/>
                <w:lang w:eastAsia="en-US"/>
              </w:rPr>
              <w:t>Benchmarks</w:t>
            </w:r>
          </w:p>
        </w:tc>
      </w:tr>
      <w:tr w:rsidR="0001251D" w:rsidRPr="00755DE3" w14:paraId="4CD866E1" w14:textId="77777777" w:rsidTr="0001251D">
        <w:tc>
          <w:tcPr>
            <w:tcW w:w="2556" w:type="dxa"/>
            <w:tcBorders>
              <w:top w:val="single" w:sz="12" w:space="0" w:color="auto"/>
            </w:tcBorders>
            <w:shd w:val="clear" w:color="auto" w:fill="auto"/>
          </w:tcPr>
          <w:p w14:paraId="0176DE67" w14:textId="300135CB" w:rsidR="0001251D" w:rsidRPr="00755DE3" w:rsidRDefault="0001251D" w:rsidP="0001251D">
            <w:pPr>
              <w:suppressAutoHyphens w:val="0"/>
              <w:spacing w:before="40" w:after="120" w:line="220" w:lineRule="exact"/>
              <w:ind w:right="113"/>
              <w:rPr>
                <w:szCs w:val="18"/>
                <w:lang w:eastAsia="en-US"/>
              </w:rPr>
            </w:pPr>
            <w:r w:rsidRPr="00755DE3">
              <w:t>Access and equity</w:t>
            </w:r>
          </w:p>
        </w:tc>
        <w:tc>
          <w:tcPr>
            <w:tcW w:w="4860" w:type="dxa"/>
            <w:tcBorders>
              <w:top w:val="single" w:sz="12" w:space="0" w:color="auto"/>
            </w:tcBorders>
            <w:shd w:val="clear" w:color="auto" w:fill="auto"/>
          </w:tcPr>
          <w:p w14:paraId="0466C2BD" w14:textId="77777777" w:rsidR="0001251D" w:rsidRPr="00755DE3" w:rsidRDefault="0001251D" w:rsidP="0001251D">
            <w:pPr>
              <w:suppressAutoHyphens w:val="0"/>
              <w:spacing w:before="40" w:after="120" w:line="220" w:lineRule="exact"/>
              <w:ind w:right="113"/>
              <w:rPr>
                <w:lang w:eastAsia="en-US"/>
              </w:rPr>
            </w:pPr>
            <w:r w:rsidRPr="00755DE3">
              <w:rPr>
                <w:lang w:eastAsia="en-US"/>
              </w:rPr>
              <w:t>Provide essential services</w:t>
            </w:r>
          </w:p>
          <w:p w14:paraId="75498BF9" w14:textId="77777777" w:rsidR="0001251D" w:rsidRPr="00755DE3" w:rsidRDefault="0001251D" w:rsidP="0001251D">
            <w:pPr>
              <w:suppressAutoHyphens w:val="0"/>
              <w:spacing w:before="40" w:after="120" w:line="220" w:lineRule="exact"/>
              <w:ind w:right="113"/>
              <w:rPr>
                <w:lang w:eastAsia="en-US"/>
              </w:rPr>
            </w:pPr>
            <w:r w:rsidRPr="00755DE3">
              <w:rPr>
                <w:lang w:eastAsia="en-US"/>
              </w:rPr>
              <w:t>Advance affordability and universal access</w:t>
            </w:r>
          </w:p>
          <w:p w14:paraId="218BBBF5" w14:textId="77777777" w:rsidR="0001251D" w:rsidRPr="00755DE3" w:rsidRDefault="0001251D" w:rsidP="0001251D">
            <w:pPr>
              <w:suppressAutoHyphens w:val="0"/>
              <w:spacing w:before="40" w:after="120" w:line="220" w:lineRule="exact"/>
              <w:ind w:right="113"/>
              <w:rPr>
                <w:lang w:eastAsia="en-US"/>
              </w:rPr>
            </w:pPr>
            <w:r w:rsidRPr="00755DE3">
              <w:rPr>
                <w:lang w:eastAsia="en-US"/>
              </w:rPr>
              <w:t>Improve equity and social justice</w:t>
            </w:r>
          </w:p>
          <w:p w14:paraId="483ED61E" w14:textId="08B65A15" w:rsidR="0001251D" w:rsidRPr="00755DE3" w:rsidRDefault="0001251D" w:rsidP="0001251D">
            <w:pPr>
              <w:suppressAutoHyphens w:val="0"/>
              <w:spacing w:before="40" w:after="120" w:line="220" w:lineRule="exact"/>
              <w:ind w:right="113"/>
              <w:rPr>
                <w:lang w:eastAsia="en-US"/>
              </w:rPr>
            </w:pPr>
            <w:r w:rsidRPr="00755DE3">
              <w:rPr>
                <w:lang w:eastAsia="en-US"/>
              </w:rPr>
              <w:t>Plan for long-term access and equity</w:t>
            </w:r>
          </w:p>
        </w:tc>
      </w:tr>
      <w:tr w:rsidR="0001251D" w:rsidRPr="00755DE3" w14:paraId="6D675502" w14:textId="77777777" w:rsidTr="0001251D">
        <w:tc>
          <w:tcPr>
            <w:tcW w:w="2556" w:type="dxa"/>
            <w:shd w:val="clear" w:color="auto" w:fill="auto"/>
          </w:tcPr>
          <w:p w14:paraId="24EF9803" w14:textId="39798204" w:rsidR="0001251D" w:rsidRPr="00755DE3" w:rsidRDefault="0001251D" w:rsidP="0001251D">
            <w:pPr>
              <w:suppressAutoHyphens w:val="0"/>
              <w:spacing w:before="40" w:after="120" w:line="220" w:lineRule="exact"/>
              <w:ind w:right="113"/>
              <w:rPr>
                <w:szCs w:val="18"/>
                <w:lang w:eastAsia="en-US"/>
              </w:rPr>
            </w:pPr>
            <w:r w:rsidRPr="00755DE3">
              <w:t>Economic effectiveness and fiscal sustainability</w:t>
            </w:r>
          </w:p>
        </w:tc>
        <w:tc>
          <w:tcPr>
            <w:tcW w:w="4860" w:type="dxa"/>
            <w:shd w:val="clear" w:color="auto" w:fill="auto"/>
          </w:tcPr>
          <w:p w14:paraId="202873D1" w14:textId="77777777" w:rsidR="0001251D" w:rsidRPr="00755DE3" w:rsidRDefault="0001251D" w:rsidP="0001251D">
            <w:pPr>
              <w:suppressAutoHyphens w:val="0"/>
              <w:spacing w:before="40" w:after="120" w:line="220" w:lineRule="exact"/>
              <w:ind w:right="113"/>
              <w:rPr>
                <w:szCs w:val="18"/>
                <w:lang w:eastAsia="en-US"/>
              </w:rPr>
            </w:pPr>
            <w:r w:rsidRPr="00755DE3">
              <w:rPr>
                <w:szCs w:val="18"/>
                <w:lang w:eastAsia="en-US"/>
              </w:rPr>
              <w:t>Avoid corruption and encourage transparent procurement</w:t>
            </w:r>
          </w:p>
          <w:p w14:paraId="4AEFE833" w14:textId="77777777" w:rsidR="0001251D" w:rsidRPr="00755DE3" w:rsidRDefault="0001251D" w:rsidP="0001251D">
            <w:pPr>
              <w:suppressAutoHyphens w:val="0"/>
              <w:spacing w:before="40" w:after="120" w:line="220" w:lineRule="exact"/>
              <w:ind w:right="113"/>
              <w:rPr>
                <w:szCs w:val="18"/>
                <w:lang w:eastAsia="en-US"/>
              </w:rPr>
            </w:pPr>
            <w:r w:rsidRPr="00755DE3">
              <w:rPr>
                <w:szCs w:val="18"/>
                <w:lang w:eastAsia="en-US"/>
              </w:rPr>
              <w:t>Maximise economic viability and fiscal sustainability</w:t>
            </w:r>
          </w:p>
          <w:p w14:paraId="70ABCD1B" w14:textId="77777777" w:rsidR="0001251D" w:rsidRPr="00755DE3" w:rsidRDefault="0001251D" w:rsidP="0001251D">
            <w:pPr>
              <w:suppressAutoHyphens w:val="0"/>
              <w:spacing w:before="40" w:after="120" w:line="220" w:lineRule="exact"/>
              <w:ind w:right="113"/>
              <w:rPr>
                <w:szCs w:val="18"/>
                <w:lang w:eastAsia="en-US"/>
              </w:rPr>
            </w:pPr>
            <w:r w:rsidRPr="00755DE3">
              <w:rPr>
                <w:szCs w:val="18"/>
                <w:lang w:eastAsia="en-US"/>
              </w:rPr>
              <w:t>Maximise long-term financial viability</w:t>
            </w:r>
          </w:p>
          <w:p w14:paraId="16A76F81" w14:textId="09E88A2F" w:rsidR="0001251D" w:rsidRPr="00755DE3" w:rsidRDefault="0001251D" w:rsidP="0001251D">
            <w:pPr>
              <w:suppressAutoHyphens w:val="0"/>
              <w:spacing w:before="40" w:after="120" w:line="220" w:lineRule="exact"/>
              <w:ind w:right="113"/>
              <w:rPr>
                <w:szCs w:val="18"/>
                <w:lang w:eastAsia="en-US"/>
              </w:rPr>
            </w:pPr>
            <w:r w:rsidRPr="00755DE3">
              <w:rPr>
                <w:szCs w:val="18"/>
                <w:lang w:eastAsia="en-US"/>
              </w:rPr>
              <w:t>Enhance employment and economic opportunities</w:t>
            </w:r>
          </w:p>
        </w:tc>
      </w:tr>
      <w:tr w:rsidR="0001251D" w:rsidRPr="00755DE3" w14:paraId="11348B1A" w14:textId="77777777" w:rsidTr="0001251D">
        <w:tc>
          <w:tcPr>
            <w:tcW w:w="2556" w:type="dxa"/>
            <w:shd w:val="clear" w:color="auto" w:fill="auto"/>
          </w:tcPr>
          <w:p w14:paraId="30352A42" w14:textId="057DA20F" w:rsidR="0001251D" w:rsidRPr="00755DE3" w:rsidRDefault="0001251D" w:rsidP="0001251D">
            <w:pPr>
              <w:suppressAutoHyphens w:val="0"/>
              <w:spacing w:before="40" w:after="120" w:line="220" w:lineRule="exact"/>
              <w:ind w:right="113"/>
              <w:rPr>
                <w:szCs w:val="18"/>
                <w:lang w:eastAsia="en-US"/>
              </w:rPr>
            </w:pPr>
            <w:r w:rsidRPr="00755DE3">
              <w:t>Environmental sustainability and resilience</w:t>
            </w:r>
          </w:p>
        </w:tc>
        <w:tc>
          <w:tcPr>
            <w:tcW w:w="4860" w:type="dxa"/>
            <w:shd w:val="clear" w:color="auto" w:fill="auto"/>
          </w:tcPr>
          <w:p w14:paraId="67AFA9F5" w14:textId="2BA5AC0F" w:rsidR="0001251D" w:rsidRPr="00755DE3" w:rsidRDefault="0001251D" w:rsidP="0001251D">
            <w:pPr>
              <w:suppressAutoHyphens w:val="0"/>
              <w:spacing w:before="40" w:after="120" w:line="220" w:lineRule="exact"/>
              <w:ind w:right="113"/>
              <w:rPr>
                <w:lang w:eastAsia="en-US"/>
              </w:rPr>
            </w:pPr>
            <w:r w:rsidRPr="00755DE3">
              <w:rPr>
                <w:lang w:eastAsia="en-US"/>
              </w:rPr>
              <w:t xml:space="preserve">Reduce </w:t>
            </w:r>
            <w:r w:rsidR="00083D24" w:rsidRPr="00755DE3">
              <w:rPr>
                <w:lang w:eastAsia="en-US"/>
              </w:rPr>
              <w:t xml:space="preserve">greenhouse gas </w:t>
            </w:r>
            <w:r w:rsidRPr="00755DE3">
              <w:rPr>
                <w:lang w:eastAsia="en-US"/>
              </w:rPr>
              <w:t>emissions and improve energy efficiency</w:t>
            </w:r>
          </w:p>
          <w:p w14:paraId="591801C1" w14:textId="77777777" w:rsidR="0001251D" w:rsidRPr="00755DE3" w:rsidRDefault="0001251D" w:rsidP="0001251D">
            <w:pPr>
              <w:suppressAutoHyphens w:val="0"/>
              <w:spacing w:before="40" w:after="120" w:line="220" w:lineRule="exact"/>
              <w:ind w:right="113"/>
              <w:rPr>
                <w:lang w:eastAsia="en-US"/>
              </w:rPr>
            </w:pPr>
            <w:r w:rsidRPr="00755DE3">
              <w:rPr>
                <w:lang w:eastAsia="en-US"/>
              </w:rPr>
              <w:t>Reduce waste and restore degraded land</w:t>
            </w:r>
          </w:p>
          <w:p w14:paraId="09083C95" w14:textId="77777777" w:rsidR="0001251D" w:rsidRPr="00755DE3" w:rsidRDefault="0001251D" w:rsidP="0001251D">
            <w:pPr>
              <w:suppressAutoHyphens w:val="0"/>
              <w:spacing w:before="40" w:after="120" w:line="220" w:lineRule="exact"/>
              <w:ind w:right="113"/>
              <w:rPr>
                <w:lang w:eastAsia="en-US"/>
              </w:rPr>
            </w:pPr>
            <w:r w:rsidRPr="00755DE3">
              <w:rPr>
                <w:lang w:eastAsia="en-US"/>
              </w:rPr>
              <w:t>Reduce water consumption and wastewater discharge</w:t>
            </w:r>
          </w:p>
          <w:p w14:paraId="1C08D016" w14:textId="77777777" w:rsidR="0001251D" w:rsidRPr="00755DE3" w:rsidRDefault="0001251D" w:rsidP="0001251D">
            <w:pPr>
              <w:suppressAutoHyphens w:val="0"/>
              <w:spacing w:before="40" w:after="120" w:line="220" w:lineRule="exact"/>
              <w:ind w:right="113"/>
              <w:rPr>
                <w:lang w:eastAsia="en-US"/>
              </w:rPr>
            </w:pPr>
            <w:r w:rsidRPr="00755DE3">
              <w:rPr>
                <w:lang w:eastAsia="en-US"/>
              </w:rPr>
              <w:t>Protect biodiversity</w:t>
            </w:r>
          </w:p>
          <w:p w14:paraId="19239910" w14:textId="77777777" w:rsidR="0001251D" w:rsidRPr="00755DE3" w:rsidRDefault="0001251D" w:rsidP="0001251D">
            <w:pPr>
              <w:suppressAutoHyphens w:val="0"/>
              <w:spacing w:before="40" w:after="120" w:line="220" w:lineRule="exact"/>
              <w:ind w:right="113"/>
              <w:rPr>
                <w:lang w:eastAsia="en-US"/>
              </w:rPr>
            </w:pPr>
            <w:r w:rsidRPr="00755DE3">
              <w:rPr>
                <w:lang w:eastAsia="en-US"/>
              </w:rPr>
              <w:t>Assess risk and resilience for disaster management</w:t>
            </w:r>
          </w:p>
          <w:p w14:paraId="05B3AFB7" w14:textId="77777777" w:rsidR="0001251D" w:rsidRPr="00755DE3" w:rsidRDefault="0001251D" w:rsidP="0001251D">
            <w:pPr>
              <w:suppressAutoHyphens w:val="0"/>
              <w:spacing w:before="40" w:after="120" w:line="220" w:lineRule="exact"/>
              <w:ind w:right="113"/>
              <w:rPr>
                <w:lang w:eastAsia="en-US"/>
              </w:rPr>
            </w:pPr>
            <w:r w:rsidRPr="00755DE3">
              <w:rPr>
                <w:lang w:eastAsia="en-US"/>
              </w:rPr>
              <w:t>Allocate funds for resilience and disaster management</w:t>
            </w:r>
          </w:p>
          <w:p w14:paraId="02A2FBA0" w14:textId="5968BC19" w:rsidR="0001251D" w:rsidRPr="00755DE3" w:rsidRDefault="0001251D" w:rsidP="0001251D">
            <w:pPr>
              <w:suppressAutoHyphens w:val="0"/>
              <w:spacing w:before="40" w:after="120" w:line="220" w:lineRule="exact"/>
              <w:ind w:right="113"/>
              <w:rPr>
                <w:lang w:eastAsia="en-US"/>
              </w:rPr>
            </w:pPr>
            <w:r w:rsidRPr="00755DE3">
              <w:rPr>
                <w:lang w:eastAsia="en-US"/>
              </w:rPr>
              <w:t>Advance community-driven development</w:t>
            </w:r>
          </w:p>
        </w:tc>
      </w:tr>
      <w:tr w:rsidR="0001251D" w:rsidRPr="00755DE3" w14:paraId="0A958D32" w14:textId="77777777" w:rsidTr="0001251D">
        <w:tc>
          <w:tcPr>
            <w:tcW w:w="2556" w:type="dxa"/>
            <w:shd w:val="clear" w:color="auto" w:fill="auto"/>
          </w:tcPr>
          <w:p w14:paraId="36DD4EB0" w14:textId="3FBEBB51" w:rsidR="0001251D" w:rsidRPr="00755DE3" w:rsidRDefault="0001251D" w:rsidP="0001251D">
            <w:pPr>
              <w:suppressAutoHyphens w:val="0"/>
              <w:spacing w:before="40" w:after="120" w:line="220" w:lineRule="exact"/>
              <w:ind w:right="113"/>
              <w:rPr>
                <w:szCs w:val="18"/>
                <w:lang w:eastAsia="en-US"/>
              </w:rPr>
            </w:pPr>
            <w:r w:rsidRPr="00755DE3">
              <w:t>Replicability</w:t>
            </w:r>
          </w:p>
        </w:tc>
        <w:tc>
          <w:tcPr>
            <w:tcW w:w="4860" w:type="dxa"/>
            <w:shd w:val="clear" w:color="auto" w:fill="auto"/>
          </w:tcPr>
          <w:p w14:paraId="319A2255" w14:textId="77777777" w:rsidR="0001251D" w:rsidRPr="00755DE3" w:rsidRDefault="0001251D" w:rsidP="0001251D">
            <w:pPr>
              <w:suppressAutoHyphens w:val="0"/>
              <w:spacing w:before="40" w:after="120" w:line="220" w:lineRule="exact"/>
              <w:ind w:right="113"/>
              <w:rPr>
                <w:lang w:eastAsia="en-US"/>
              </w:rPr>
            </w:pPr>
            <w:r w:rsidRPr="00755DE3">
              <w:rPr>
                <w:lang w:eastAsia="en-US"/>
              </w:rPr>
              <w:t>Encourage replicability and scalability</w:t>
            </w:r>
          </w:p>
          <w:p w14:paraId="0123D6CC" w14:textId="79EB74D9" w:rsidR="0001251D" w:rsidRPr="00755DE3" w:rsidRDefault="0001251D" w:rsidP="0001251D">
            <w:pPr>
              <w:suppressAutoHyphens w:val="0"/>
              <w:spacing w:before="40" w:after="120" w:line="220" w:lineRule="exact"/>
              <w:ind w:right="113"/>
              <w:rPr>
                <w:lang w:eastAsia="en-US"/>
              </w:rPr>
            </w:pPr>
            <w:r w:rsidRPr="00755DE3">
              <w:rPr>
                <w:lang w:eastAsia="en-US"/>
              </w:rPr>
              <w:t xml:space="preserve">Enhance </w:t>
            </w:r>
            <w:r w:rsidR="00172DE9" w:rsidRPr="00755DE3">
              <w:rPr>
                <w:lang w:eastAsia="en-US"/>
              </w:rPr>
              <w:t>G</w:t>
            </w:r>
            <w:r w:rsidRPr="00755DE3">
              <w:rPr>
                <w:lang w:eastAsia="en-US"/>
              </w:rPr>
              <w:t>overnment, industry and community capacity</w:t>
            </w:r>
          </w:p>
          <w:p w14:paraId="632084C3" w14:textId="56F40143" w:rsidR="0001251D" w:rsidRPr="00755DE3" w:rsidRDefault="0001251D" w:rsidP="0001251D">
            <w:pPr>
              <w:suppressAutoHyphens w:val="0"/>
              <w:spacing w:before="40" w:after="120" w:line="220" w:lineRule="exact"/>
              <w:ind w:right="113"/>
              <w:rPr>
                <w:lang w:eastAsia="en-US"/>
              </w:rPr>
            </w:pPr>
            <w:r w:rsidRPr="00755DE3">
              <w:rPr>
                <w:lang w:eastAsia="en-US"/>
              </w:rPr>
              <w:t>Support innovation and technology transfer</w:t>
            </w:r>
          </w:p>
        </w:tc>
      </w:tr>
      <w:tr w:rsidR="0001251D" w:rsidRPr="00755DE3" w14:paraId="5926F941" w14:textId="77777777" w:rsidTr="0001251D">
        <w:tc>
          <w:tcPr>
            <w:tcW w:w="2556" w:type="dxa"/>
            <w:shd w:val="clear" w:color="auto" w:fill="auto"/>
          </w:tcPr>
          <w:p w14:paraId="27C90E55" w14:textId="1324F02A" w:rsidR="0001251D" w:rsidRPr="00755DE3" w:rsidRDefault="0001251D" w:rsidP="0001251D">
            <w:pPr>
              <w:suppressAutoHyphens w:val="0"/>
              <w:spacing w:before="40" w:after="120" w:line="220" w:lineRule="exact"/>
              <w:ind w:right="113"/>
              <w:rPr>
                <w:lang w:eastAsia="en-US"/>
              </w:rPr>
            </w:pPr>
            <w:r w:rsidRPr="00755DE3">
              <w:t>Stakeholder engagement</w:t>
            </w:r>
          </w:p>
        </w:tc>
        <w:tc>
          <w:tcPr>
            <w:tcW w:w="4860" w:type="dxa"/>
            <w:shd w:val="clear" w:color="auto" w:fill="auto"/>
          </w:tcPr>
          <w:p w14:paraId="3CFC6861" w14:textId="77777777" w:rsidR="0001251D" w:rsidRPr="00755DE3" w:rsidRDefault="0001251D" w:rsidP="0001251D">
            <w:pPr>
              <w:suppressAutoHyphens w:val="0"/>
              <w:spacing w:before="40" w:after="120" w:line="220" w:lineRule="exact"/>
              <w:ind w:right="113"/>
              <w:rPr>
                <w:lang w:eastAsia="en-US"/>
              </w:rPr>
            </w:pPr>
            <w:r w:rsidRPr="00755DE3">
              <w:rPr>
                <w:lang w:eastAsia="en-US"/>
              </w:rPr>
              <w:t>Plan for stakeholder engagement and public participation</w:t>
            </w:r>
          </w:p>
          <w:p w14:paraId="3A3D223D" w14:textId="77777777" w:rsidR="0001251D" w:rsidRPr="00755DE3" w:rsidRDefault="0001251D" w:rsidP="0001251D">
            <w:pPr>
              <w:suppressAutoHyphens w:val="0"/>
              <w:spacing w:before="40" w:after="120" w:line="220" w:lineRule="exact"/>
              <w:ind w:right="113"/>
              <w:rPr>
                <w:lang w:eastAsia="en-US"/>
              </w:rPr>
            </w:pPr>
            <w:r w:rsidRPr="00755DE3">
              <w:rPr>
                <w:lang w:eastAsia="en-US"/>
              </w:rPr>
              <w:t>Maximise stakeholder engagement and public participation</w:t>
            </w:r>
          </w:p>
          <w:p w14:paraId="56573F32" w14:textId="77777777" w:rsidR="0001251D" w:rsidRPr="00755DE3" w:rsidRDefault="0001251D" w:rsidP="0001251D">
            <w:pPr>
              <w:suppressAutoHyphens w:val="0"/>
              <w:spacing w:before="40" w:after="120" w:line="220" w:lineRule="exact"/>
              <w:ind w:right="113"/>
              <w:rPr>
                <w:lang w:eastAsia="en-US"/>
              </w:rPr>
            </w:pPr>
            <w:r w:rsidRPr="00755DE3">
              <w:rPr>
                <w:lang w:eastAsia="en-US"/>
              </w:rPr>
              <w:t>Provide transparent and quality project information</w:t>
            </w:r>
          </w:p>
          <w:p w14:paraId="67379AF5" w14:textId="6C20547A" w:rsidR="0001251D" w:rsidRPr="00755DE3" w:rsidRDefault="0001251D" w:rsidP="0001251D">
            <w:pPr>
              <w:suppressAutoHyphens w:val="0"/>
              <w:spacing w:before="40" w:after="120" w:line="220" w:lineRule="exact"/>
              <w:ind w:right="113"/>
              <w:rPr>
                <w:lang w:eastAsia="en-US"/>
              </w:rPr>
            </w:pPr>
            <w:r w:rsidRPr="00755DE3">
              <w:rPr>
                <w:lang w:eastAsia="en-US"/>
              </w:rPr>
              <w:t>Manage public grievances and end user feedback</w:t>
            </w:r>
          </w:p>
        </w:tc>
      </w:tr>
    </w:tbl>
    <w:p w14:paraId="4072EDCA" w14:textId="50653CCD" w:rsidR="001223F9" w:rsidRPr="00755DE3" w:rsidRDefault="00F6423D" w:rsidP="0001251D">
      <w:pPr>
        <w:pStyle w:val="SingleTxtG"/>
      </w:pPr>
      <w:r>
        <w:t xml:space="preserve">Source: ECE, </w:t>
      </w:r>
      <w:r w:rsidR="00A31B2D">
        <w:t xml:space="preserve">based on </w:t>
      </w:r>
      <w:r w:rsidR="00A31B2D" w:rsidRPr="00A31B2D">
        <w:t>A draft People-first Public-Private Partnerships Evaluation Methodology for the Sustainable Development Goals</w:t>
      </w:r>
      <w:r w:rsidR="00BF3602">
        <w:t xml:space="preserve"> (</w:t>
      </w:r>
      <w:r w:rsidR="00BF3602" w:rsidRPr="00BF3602">
        <w:t>ECE/CECI/WP/PPP/2020/3</w:t>
      </w:r>
      <w:r w:rsidR="00BF3602">
        <w:t>)</w:t>
      </w:r>
      <w:r w:rsidR="00A31B2D">
        <w:t>, 2020</w:t>
      </w:r>
      <w:r w:rsidR="00BF3602">
        <w:t>.</w:t>
      </w:r>
    </w:p>
    <w:p w14:paraId="20EA3D56" w14:textId="1B8EB389" w:rsidR="00ED2C8C" w:rsidRPr="00755DE3" w:rsidRDefault="00F6423D" w:rsidP="008F5446">
      <w:pPr>
        <w:pStyle w:val="H1G"/>
        <w:numPr>
          <w:ilvl w:val="0"/>
          <w:numId w:val="10"/>
        </w:numPr>
        <w:ind w:left="1134" w:hanging="567"/>
      </w:pPr>
      <w:bookmarkStart w:id="7" w:name="_Toc54086131"/>
      <w:r>
        <w:t xml:space="preserve">Key challenges for </w:t>
      </w:r>
      <w:r w:rsidR="00ED2C8C" w:rsidRPr="00755DE3">
        <w:t xml:space="preserve">achieving People-first </w:t>
      </w:r>
      <w:r w:rsidR="00381859" w:rsidRPr="00755DE3">
        <w:t>Waste-to-Energy</w:t>
      </w:r>
      <w:r w:rsidR="00C603EC" w:rsidRPr="00755DE3">
        <w:t xml:space="preserve"> projects</w:t>
      </w:r>
      <w:bookmarkEnd w:id="7"/>
    </w:p>
    <w:p w14:paraId="4FCEF1E0" w14:textId="274C5515" w:rsidR="005E3F9B" w:rsidRPr="00755DE3" w:rsidRDefault="00B469AB" w:rsidP="002D21F4">
      <w:pPr>
        <w:pStyle w:val="SingleTxtG"/>
      </w:pPr>
      <w:r w:rsidRPr="00755DE3">
        <w:t>Becoming</w:t>
      </w:r>
      <w:r w:rsidR="003F7691" w:rsidRPr="00755DE3">
        <w:t xml:space="preserve"> </w:t>
      </w:r>
      <w:r w:rsidR="00244C51" w:rsidRPr="00755DE3">
        <w:t>“</w:t>
      </w:r>
      <w:r w:rsidR="003F7691" w:rsidRPr="00755DE3">
        <w:t>high quality</w:t>
      </w:r>
      <w:r w:rsidR="00244C51" w:rsidRPr="00755DE3">
        <w:t>”</w:t>
      </w:r>
      <w:r w:rsidR="003F7691" w:rsidRPr="00755DE3">
        <w:t xml:space="preserve"> </w:t>
      </w:r>
      <w:r w:rsidR="00D76DBF" w:rsidRPr="00755DE3">
        <w:t>investments</w:t>
      </w:r>
      <w:r w:rsidR="003F7691" w:rsidRPr="00755DE3">
        <w:t xml:space="preserve"> and </w:t>
      </w:r>
      <w:r w:rsidR="00244C51" w:rsidRPr="00755DE3">
        <w:t>“</w:t>
      </w:r>
      <w:r w:rsidRPr="00755DE3">
        <w:t>People-first</w:t>
      </w:r>
      <w:r w:rsidR="00244C51" w:rsidRPr="00755DE3">
        <w:t>”</w:t>
      </w:r>
      <w:r w:rsidR="003F7691" w:rsidRPr="00755DE3">
        <w:t xml:space="preserve"> </w:t>
      </w:r>
      <w:r w:rsidR="00D76DBF" w:rsidRPr="00755DE3">
        <w:t xml:space="preserve">is challenging the </w:t>
      </w:r>
      <w:r w:rsidRPr="00755DE3">
        <w:t>WtE</w:t>
      </w:r>
      <w:r w:rsidR="00D76DBF" w:rsidRPr="00755DE3">
        <w:t xml:space="preserve"> industry.</w:t>
      </w:r>
      <w:r w:rsidR="007D7C64" w:rsidRPr="00755DE3">
        <w:t xml:space="preserve"> The section </w:t>
      </w:r>
      <w:r w:rsidR="000E0B32" w:rsidRPr="00755DE3">
        <w:t xml:space="preserve">takes each of the five </w:t>
      </w:r>
      <w:r w:rsidR="005B213D" w:rsidRPr="00755DE3">
        <w:t>People-first</w:t>
      </w:r>
      <w:r w:rsidR="000E0B32" w:rsidRPr="00755DE3">
        <w:t xml:space="preserve"> outcomes in </w:t>
      </w:r>
      <w:r w:rsidR="00E82DEC" w:rsidRPr="00755DE3">
        <w:t>turn,</w:t>
      </w:r>
      <w:r w:rsidR="000E0B32" w:rsidRPr="00755DE3">
        <w:t xml:space="preserve"> </w:t>
      </w:r>
      <w:r w:rsidR="007D7C64" w:rsidRPr="00755DE3">
        <w:t>demonstrat</w:t>
      </w:r>
      <w:r w:rsidR="000E0B32" w:rsidRPr="00755DE3">
        <w:t xml:space="preserve">ing </w:t>
      </w:r>
      <w:r w:rsidR="007D7C64" w:rsidRPr="00755DE3">
        <w:t>the nature of the problem</w:t>
      </w:r>
      <w:r w:rsidR="000E0B32" w:rsidRPr="00755DE3">
        <w:t xml:space="preserve"> under each outcome </w:t>
      </w:r>
      <w:r w:rsidR="007D7C64" w:rsidRPr="00755DE3">
        <w:t>and how projects are addressing and overcoming these</w:t>
      </w:r>
      <w:r w:rsidR="00FE6EA4" w:rsidRPr="00755DE3">
        <w:t xml:space="preserve"> </w:t>
      </w:r>
      <w:r w:rsidR="00FE4AEA" w:rsidRPr="00755DE3">
        <w:t xml:space="preserve">problem </w:t>
      </w:r>
      <w:r w:rsidR="005E0BB6" w:rsidRPr="00755DE3">
        <w:t>areas</w:t>
      </w:r>
      <w:r w:rsidR="00F03719" w:rsidRPr="00755DE3">
        <w:t xml:space="preserve">. The projects referred to are set out in Annex </w:t>
      </w:r>
      <w:r w:rsidR="00AB5D01">
        <w:t>3</w:t>
      </w:r>
      <w:r w:rsidR="0050028F" w:rsidRPr="00755DE3">
        <w:t xml:space="preserve"> </w:t>
      </w:r>
      <w:r w:rsidR="00F03719" w:rsidRPr="00755DE3">
        <w:t>to the Guidelines below</w:t>
      </w:r>
      <w:r w:rsidR="005E0BB6" w:rsidRPr="00755DE3">
        <w:t>:</w:t>
      </w:r>
    </w:p>
    <w:p w14:paraId="7744B10D" w14:textId="0FBA3036" w:rsidR="00232159" w:rsidRPr="00755DE3" w:rsidRDefault="00232159" w:rsidP="001E49E6">
      <w:pPr>
        <w:pStyle w:val="H23G"/>
        <w:numPr>
          <w:ilvl w:val="0"/>
          <w:numId w:val="25"/>
        </w:numPr>
        <w:ind w:hanging="81"/>
        <w:outlineLvl w:val="9"/>
      </w:pPr>
      <w:r w:rsidRPr="00755DE3">
        <w:t>Increase access and promote equ</w:t>
      </w:r>
      <w:r w:rsidR="00ED2C8C" w:rsidRPr="00755DE3">
        <w:t>i</w:t>
      </w:r>
      <w:r w:rsidRPr="00755DE3">
        <w:t xml:space="preserve">ty </w:t>
      </w:r>
    </w:p>
    <w:p w14:paraId="10B9F330" w14:textId="6ED73FA9" w:rsidR="007D7C64" w:rsidRPr="00755DE3" w:rsidRDefault="00896B06" w:rsidP="00896B06">
      <w:pPr>
        <w:pStyle w:val="SingleTxtG"/>
        <w:numPr>
          <w:ilvl w:val="0"/>
          <w:numId w:val="13"/>
        </w:numPr>
      </w:pPr>
      <w:r>
        <w:t xml:space="preserve">Increasing access and promoting equity refers to </w:t>
      </w:r>
      <w:r w:rsidR="00F76263" w:rsidRPr="00755DE3">
        <w:t>whether as a result of the project, access to critical services, such as energy are achieved</w:t>
      </w:r>
      <w:r w:rsidR="001A6361" w:rsidRPr="00755DE3">
        <w:t>,</w:t>
      </w:r>
      <w:r w:rsidR="00F76263" w:rsidRPr="00755DE3">
        <w:t xml:space="preserve"> especially for those who were previously unserved or served by a much lower quality of service.</w:t>
      </w:r>
      <w:r w:rsidR="001A6361" w:rsidRPr="00755DE3">
        <w:t xml:space="preserve"> </w:t>
      </w:r>
    </w:p>
    <w:p w14:paraId="24951DAE" w14:textId="17673A0B" w:rsidR="00232159" w:rsidRPr="00755DE3" w:rsidRDefault="00F6423D" w:rsidP="005041EA">
      <w:pPr>
        <w:pStyle w:val="SingleTxtG"/>
        <w:rPr>
          <w:b/>
          <w:bCs/>
        </w:rPr>
      </w:pPr>
      <w:r>
        <w:rPr>
          <w:b/>
          <w:bCs/>
          <w:u w:val="single"/>
        </w:rPr>
        <w:t>Challenge</w:t>
      </w:r>
      <w:r w:rsidR="00232159" w:rsidRPr="00755DE3">
        <w:rPr>
          <w:b/>
          <w:bCs/>
        </w:rPr>
        <w:t xml:space="preserve">: </w:t>
      </w:r>
      <w:r w:rsidR="00713227" w:rsidRPr="00755DE3">
        <w:rPr>
          <w:b/>
          <w:bCs/>
        </w:rPr>
        <w:t>WtE projects</w:t>
      </w:r>
      <w:r w:rsidR="0000108F" w:rsidRPr="00755DE3">
        <w:rPr>
          <w:b/>
          <w:bCs/>
        </w:rPr>
        <w:t xml:space="preserve"> are more expensive than other energy sources and are not</w:t>
      </w:r>
      <w:r w:rsidR="00E55197" w:rsidRPr="00755DE3">
        <w:rPr>
          <w:b/>
          <w:bCs/>
        </w:rPr>
        <w:t xml:space="preserve"> </w:t>
      </w:r>
      <w:r w:rsidR="00232159" w:rsidRPr="00755DE3">
        <w:rPr>
          <w:b/>
          <w:bCs/>
        </w:rPr>
        <w:t xml:space="preserve">affordable to </w:t>
      </w:r>
      <w:r w:rsidR="0000108F" w:rsidRPr="00755DE3">
        <w:rPr>
          <w:b/>
          <w:bCs/>
        </w:rPr>
        <w:t xml:space="preserve">consumers in </w:t>
      </w:r>
      <w:r w:rsidR="00232159" w:rsidRPr="00755DE3">
        <w:rPr>
          <w:b/>
          <w:bCs/>
        </w:rPr>
        <w:t>low- and middle-income communities</w:t>
      </w:r>
      <w:r w:rsidR="005041EA" w:rsidRPr="00755DE3">
        <w:rPr>
          <w:b/>
          <w:bCs/>
        </w:rPr>
        <w:t>.</w:t>
      </w:r>
    </w:p>
    <w:p w14:paraId="1A31859D" w14:textId="49BC4941" w:rsidR="00566B8D" w:rsidRPr="00755DE3" w:rsidRDefault="00CF7A83" w:rsidP="005041EA">
      <w:pPr>
        <w:pStyle w:val="SingleTxtG"/>
      </w:pPr>
      <w:bookmarkStart w:id="8" w:name="_Hlk49178784"/>
      <w:r w:rsidRPr="00755DE3">
        <w:t>S</w:t>
      </w:r>
      <w:r w:rsidR="00566B8D" w:rsidRPr="00755DE3">
        <w:t xml:space="preserve">ome critics argue that </w:t>
      </w:r>
      <w:r w:rsidRPr="00755DE3">
        <w:t xml:space="preserve">the </w:t>
      </w:r>
      <w:r w:rsidR="00566B8D" w:rsidRPr="00755DE3">
        <w:t xml:space="preserve">WtE </w:t>
      </w:r>
      <w:r w:rsidRPr="00755DE3">
        <w:t xml:space="preserve">industry itself </w:t>
      </w:r>
      <w:r w:rsidR="006D04B1" w:rsidRPr="00755DE3">
        <w:t>prefer to be perceived as power plants, when in fact, they produce rather little energy and remain fundamentally waste disposal facilities</w:t>
      </w:r>
      <w:r w:rsidR="00930004" w:rsidRPr="00755DE3">
        <w:t>.</w:t>
      </w:r>
      <w:r w:rsidR="006D04B1" w:rsidRPr="00755DE3">
        <w:rPr>
          <w:rStyle w:val="FootnoteReference"/>
        </w:rPr>
        <w:footnoteReference w:id="26"/>
      </w:r>
      <w:r w:rsidR="006D04B1" w:rsidRPr="00755DE3">
        <w:t xml:space="preserve"> </w:t>
      </w:r>
      <w:r w:rsidRPr="00755DE3">
        <w:t>Also,</w:t>
      </w:r>
      <w:r w:rsidR="000872DA" w:rsidRPr="00755DE3">
        <w:t xml:space="preserve"> </w:t>
      </w:r>
      <w:r w:rsidRPr="00755DE3">
        <w:t xml:space="preserve">critics claim that </w:t>
      </w:r>
      <w:r w:rsidR="00393EC9" w:rsidRPr="00755DE3">
        <w:t>WtE</w:t>
      </w:r>
      <w:r w:rsidR="00566B8D" w:rsidRPr="00755DE3">
        <w:t xml:space="preserve"> facilit</w:t>
      </w:r>
      <w:r w:rsidRPr="00755DE3">
        <w:t xml:space="preserve">ies do not </w:t>
      </w:r>
      <w:r w:rsidR="006D04B1" w:rsidRPr="00755DE3">
        <w:t xml:space="preserve">provide </w:t>
      </w:r>
      <w:r w:rsidR="00566B8D" w:rsidRPr="00755DE3">
        <w:t>cheaper energy</w:t>
      </w:r>
      <w:r w:rsidR="006D04B1" w:rsidRPr="00755DE3">
        <w:t xml:space="preserve"> than other sources</w:t>
      </w:r>
      <w:r w:rsidRPr="00755DE3">
        <w:t xml:space="preserve">. In </w:t>
      </w:r>
      <w:r w:rsidRPr="00755DE3">
        <w:lastRenderedPageBreak/>
        <w:t>such a characterisation</w:t>
      </w:r>
      <w:r w:rsidR="006B5F37" w:rsidRPr="00755DE3">
        <w:t>,</w:t>
      </w:r>
      <w:r w:rsidRPr="00755DE3">
        <w:t xml:space="preserve"> WtE can be hardly presented as making </w:t>
      </w:r>
      <w:r w:rsidR="006D04B1" w:rsidRPr="00755DE3">
        <w:t xml:space="preserve">energy </w:t>
      </w:r>
      <w:r w:rsidR="00566B8D" w:rsidRPr="00755DE3">
        <w:t xml:space="preserve">more accessible </w:t>
      </w:r>
      <w:r w:rsidR="006D04B1" w:rsidRPr="00755DE3">
        <w:t xml:space="preserve">to </w:t>
      </w:r>
      <w:r w:rsidR="00566B8D" w:rsidRPr="00755DE3">
        <w:t xml:space="preserve">vulnerable groups that are </w:t>
      </w:r>
      <w:r w:rsidR="006D04B1" w:rsidRPr="00755DE3">
        <w:t xml:space="preserve">previously unserved or underserved in </w:t>
      </w:r>
      <w:r w:rsidR="00566B8D" w:rsidRPr="00755DE3">
        <w:t xml:space="preserve">energy </w:t>
      </w:r>
      <w:r w:rsidR="006D04B1" w:rsidRPr="00755DE3">
        <w:t>provision</w:t>
      </w:r>
      <w:r w:rsidR="00014A13" w:rsidRPr="00755DE3">
        <w:t>.</w:t>
      </w:r>
    </w:p>
    <w:p w14:paraId="02EAFC5E" w14:textId="21CAAE29" w:rsidR="008B3F7F" w:rsidRPr="00755DE3" w:rsidRDefault="008650C9" w:rsidP="0017479A">
      <w:pPr>
        <w:pStyle w:val="SingleTxtG"/>
      </w:pPr>
      <w:r w:rsidRPr="00755DE3">
        <w:t xml:space="preserve">In the case of the volume of </w:t>
      </w:r>
      <w:r w:rsidR="00C210FE" w:rsidRPr="00755DE3">
        <w:t>energy</w:t>
      </w:r>
      <w:r w:rsidRPr="00755DE3">
        <w:t xml:space="preserve"> generated </w:t>
      </w:r>
      <w:r w:rsidR="00974024" w:rsidRPr="00755DE3">
        <w:t xml:space="preserve">overall, </w:t>
      </w:r>
      <w:r w:rsidRPr="00755DE3">
        <w:t xml:space="preserve">WtE projects </w:t>
      </w:r>
      <w:r w:rsidR="000E0B32" w:rsidRPr="00755DE3">
        <w:t xml:space="preserve">typically do </w:t>
      </w:r>
      <w:r w:rsidR="00974024" w:rsidRPr="00755DE3">
        <w:t>not contribute</w:t>
      </w:r>
      <w:r w:rsidRPr="00755DE3">
        <w:t xml:space="preserve"> </w:t>
      </w:r>
      <w:r w:rsidR="009815AC" w:rsidRPr="00755DE3">
        <w:t>significantly to the</w:t>
      </w:r>
      <w:r w:rsidR="000E0B32" w:rsidRPr="00755DE3">
        <w:t xml:space="preserve"> national grid and the </w:t>
      </w:r>
      <w:r w:rsidR="009815AC" w:rsidRPr="00755DE3">
        <w:t>energy supply of the country</w:t>
      </w:r>
      <w:r w:rsidR="000E0B32" w:rsidRPr="00755DE3">
        <w:t xml:space="preserve">. </w:t>
      </w:r>
      <w:r w:rsidR="00974024" w:rsidRPr="00755DE3">
        <w:t>Yet, this</w:t>
      </w:r>
      <w:r w:rsidRPr="00755DE3">
        <w:t xml:space="preserve"> picture is changing.</w:t>
      </w:r>
      <w:r w:rsidR="004C5F14" w:rsidRPr="00755DE3">
        <w:t xml:space="preserve"> </w:t>
      </w:r>
      <w:r w:rsidR="005210AE" w:rsidRPr="00755DE3">
        <w:t>WtE</w:t>
      </w:r>
      <w:r w:rsidRPr="00755DE3">
        <w:t xml:space="preserve"> project</w:t>
      </w:r>
      <w:r w:rsidR="0017479A" w:rsidRPr="00755DE3">
        <w:t>s</w:t>
      </w:r>
      <w:r w:rsidRPr="00755DE3">
        <w:t xml:space="preserve"> </w:t>
      </w:r>
      <w:r w:rsidR="009815AC" w:rsidRPr="00755DE3">
        <w:t xml:space="preserve">in </w:t>
      </w:r>
      <w:r w:rsidR="008B3F7F" w:rsidRPr="00755DE3">
        <w:t>Olsztyn, Poland,</w:t>
      </w:r>
      <w:r w:rsidR="0017479A" w:rsidRPr="00755DE3">
        <w:t xml:space="preserve"> and Klaipeda, Lithuania</w:t>
      </w:r>
      <w:r w:rsidR="00F03719" w:rsidRPr="00755DE3">
        <w:t>, for example,</w:t>
      </w:r>
      <w:r w:rsidR="001A6361" w:rsidRPr="00755DE3">
        <w:t xml:space="preserve"> </w:t>
      </w:r>
      <w:r w:rsidR="000E0B32" w:rsidRPr="00755DE3">
        <w:t>contribute</w:t>
      </w:r>
      <w:r w:rsidR="004E2054" w:rsidRPr="00755DE3">
        <w:t xml:space="preserve"> </w:t>
      </w:r>
      <w:r w:rsidR="000E0B32" w:rsidRPr="00755DE3">
        <w:t xml:space="preserve">significantly </w:t>
      </w:r>
      <w:r w:rsidR="008B3F7F" w:rsidRPr="00755DE3">
        <w:t>to the</w:t>
      </w:r>
      <w:r w:rsidR="000E0B32" w:rsidRPr="00755DE3">
        <w:t xml:space="preserve"> energy needs of the respective </w:t>
      </w:r>
      <w:r w:rsidR="004C5F14" w:rsidRPr="00755DE3">
        <w:t xml:space="preserve">municipality, but also </w:t>
      </w:r>
      <w:r w:rsidR="00095B66" w:rsidRPr="00755DE3">
        <w:t>help</w:t>
      </w:r>
      <w:r w:rsidR="004C5F14" w:rsidRPr="00755DE3">
        <w:t xml:space="preserve"> the regions to replace fossil fuels and their </w:t>
      </w:r>
      <w:r w:rsidR="005C2D33" w:rsidRPr="00755DE3">
        <w:t xml:space="preserve">energy </w:t>
      </w:r>
      <w:r w:rsidR="004C5F14" w:rsidRPr="00755DE3">
        <w:t>imports from neighbouring countries</w:t>
      </w:r>
      <w:r w:rsidR="004F4135" w:rsidRPr="00755DE3">
        <w:t>.</w:t>
      </w:r>
      <w:r w:rsidR="003A5C97" w:rsidRPr="00755DE3">
        <w:t xml:space="preserve"> In the case of Olsztyn, the </w:t>
      </w:r>
      <w:r w:rsidR="005210AE" w:rsidRPr="00755DE3">
        <w:t>WtE</w:t>
      </w:r>
      <w:r w:rsidR="003A5C97" w:rsidRPr="00755DE3">
        <w:t xml:space="preserve"> plant </w:t>
      </w:r>
      <w:r w:rsidR="00F03719" w:rsidRPr="00755DE3">
        <w:t xml:space="preserve">produces </w:t>
      </w:r>
      <w:r w:rsidR="003A5C97" w:rsidRPr="00755DE3">
        <w:t xml:space="preserve">a significant amount of heat that was </w:t>
      </w:r>
      <w:r w:rsidR="001B0E9F">
        <w:t xml:space="preserve">previously </w:t>
      </w:r>
      <w:r w:rsidR="003A5C97" w:rsidRPr="00755DE3">
        <w:t xml:space="preserve">produced from </w:t>
      </w:r>
      <w:r w:rsidR="001B0E9F">
        <w:t>a</w:t>
      </w:r>
      <w:r w:rsidR="003A5C97" w:rsidRPr="00755DE3">
        <w:t xml:space="preserve"> fossil fuel plant that shut down</w:t>
      </w:r>
      <w:r w:rsidR="005C2D33" w:rsidRPr="00755DE3">
        <w:t xml:space="preserve">, whereas the </w:t>
      </w:r>
      <w:r w:rsidR="005210AE" w:rsidRPr="00755DE3">
        <w:t>WtE</w:t>
      </w:r>
      <w:r w:rsidR="005C2D33" w:rsidRPr="00755DE3">
        <w:t xml:space="preserve"> plant in</w:t>
      </w:r>
      <w:r w:rsidR="003A5C97" w:rsidRPr="00755DE3">
        <w:t xml:space="preserve"> Klaipeda </w:t>
      </w:r>
      <w:r w:rsidR="00F03719" w:rsidRPr="00755DE3">
        <w:t xml:space="preserve">provides </w:t>
      </w:r>
      <w:r w:rsidR="003A5C97" w:rsidRPr="00755DE3">
        <w:t xml:space="preserve">about 40% of the heating demand of the </w:t>
      </w:r>
      <w:r w:rsidR="00D801EC" w:rsidRPr="00755DE3">
        <w:t>region and</w:t>
      </w:r>
      <w:r w:rsidR="004C5F14" w:rsidRPr="00755DE3">
        <w:t xml:space="preserve"> substitutes a significant amount of gas that</w:t>
      </w:r>
      <w:r w:rsidR="00790371" w:rsidRPr="00755DE3">
        <w:t xml:space="preserve"> otherwise</w:t>
      </w:r>
      <w:r w:rsidR="004C5F14" w:rsidRPr="00755DE3">
        <w:t xml:space="preserve"> would have been imported from other countries.</w:t>
      </w:r>
      <w:r w:rsidR="001A6361" w:rsidRPr="00755DE3">
        <w:t xml:space="preserve"> </w:t>
      </w:r>
    </w:p>
    <w:p w14:paraId="7AB025BA" w14:textId="1018593E" w:rsidR="00566B8D" w:rsidRPr="00755DE3" w:rsidRDefault="008B3F7F" w:rsidP="002C51DF">
      <w:pPr>
        <w:pStyle w:val="SingleTxtG"/>
      </w:pPr>
      <w:r w:rsidRPr="00755DE3">
        <w:t>In rural areas the situation shows that to date</w:t>
      </w:r>
      <w:r w:rsidR="000872DA" w:rsidRPr="00755DE3">
        <w:t>,</w:t>
      </w:r>
      <w:r w:rsidR="00E8721E" w:rsidRPr="00755DE3">
        <w:t xml:space="preserve"> </w:t>
      </w:r>
      <w:r w:rsidRPr="00755DE3">
        <w:t xml:space="preserve">there are few WtE </w:t>
      </w:r>
      <w:r w:rsidR="005C5845" w:rsidRPr="00755DE3">
        <w:t xml:space="preserve">projects </w:t>
      </w:r>
      <w:r w:rsidRPr="00755DE3">
        <w:t xml:space="preserve">in rural areas that </w:t>
      </w:r>
      <w:r w:rsidR="0014243A" w:rsidRPr="00755DE3">
        <w:t>contribute</w:t>
      </w:r>
      <w:r w:rsidRPr="00755DE3">
        <w:t xml:space="preserve"> significantly </w:t>
      </w:r>
      <w:r w:rsidR="0014243A" w:rsidRPr="00755DE3">
        <w:t>to</w:t>
      </w:r>
      <w:r w:rsidRPr="00755DE3">
        <w:t xml:space="preserve"> the </w:t>
      </w:r>
      <w:r w:rsidR="00D5424E" w:rsidRPr="00755DE3">
        <w:t xml:space="preserve">energy </w:t>
      </w:r>
      <w:r w:rsidRPr="00755DE3">
        <w:t>needs of rural dwell</w:t>
      </w:r>
      <w:r w:rsidR="000D7AE9" w:rsidRPr="00755DE3">
        <w:t>ers</w:t>
      </w:r>
      <w:r w:rsidR="000E0B32" w:rsidRPr="00755DE3">
        <w:t xml:space="preserve">. </w:t>
      </w:r>
      <w:r w:rsidR="004C5F14" w:rsidRPr="00755DE3">
        <w:t xml:space="preserve">A similar trend is </w:t>
      </w:r>
      <w:r w:rsidR="005C5242">
        <w:t>observed when</w:t>
      </w:r>
      <w:r w:rsidR="004C5F14" w:rsidRPr="00755DE3">
        <w:t xml:space="preserve"> looking at the cost of energy. </w:t>
      </w:r>
      <w:r w:rsidR="000E0B32" w:rsidRPr="00755DE3">
        <w:t>F</w:t>
      </w:r>
      <w:r w:rsidR="00FE6DDF" w:rsidRPr="00755DE3">
        <w:t xml:space="preserve">or </w:t>
      </w:r>
      <w:r w:rsidR="00A84ACB" w:rsidRPr="00755DE3">
        <w:t>example,</w:t>
      </w:r>
      <w:r w:rsidR="00FE6DDF" w:rsidRPr="00755DE3">
        <w:t xml:space="preserve"> </w:t>
      </w:r>
      <w:r w:rsidR="000D7AE9" w:rsidRPr="00755DE3">
        <w:t xml:space="preserve">the </w:t>
      </w:r>
      <w:r w:rsidR="005210AE" w:rsidRPr="00755DE3">
        <w:t>WtE</w:t>
      </w:r>
      <w:r w:rsidR="000D7AE9" w:rsidRPr="00755DE3">
        <w:t xml:space="preserve"> project in </w:t>
      </w:r>
      <w:proofErr w:type="spellStart"/>
      <w:r w:rsidR="000D7AE9" w:rsidRPr="00755DE3">
        <w:t>Maardu</w:t>
      </w:r>
      <w:proofErr w:type="spellEnd"/>
      <w:r w:rsidR="000D7AE9" w:rsidRPr="00755DE3">
        <w:t>, Estonia</w:t>
      </w:r>
      <w:r w:rsidR="000E0B32" w:rsidRPr="00755DE3">
        <w:t xml:space="preserve"> contributed </w:t>
      </w:r>
      <w:r w:rsidR="006014F6" w:rsidRPr="00755DE3">
        <w:t>to approximately 20% to the heating demand of the local communities,</w:t>
      </w:r>
      <w:r w:rsidR="00CB1477" w:rsidRPr="00755DE3">
        <w:t xml:space="preserve"> at one-fourth of the price provided by the conventional </w:t>
      </w:r>
      <w:r w:rsidR="00D801EC" w:rsidRPr="00755DE3">
        <w:t>fossil fuels,</w:t>
      </w:r>
      <w:r w:rsidR="006014F6" w:rsidRPr="00755DE3">
        <w:t xml:space="preserve"> and </w:t>
      </w:r>
      <w:r w:rsidR="00DB369F" w:rsidRPr="00755DE3">
        <w:t xml:space="preserve">generated </w:t>
      </w:r>
      <w:r w:rsidR="006014F6" w:rsidRPr="00755DE3">
        <w:t xml:space="preserve">enough electricity to meet the demands of small cities in proximity </w:t>
      </w:r>
      <w:r w:rsidR="00F03719" w:rsidRPr="00755DE3">
        <w:t xml:space="preserve">to </w:t>
      </w:r>
      <w:r w:rsidR="006014F6" w:rsidRPr="00755DE3">
        <w:t xml:space="preserve">the facility. </w:t>
      </w:r>
    </w:p>
    <w:p w14:paraId="0C22B7E1" w14:textId="0107E59A" w:rsidR="00232159" w:rsidRPr="00755DE3" w:rsidRDefault="00232159" w:rsidP="001E49E6">
      <w:pPr>
        <w:pStyle w:val="H23G"/>
        <w:numPr>
          <w:ilvl w:val="0"/>
          <w:numId w:val="25"/>
        </w:numPr>
        <w:ind w:hanging="81"/>
        <w:outlineLvl w:val="9"/>
      </w:pPr>
      <w:bookmarkStart w:id="9" w:name="_Hlk54427479"/>
      <w:bookmarkEnd w:id="8"/>
      <w:r w:rsidRPr="00755DE3">
        <w:t>Improve projects</w:t>
      </w:r>
      <w:r w:rsidR="00896B06">
        <w:t>’</w:t>
      </w:r>
      <w:r w:rsidRPr="00755DE3">
        <w:t xml:space="preserve"> economic effectiveness and fiscal sustainability</w:t>
      </w:r>
      <w:r w:rsidR="003201C8" w:rsidRPr="00755DE3">
        <w:t xml:space="preserve"> </w:t>
      </w:r>
    </w:p>
    <w:bookmarkEnd w:id="9"/>
    <w:p w14:paraId="57901546" w14:textId="2F86056F" w:rsidR="00232159" w:rsidRPr="00755DE3" w:rsidRDefault="007C7010" w:rsidP="00CC7582">
      <w:pPr>
        <w:pStyle w:val="SingleTxtG"/>
        <w:numPr>
          <w:ilvl w:val="0"/>
          <w:numId w:val="13"/>
        </w:numPr>
      </w:pPr>
      <w:r>
        <w:t xml:space="preserve">This criterion </w:t>
      </w:r>
      <w:r w:rsidR="00896B06">
        <w:t>refers to</w:t>
      </w:r>
      <w:r w:rsidR="008D1F8E">
        <w:t xml:space="preserve"> </w:t>
      </w:r>
      <w:r w:rsidR="00020481" w:rsidRPr="00755DE3">
        <w:t>the project’s contribution to</w:t>
      </w:r>
      <w:r>
        <w:t xml:space="preserve"> </w:t>
      </w:r>
      <w:r>
        <w:rPr>
          <w:i/>
          <w:iCs/>
        </w:rPr>
        <w:t>inter alia</w:t>
      </w:r>
      <w:r w:rsidR="00232159" w:rsidRPr="00755DE3">
        <w:t xml:space="preserve"> good quality jobs</w:t>
      </w:r>
      <w:r w:rsidR="00020481" w:rsidRPr="00755DE3">
        <w:t xml:space="preserve">, technology and innovation including the </w:t>
      </w:r>
      <w:r w:rsidR="00896B06">
        <w:t>p</w:t>
      </w:r>
      <w:r w:rsidR="00020481" w:rsidRPr="00755DE3">
        <w:t>roject</w:t>
      </w:r>
      <w:r w:rsidR="004C750B" w:rsidRPr="00755DE3">
        <w:t>’s</w:t>
      </w:r>
      <w:r w:rsidR="00020481" w:rsidRPr="00755DE3">
        <w:t xml:space="preserve"> ability to utilise sufficiently all economic assets</w:t>
      </w:r>
      <w:r w:rsidR="00853CD0" w:rsidRPr="00755DE3">
        <w:t xml:space="preserve">, </w:t>
      </w:r>
      <w:r w:rsidR="00020481" w:rsidRPr="00755DE3">
        <w:t>including the empowerment of women</w:t>
      </w:r>
      <w:r w:rsidR="001A6361" w:rsidRPr="00755DE3">
        <w:t>,</w:t>
      </w:r>
      <w:r w:rsidR="00020481" w:rsidRPr="00755DE3">
        <w:t xml:space="preserve"> profitability of the project</w:t>
      </w:r>
      <w:r>
        <w:t xml:space="preserve">. </w:t>
      </w:r>
    </w:p>
    <w:p w14:paraId="4C0D6958" w14:textId="424FC720" w:rsidR="00040DFE" w:rsidRPr="00755DE3" w:rsidRDefault="00896B06" w:rsidP="00475498">
      <w:pPr>
        <w:pStyle w:val="SingleTxtG"/>
        <w:rPr>
          <w:b/>
          <w:bCs/>
        </w:rPr>
      </w:pPr>
      <w:r>
        <w:rPr>
          <w:b/>
          <w:bCs/>
          <w:u w:val="single"/>
        </w:rPr>
        <w:t>Challenge</w:t>
      </w:r>
      <w:r w:rsidR="00232159" w:rsidRPr="00755DE3">
        <w:rPr>
          <w:b/>
          <w:bCs/>
        </w:rPr>
        <w:t xml:space="preserve">: </w:t>
      </w:r>
      <w:r w:rsidR="0000108F" w:rsidRPr="00755DE3">
        <w:rPr>
          <w:b/>
          <w:bCs/>
        </w:rPr>
        <w:t xml:space="preserve">WtE </w:t>
      </w:r>
      <w:r w:rsidR="00232159" w:rsidRPr="00755DE3">
        <w:rPr>
          <w:b/>
          <w:bCs/>
        </w:rPr>
        <w:t>project</w:t>
      </w:r>
      <w:r w:rsidR="0000108F" w:rsidRPr="00755DE3">
        <w:rPr>
          <w:b/>
          <w:bCs/>
        </w:rPr>
        <w:t xml:space="preserve">s have </w:t>
      </w:r>
      <w:r w:rsidR="00D837D9" w:rsidRPr="00755DE3">
        <w:rPr>
          <w:b/>
          <w:bCs/>
        </w:rPr>
        <w:t>few</w:t>
      </w:r>
      <w:r w:rsidR="0000108F" w:rsidRPr="00755DE3">
        <w:rPr>
          <w:b/>
          <w:bCs/>
        </w:rPr>
        <w:t xml:space="preserve"> local economic impact</w:t>
      </w:r>
      <w:r w:rsidR="00020481" w:rsidRPr="00755DE3">
        <w:rPr>
          <w:b/>
          <w:bCs/>
        </w:rPr>
        <w:t xml:space="preserve">s such as </w:t>
      </w:r>
      <w:r w:rsidR="00E91924" w:rsidRPr="00755DE3">
        <w:rPr>
          <w:b/>
          <w:bCs/>
        </w:rPr>
        <w:t>high-quality</w:t>
      </w:r>
      <w:r w:rsidR="00020481" w:rsidRPr="00755DE3">
        <w:rPr>
          <w:b/>
          <w:bCs/>
        </w:rPr>
        <w:t xml:space="preserve"> jobs</w:t>
      </w:r>
      <w:r w:rsidR="00D837D9" w:rsidRPr="00755DE3">
        <w:rPr>
          <w:b/>
          <w:bCs/>
        </w:rPr>
        <w:t xml:space="preserve"> </w:t>
      </w:r>
      <w:r w:rsidR="0000108F" w:rsidRPr="00755DE3">
        <w:rPr>
          <w:b/>
          <w:bCs/>
        </w:rPr>
        <w:t>etc.</w:t>
      </w:r>
    </w:p>
    <w:p w14:paraId="30B7E111" w14:textId="3AFD7A31" w:rsidR="00E91924" w:rsidRPr="00755DE3" w:rsidRDefault="00E91924" w:rsidP="00B266EE">
      <w:pPr>
        <w:pStyle w:val="SingleTxtG"/>
      </w:pPr>
      <w:r w:rsidRPr="00755DE3">
        <w:t>This challenge relates to two major points</w:t>
      </w:r>
      <w:r w:rsidR="00185320" w:rsidRPr="00755DE3">
        <w:t xml:space="preserve"> at different ends of the income </w:t>
      </w:r>
      <w:r w:rsidR="0007302C" w:rsidRPr="00755DE3">
        <w:t>spectrum:</w:t>
      </w:r>
      <w:r w:rsidRPr="00755DE3">
        <w:t xml:space="preserve"> </w:t>
      </w:r>
      <w:r w:rsidR="00896BB0" w:rsidRPr="00755DE3">
        <w:t xml:space="preserve">Do </w:t>
      </w:r>
      <w:r w:rsidR="005210AE" w:rsidRPr="00755DE3">
        <w:t>WtE</w:t>
      </w:r>
      <w:r w:rsidR="00896BB0" w:rsidRPr="00755DE3">
        <w:t xml:space="preserve"> project</w:t>
      </w:r>
      <w:r w:rsidR="00185320" w:rsidRPr="00755DE3">
        <w:t>s</w:t>
      </w:r>
      <w:r w:rsidR="00896BB0" w:rsidRPr="00755DE3">
        <w:t xml:space="preserve"> provide </w:t>
      </w:r>
      <w:r w:rsidR="004F4135" w:rsidRPr="00755DE3">
        <w:t>well paid</w:t>
      </w:r>
      <w:r w:rsidR="00831AF6" w:rsidRPr="00755DE3">
        <w:t xml:space="preserve"> jobs</w:t>
      </w:r>
      <w:r w:rsidR="00185320" w:rsidRPr="00755DE3">
        <w:t>, tra</w:t>
      </w:r>
      <w:r w:rsidR="00463372" w:rsidRPr="00755DE3">
        <w:t>nsfer knowledge</w:t>
      </w:r>
      <w:r w:rsidR="00896BB0" w:rsidRPr="00755DE3">
        <w:t xml:space="preserve"> </w:t>
      </w:r>
      <w:r w:rsidR="00463372" w:rsidRPr="00755DE3">
        <w:t>to local</w:t>
      </w:r>
      <w:r w:rsidR="00896BB0" w:rsidRPr="00755DE3">
        <w:t xml:space="preserve"> people</w:t>
      </w:r>
      <w:r w:rsidR="00686DEB" w:rsidRPr="00755DE3">
        <w:t xml:space="preserve"> and benefits </w:t>
      </w:r>
      <w:r w:rsidR="004F4135" w:rsidRPr="00755DE3">
        <w:t>to</w:t>
      </w:r>
      <w:r w:rsidR="00686DEB" w:rsidRPr="00755DE3">
        <w:t xml:space="preserve"> the community</w:t>
      </w:r>
      <w:r w:rsidR="00185320" w:rsidRPr="00755DE3">
        <w:t xml:space="preserve"> as a whole</w:t>
      </w:r>
      <w:r w:rsidR="00896BB0" w:rsidRPr="00755DE3">
        <w:t xml:space="preserve">? And </w:t>
      </w:r>
      <w:r w:rsidR="00185320" w:rsidRPr="00755DE3">
        <w:t xml:space="preserve">at the base of the </w:t>
      </w:r>
      <w:r w:rsidR="0007302C" w:rsidRPr="00755DE3">
        <w:t>pyramid,</w:t>
      </w:r>
      <w:r w:rsidR="00185320" w:rsidRPr="00755DE3">
        <w:t xml:space="preserve"> do WtE </w:t>
      </w:r>
      <w:r w:rsidRPr="00755DE3">
        <w:t>project</w:t>
      </w:r>
      <w:r w:rsidR="00185320" w:rsidRPr="00755DE3">
        <w:t xml:space="preserve">s materially improve </w:t>
      </w:r>
      <w:r w:rsidRPr="00755DE3">
        <w:t>livelihood of the</w:t>
      </w:r>
      <w:r w:rsidR="00366FFC" w:rsidRPr="00755DE3">
        <w:t xml:space="preserve"> low-income</w:t>
      </w:r>
      <w:r w:rsidR="00463372" w:rsidRPr="00755DE3">
        <w:t xml:space="preserve"> and marginali</w:t>
      </w:r>
      <w:r w:rsidR="001F4CF4" w:rsidRPr="00755DE3">
        <w:t>s</w:t>
      </w:r>
      <w:r w:rsidR="00463372" w:rsidRPr="00755DE3">
        <w:t>ed</w:t>
      </w:r>
      <w:r w:rsidR="00185320" w:rsidRPr="00755DE3">
        <w:t xml:space="preserve"> groups</w:t>
      </w:r>
      <w:r w:rsidR="00A83A06" w:rsidRPr="00755DE3">
        <w:t xml:space="preserve">, </w:t>
      </w:r>
      <w:r w:rsidR="007B4CF3" w:rsidRPr="00755DE3">
        <w:t xml:space="preserve">e.g. </w:t>
      </w:r>
      <w:r w:rsidR="004D628D" w:rsidRPr="00755DE3">
        <w:t xml:space="preserve">families working informally as waste-pickers, </w:t>
      </w:r>
      <w:r w:rsidR="00366FFC" w:rsidRPr="00755DE3">
        <w:t xml:space="preserve">and </w:t>
      </w:r>
      <w:r w:rsidR="007B4CF3" w:rsidRPr="00755DE3">
        <w:t xml:space="preserve">of the </w:t>
      </w:r>
      <w:r w:rsidR="00366FFC" w:rsidRPr="00755DE3">
        <w:t>vulnerable groups</w:t>
      </w:r>
      <w:r w:rsidR="00E86C54" w:rsidRPr="00755DE3">
        <w:t>, e.g.</w:t>
      </w:r>
      <w:r w:rsidR="004D628D" w:rsidRPr="00755DE3">
        <w:t xml:space="preserve"> refugees</w:t>
      </w:r>
      <w:r w:rsidRPr="00755DE3">
        <w:t xml:space="preserve">? </w:t>
      </w:r>
    </w:p>
    <w:p w14:paraId="1F2751D3" w14:textId="71A150FF" w:rsidR="00EB27B1" w:rsidRPr="00755DE3" w:rsidRDefault="005210AE" w:rsidP="00EB27B1">
      <w:pPr>
        <w:pStyle w:val="SingleTxtG"/>
      </w:pPr>
      <w:r w:rsidRPr="00755DE3">
        <w:t>WtE</w:t>
      </w:r>
      <w:r w:rsidR="00831AF6" w:rsidRPr="00755DE3">
        <w:t xml:space="preserve"> plants can </w:t>
      </w:r>
      <w:r w:rsidR="004E2054" w:rsidRPr="00755DE3">
        <w:t xml:space="preserve">indeed negatively </w:t>
      </w:r>
      <w:r w:rsidR="00831AF6" w:rsidRPr="00755DE3">
        <w:t xml:space="preserve">affect the livelihood of </w:t>
      </w:r>
      <w:r w:rsidR="00DE2C02" w:rsidRPr="00755DE3">
        <w:t>communities if</w:t>
      </w:r>
      <w:r w:rsidR="00831AF6" w:rsidRPr="00755DE3">
        <w:t xml:space="preserve"> they do not </w:t>
      </w:r>
      <w:r w:rsidR="004E2054" w:rsidRPr="00755DE3">
        <w:t xml:space="preserve">adequately </w:t>
      </w:r>
      <w:r w:rsidR="00831AF6" w:rsidRPr="00755DE3">
        <w:t xml:space="preserve">consider </w:t>
      </w:r>
      <w:r w:rsidR="004E2054" w:rsidRPr="00755DE3">
        <w:t xml:space="preserve">the interests of </w:t>
      </w:r>
      <w:r w:rsidR="00DE2C02" w:rsidRPr="00755DE3">
        <w:t xml:space="preserve">local people during the construction and operation of the </w:t>
      </w:r>
      <w:r w:rsidR="004E2054" w:rsidRPr="00755DE3">
        <w:t>project</w:t>
      </w:r>
      <w:r w:rsidR="00DE2C02" w:rsidRPr="00755DE3">
        <w:t xml:space="preserve">. </w:t>
      </w:r>
      <w:r w:rsidR="00896FEF" w:rsidRPr="00755DE3">
        <w:t>A major concern relates to low income families</w:t>
      </w:r>
      <w:r w:rsidR="004E2054" w:rsidRPr="00755DE3">
        <w:t xml:space="preserve"> which rely for their income </w:t>
      </w:r>
      <w:r w:rsidR="00896FEF" w:rsidRPr="00755DE3">
        <w:t>on informal recycling activities</w:t>
      </w:r>
      <w:r w:rsidR="004E2054" w:rsidRPr="00755DE3">
        <w:t xml:space="preserve">. </w:t>
      </w:r>
      <w:r w:rsidR="00BD0F50" w:rsidRPr="00755DE3">
        <w:t>Also,</w:t>
      </w:r>
      <w:r w:rsidR="004E2054" w:rsidRPr="00755DE3">
        <w:t xml:space="preserve"> in this group, are those who are very vulnerable,</w:t>
      </w:r>
      <w:r w:rsidR="004D628D" w:rsidRPr="00755DE3">
        <w:t xml:space="preserve"> e.g. refugees, </w:t>
      </w:r>
      <w:r w:rsidR="007B4CF3" w:rsidRPr="00755DE3">
        <w:t>that</w:t>
      </w:r>
      <w:r w:rsidR="004D628D" w:rsidRPr="00755DE3">
        <w:t xml:space="preserve"> have </w:t>
      </w:r>
      <w:r w:rsidR="004E2054" w:rsidRPr="00755DE3">
        <w:t xml:space="preserve">no </w:t>
      </w:r>
      <w:r w:rsidR="004D628D" w:rsidRPr="00755DE3">
        <w:t>job</w:t>
      </w:r>
      <w:r w:rsidR="004E2054" w:rsidRPr="00755DE3">
        <w:t>s</w:t>
      </w:r>
      <w:r w:rsidR="004D628D" w:rsidRPr="00755DE3">
        <w:t>. However,</w:t>
      </w:r>
      <w:r w:rsidR="0047227F" w:rsidRPr="00755DE3">
        <w:t xml:space="preserve"> in many cases</w:t>
      </w:r>
      <w:r w:rsidR="004D628D" w:rsidRPr="00755DE3">
        <w:t xml:space="preserve"> </w:t>
      </w:r>
      <w:r w:rsidRPr="00755DE3">
        <w:t>WtE</w:t>
      </w:r>
      <w:r w:rsidR="004D628D" w:rsidRPr="00755DE3">
        <w:t xml:space="preserve"> </w:t>
      </w:r>
      <w:r w:rsidR="00953DF6" w:rsidRPr="00755DE3">
        <w:t>project</w:t>
      </w:r>
      <w:r w:rsidR="00E962F3" w:rsidRPr="00755DE3">
        <w:t>s</w:t>
      </w:r>
      <w:r w:rsidR="004D628D" w:rsidRPr="00755DE3">
        <w:t xml:space="preserve"> </w:t>
      </w:r>
      <w:r w:rsidR="004E2054" w:rsidRPr="00755DE3">
        <w:t xml:space="preserve">can </w:t>
      </w:r>
      <w:r w:rsidR="00953DF6" w:rsidRPr="00755DE3">
        <w:t xml:space="preserve">provide a </w:t>
      </w:r>
      <w:r w:rsidR="004D628D" w:rsidRPr="00755DE3">
        <w:t>viable</w:t>
      </w:r>
      <w:r w:rsidR="00953DF6" w:rsidRPr="00755DE3">
        <w:t xml:space="preserve"> s</w:t>
      </w:r>
      <w:r w:rsidR="004E2054" w:rsidRPr="00755DE3">
        <w:t xml:space="preserve">upport for </w:t>
      </w:r>
      <w:r w:rsidR="00953DF6" w:rsidRPr="00755DE3">
        <w:t>these groups</w:t>
      </w:r>
      <w:r w:rsidR="00463372" w:rsidRPr="00755DE3">
        <w:t xml:space="preserve">. For example, the project in Cox’s Bazar in Bangladesh, </w:t>
      </w:r>
      <w:r w:rsidR="00B40563" w:rsidRPr="00755DE3">
        <w:t>mobilised</w:t>
      </w:r>
      <w:r w:rsidR="000872DA" w:rsidRPr="00755DE3">
        <w:t xml:space="preserve"> </w:t>
      </w:r>
      <w:r w:rsidR="00463372" w:rsidRPr="00755DE3">
        <w:t xml:space="preserve">the refugees </w:t>
      </w:r>
      <w:r w:rsidR="00B40563" w:rsidRPr="00755DE3">
        <w:t xml:space="preserve">themselves to help in </w:t>
      </w:r>
      <w:r w:rsidR="00463372" w:rsidRPr="00755DE3">
        <w:t xml:space="preserve">the construction and operation of the </w:t>
      </w:r>
      <w:r w:rsidR="00B40563" w:rsidRPr="00755DE3">
        <w:t>facility</w:t>
      </w:r>
      <w:r w:rsidR="00463372" w:rsidRPr="00755DE3">
        <w:t xml:space="preserve">, and in </w:t>
      </w:r>
      <w:r w:rsidR="00953DF6" w:rsidRPr="00755DE3">
        <w:t>the case of Belgrade, Serbia</w:t>
      </w:r>
      <w:r w:rsidR="00463372" w:rsidRPr="00755DE3">
        <w:t xml:space="preserve">, the municipality aided Roma families that were living on the old landfill to find new jobs and </w:t>
      </w:r>
      <w:r w:rsidR="00B40563" w:rsidRPr="00755DE3">
        <w:t>accommodation</w:t>
      </w:r>
      <w:r w:rsidR="004D628D" w:rsidRPr="00755DE3">
        <w:t xml:space="preserve">. </w:t>
      </w:r>
      <w:r w:rsidR="00614822" w:rsidRPr="00755DE3">
        <w:t xml:space="preserve">Also, </w:t>
      </w:r>
      <w:r w:rsidR="0047227F" w:rsidRPr="00755DE3">
        <w:t xml:space="preserve">many </w:t>
      </w:r>
      <w:r w:rsidR="00B40563" w:rsidRPr="00755DE3">
        <w:t>projects</w:t>
      </w:r>
      <w:r w:rsidR="0047227F" w:rsidRPr="00755DE3">
        <w:t xml:space="preserve"> </w:t>
      </w:r>
      <w:r w:rsidR="00CA56E1" w:rsidRPr="00755DE3">
        <w:t>provided</w:t>
      </w:r>
      <w:r w:rsidR="00614822" w:rsidRPr="00755DE3">
        <w:t xml:space="preserve"> </w:t>
      </w:r>
      <w:r w:rsidR="00463372" w:rsidRPr="00755DE3">
        <w:t xml:space="preserve">high quality jobs, and transfer of knowledge </w:t>
      </w:r>
      <w:r w:rsidR="00614822" w:rsidRPr="00755DE3">
        <w:t>to the local community</w:t>
      </w:r>
      <w:r w:rsidR="00463372" w:rsidRPr="00755DE3">
        <w:t xml:space="preserve">, in addition to other monetary benefits. For example, the </w:t>
      </w:r>
      <w:r w:rsidRPr="00755DE3">
        <w:t>WtE</w:t>
      </w:r>
      <w:r w:rsidR="00463372" w:rsidRPr="00755DE3">
        <w:t xml:space="preserve"> project in Dublin, Ireland, provided about 100 jobs </w:t>
      </w:r>
      <w:r w:rsidR="00AA009D" w:rsidRPr="00755DE3">
        <w:t xml:space="preserve">to local people for the operation of the plant, and more than 50 jobs during construction that included also extensive training, and transfer of know how. In addition, more than </w:t>
      </w:r>
      <w:r w:rsidR="00502A7B" w:rsidRPr="00755DE3">
        <w:t xml:space="preserve">EUR </w:t>
      </w:r>
      <w:r w:rsidR="00AA009D" w:rsidRPr="00755DE3">
        <w:t xml:space="preserve">10 million has been allocated for the community to date, </w:t>
      </w:r>
      <w:r w:rsidR="00B40563" w:rsidRPr="00755DE3">
        <w:t xml:space="preserve">paid for out of </w:t>
      </w:r>
      <w:r w:rsidR="00AA009D" w:rsidRPr="00755DE3">
        <w:t>the revenues</w:t>
      </w:r>
      <w:r w:rsidR="00B40563" w:rsidRPr="00755DE3">
        <w:t xml:space="preserve"> generated by the project.</w:t>
      </w:r>
    </w:p>
    <w:p w14:paraId="698924BA" w14:textId="058E6457" w:rsidR="00831AF6" w:rsidRPr="00CC7582" w:rsidRDefault="00896B06" w:rsidP="00CC7582">
      <w:pPr>
        <w:pStyle w:val="SingleTxtG"/>
      </w:pPr>
      <w:r w:rsidRPr="00CC7582">
        <w:t xml:space="preserve">Moreover, </w:t>
      </w:r>
      <w:r w:rsidR="005210AE" w:rsidRPr="00CC7582">
        <w:t>WtE</w:t>
      </w:r>
      <w:r w:rsidR="00F02DA5" w:rsidRPr="00CC7582">
        <w:t xml:space="preserve"> projects typically do not advocate</w:t>
      </w:r>
      <w:r w:rsidR="00B347F4" w:rsidRPr="00CC7582">
        <w:t xml:space="preserve"> gender quality and</w:t>
      </w:r>
      <w:r w:rsidR="00F02DA5" w:rsidRPr="00CC7582">
        <w:t xml:space="preserve"> women’s empowerment</w:t>
      </w:r>
      <w:r w:rsidR="00B347F4" w:rsidRPr="00CC7582">
        <w:t>, which is something they should put emphasis on</w:t>
      </w:r>
      <w:r w:rsidR="00B637D1" w:rsidRPr="00CC7582">
        <w:t>,</w:t>
      </w:r>
      <w:r w:rsidR="000872DA" w:rsidRPr="00CC7582">
        <w:t xml:space="preserve"> </w:t>
      </w:r>
      <w:r w:rsidR="00B347F4" w:rsidRPr="00CC7582">
        <w:t>in order to fully comply with that specific outcome</w:t>
      </w:r>
      <w:r w:rsidR="00B637D1" w:rsidRPr="00CC7582">
        <w:t>. What needs to change to make this happen?</w:t>
      </w:r>
      <w:r w:rsidR="00B347F4" w:rsidRPr="00CC7582">
        <w:t xml:space="preserve"> </w:t>
      </w:r>
    </w:p>
    <w:p w14:paraId="24650A9E" w14:textId="77777777" w:rsidR="00005D3D" w:rsidRPr="00755DE3" w:rsidRDefault="00005D3D" w:rsidP="00005D3D">
      <w:pPr>
        <w:pStyle w:val="H23G"/>
        <w:numPr>
          <w:ilvl w:val="0"/>
          <w:numId w:val="25"/>
        </w:numPr>
        <w:ind w:hanging="81"/>
        <w:outlineLvl w:val="9"/>
      </w:pPr>
      <w:r w:rsidRPr="00755DE3">
        <w:t>Improve environmental sustainability and resilience</w:t>
      </w:r>
    </w:p>
    <w:p w14:paraId="535508DE" w14:textId="77777777" w:rsidR="00005D3D" w:rsidRPr="00755DE3" w:rsidRDefault="00005D3D" w:rsidP="00005D3D">
      <w:pPr>
        <w:pStyle w:val="SingleTxtG"/>
        <w:numPr>
          <w:ilvl w:val="0"/>
          <w:numId w:val="13"/>
        </w:numPr>
      </w:pPr>
      <w:r w:rsidRPr="00755DE3">
        <w:t xml:space="preserve">Environmental sustainability refers to the protection and preservation of the planet and is a basic requirement of sustainability. Mitigating the impacts of climate change is integral to the successful implementation of the SDGs. </w:t>
      </w:r>
    </w:p>
    <w:p w14:paraId="004212B4" w14:textId="2A93CDDA" w:rsidR="00005D3D" w:rsidRPr="00755DE3" w:rsidRDefault="00896B06" w:rsidP="00005D3D">
      <w:pPr>
        <w:pStyle w:val="SingleTxtG"/>
        <w:rPr>
          <w:b/>
          <w:bCs/>
        </w:rPr>
      </w:pPr>
      <w:r>
        <w:rPr>
          <w:b/>
          <w:bCs/>
          <w:u w:val="single"/>
        </w:rPr>
        <w:t>Challenge</w:t>
      </w:r>
      <w:r w:rsidR="00005D3D" w:rsidRPr="00755DE3">
        <w:rPr>
          <w:b/>
          <w:bCs/>
        </w:rPr>
        <w:t>: WtE combustion causes the release of CO</w:t>
      </w:r>
      <w:r w:rsidR="00005D3D" w:rsidRPr="00755DE3">
        <w:rPr>
          <w:b/>
          <w:bCs/>
          <w:vertAlign w:val="subscript"/>
        </w:rPr>
        <w:t>2</w:t>
      </w:r>
      <w:r w:rsidR="00005D3D" w:rsidRPr="00755DE3">
        <w:rPr>
          <w:b/>
          <w:bCs/>
        </w:rPr>
        <w:t xml:space="preserve"> equivalent emissions into the atmosphere that can seriously damage people’s health.</w:t>
      </w:r>
    </w:p>
    <w:p w14:paraId="01D44602" w14:textId="77777777" w:rsidR="00005D3D" w:rsidRPr="00755DE3" w:rsidRDefault="00005D3D" w:rsidP="00005D3D">
      <w:pPr>
        <w:pStyle w:val="SingleTxtG"/>
      </w:pPr>
      <w:r w:rsidRPr="00755DE3">
        <w:lastRenderedPageBreak/>
        <w:t xml:space="preserve">This challenge consists of two components: does the project negatively affect the public health and the environment, by producing hazardous emissions, and depleting natural resources? And, does the WtE project affect the waste recycling targets of communities, which are a priority, with regard to the waste hierarchy? </w:t>
      </w:r>
    </w:p>
    <w:p w14:paraId="478E5A33" w14:textId="77777777" w:rsidR="00005D3D" w:rsidRPr="00755DE3" w:rsidRDefault="00005D3D" w:rsidP="00005D3D">
      <w:pPr>
        <w:pStyle w:val="SingleTxtG"/>
      </w:pPr>
      <w:r w:rsidRPr="00755DE3">
        <w:t xml:space="preserve">There is a significant concern that WtE relates to emissions that harm the environment, but also, if not designed properly, WtE can reduce recycling in communities. However, many WtE projects produce significant environmental benefits for communities and enhance recycling with the recovery of metals and minerals from the bottom ash fraction. </w:t>
      </w:r>
    </w:p>
    <w:p w14:paraId="3B272378" w14:textId="77777777" w:rsidR="00005D3D" w:rsidRPr="00755DE3" w:rsidRDefault="00005D3D" w:rsidP="00005D3D">
      <w:pPr>
        <w:pStyle w:val="SingleTxtG"/>
      </w:pPr>
      <w:r w:rsidRPr="00755DE3">
        <w:t>For example, the WtE plant in Barcelona, Spain saves 19,000 tonnes CO</w:t>
      </w:r>
      <w:r w:rsidRPr="00755DE3">
        <w:rPr>
          <w:vertAlign w:val="subscript"/>
        </w:rPr>
        <w:t>2</w:t>
      </w:r>
      <w:r w:rsidRPr="00755DE3">
        <w:t xml:space="preserve"> equivalent per year, reduces fossil fuel consumption by 58%, improves the energy performance of the buildings that are using heat from the plant, and recovers about 15,000 tonnes of metals and minerals. The plant in Glasgow, United Kingdom diverts 90% of materials away from landfills, saves about 20,000m</w:t>
      </w:r>
      <w:r w:rsidRPr="00755DE3">
        <w:rPr>
          <w:vertAlign w:val="superscript"/>
        </w:rPr>
        <w:t>2</w:t>
      </w:r>
      <w:r w:rsidRPr="00755DE3">
        <w:t xml:space="preserve"> of land per year, and 90,000 tonnes CO</w:t>
      </w:r>
      <w:r w:rsidRPr="00755DE3">
        <w:rPr>
          <w:vertAlign w:val="subscript"/>
        </w:rPr>
        <w:t>2</w:t>
      </w:r>
      <w:r w:rsidRPr="00755DE3">
        <w:t xml:space="preserve"> equivalent per year, but also, recovers about 10,000 tonnes of metals and minerals. In Doel, Belgium, the WtE plant was associated with the decommissioning of the gas-fired boilers that resulted in savings of 200,000 tonnes CO</w:t>
      </w:r>
      <w:r w:rsidRPr="00755DE3">
        <w:rPr>
          <w:vertAlign w:val="subscript"/>
        </w:rPr>
        <w:t>2</w:t>
      </w:r>
      <w:r w:rsidRPr="00755DE3">
        <w:t xml:space="preserve"> equivalent per year, but also the process recovers about 20,000 tonnes of metals, and minerals that are used in construction. The plant in Singapore will achieve a zero waste to landfills, by co-processing the residual wastes from recycling facilities with wastewater treatment residues in a WtE plant. The development will save about 1 million tonnes of CO</w:t>
      </w:r>
      <w:r w:rsidRPr="00755DE3">
        <w:rPr>
          <w:vertAlign w:val="subscript"/>
        </w:rPr>
        <w:t>2</w:t>
      </w:r>
      <w:r w:rsidRPr="00755DE3">
        <w:t xml:space="preserve"> equivalent per year, and about 100,000m</w:t>
      </w:r>
      <w:r w:rsidRPr="00755DE3">
        <w:rPr>
          <w:vertAlign w:val="superscript"/>
        </w:rPr>
        <w:t>2</w:t>
      </w:r>
      <w:r w:rsidRPr="00755DE3">
        <w:t xml:space="preserve"> of land per year, and additionally, it will recover about 30,000 tonnes of metals and minerals from the bottom ash residues.</w:t>
      </w:r>
    </w:p>
    <w:p w14:paraId="67887B0C" w14:textId="77777777" w:rsidR="00005D3D" w:rsidRPr="00755DE3" w:rsidRDefault="00005D3D" w:rsidP="00005D3D">
      <w:pPr>
        <w:pStyle w:val="SingleTxtG"/>
      </w:pPr>
      <w:r w:rsidRPr="00755DE3">
        <w:t>One step in the right direction has been taken by the project in Surrey, British Columbia, Canada, which at the collection stage has undertaken advanced source separation of organic materials,</w:t>
      </w:r>
      <w:r w:rsidRPr="00755DE3">
        <w:rPr>
          <w:rStyle w:val="FootnoteReference"/>
        </w:rPr>
        <w:footnoteReference w:id="27"/>
      </w:r>
      <w:r w:rsidRPr="00755DE3">
        <w:t xml:space="preserve"> e.g. food waste and then at the processing stage has built anaerobic digestion plants</w:t>
      </w:r>
      <w:r w:rsidRPr="00755DE3">
        <w:rPr>
          <w:rStyle w:val="FootnoteReference"/>
        </w:rPr>
        <w:footnoteReference w:id="28"/>
      </w:r>
      <w:r w:rsidRPr="00755DE3">
        <w:t xml:space="preserve"> (recovering bioenergy or biofuels), as a first step to divert materials from landfills. But, by contrast, by clustering different processes together in an integrated fashion, several projects elsewhere had a much more significant impact than the aforementioned project in Canada. Integrated sustainable waste management facilities consist of recycling centres to recover recyclables from dry materials, e.g. metals, paper, plastics, etc., anaerobic digestion plants to recover compostable materials, and energy from the organic fraction, and WtE plants to recover energy from the residues of these operations that in many cases are mixed with other residues, e.g. sludge. Good examples of this type of integrated approach are found in Barcelona, Glasgow, and Singapore. </w:t>
      </w:r>
    </w:p>
    <w:p w14:paraId="79E56DFF" w14:textId="6378771B" w:rsidR="00005D3D" w:rsidRPr="00755DE3" w:rsidRDefault="00005D3D" w:rsidP="00005D3D">
      <w:pPr>
        <w:pStyle w:val="SingleTxtG"/>
      </w:pPr>
      <w:r w:rsidRPr="00755DE3">
        <w:t xml:space="preserve">These cases demonstrate excellence in circularity, by </w:t>
      </w:r>
      <w:r w:rsidR="00896B06">
        <w:t xml:space="preserve">reducing, or even </w:t>
      </w:r>
      <w:r w:rsidRPr="00755DE3">
        <w:t>eliminating the use of landfills, as well as by maximising the resource and energy efficiency of the waste management systems. These developments put emphasis on industrial symbiosis, in which several industrial entities develop mutually beneficial relationships.</w:t>
      </w:r>
      <w:r w:rsidRPr="00755DE3">
        <w:rPr>
          <w:rStyle w:val="FootnoteReference"/>
        </w:rPr>
        <w:footnoteReference w:id="29"/>
      </w:r>
      <w:r w:rsidRPr="00755DE3">
        <w:t xml:space="preserve"> Such systems increase resilience and economic gains, while reducing the environmental impact and costs.</w:t>
      </w:r>
    </w:p>
    <w:p w14:paraId="4772AF12" w14:textId="20D2BD8A" w:rsidR="00232159" w:rsidRPr="00755DE3" w:rsidRDefault="00232159" w:rsidP="001E49E6">
      <w:pPr>
        <w:pStyle w:val="H23G"/>
        <w:numPr>
          <w:ilvl w:val="0"/>
          <w:numId w:val="25"/>
        </w:numPr>
        <w:ind w:hanging="81"/>
        <w:outlineLvl w:val="9"/>
      </w:pPr>
      <w:bookmarkStart w:id="10" w:name="_Hlk50499809"/>
      <w:r w:rsidRPr="00755DE3">
        <w:t>Replicability</w:t>
      </w:r>
      <w:bookmarkEnd w:id="10"/>
      <w:r w:rsidRPr="00755DE3">
        <w:t xml:space="preserve"> </w:t>
      </w:r>
    </w:p>
    <w:p w14:paraId="15B3296C" w14:textId="4B4147D8" w:rsidR="00232159" w:rsidRPr="00755DE3" w:rsidRDefault="00896B06" w:rsidP="00CC7582">
      <w:pPr>
        <w:pStyle w:val="SingleTxtG"/>
        <w:numPr>
          <w:ilvl w:val="0"/>
          <w:numId w:val="13"/>
        </w:numPr>
      </w:pPr>
      <w:r>
        <w:t xml:space="preserve">Replicability refers to the </w:t>
      </w:r>
      <w:r w:rsidR="0019378A" w:rsidRPr="00755DE3">
        <w:t>project</w:t>
      </w:r>
      <w:r>
        <w:t>’</w:t>
      </w:r>
      <w:r w:rsidR="0019378A" w:rsidRPr="00755DE3">
        <w:t>s emphasis on the replicability and scalability of the technologies</w:t>
      </w:r>
      <w:r w:rsidR="00CB5BCE" w:rsidRPr="00755DE3">
        <w:t xml:space="preserve"> and programmes</w:t>
      </w:r>
      <w:r w:rsidR="0019378A" w:rsidRPr="00755DE3">
        <w:t xml:space="preserve">, so as these can </w:t>
      </w:r>
      <w:r w:rsidR="00181C8C" w:rsidRPr="00755DE3">
        <w:t xml:space="preserve">be </w:t>
      </w:r>
      <w:r w:rsidR="0019378A" w:rsidRPr="00755DE3">
        <w:t>developed elsewhere.</w:t>
      </w:r>
      <w:r w:rsidR="00181C8C" w:rsidRPr="00755DE3">
        <w:t xml:space="preserve"> For this, the </w:t>
      </w:r>
      <w:r w:rsidR="00172DE9" w:rsidRPr="00755DE3">
        <w:t>g</w:t>
      </w:r>
      <w:r w:rsidR="00181C8C" w:rsidRPr="00755DE3">
        <w:t>overnmental, industrial, and communal capacities should be enhanced, by providing training opportunities for the local communities, and cultivating specific skills of the local stakeholders.</w:t>
      </w:r>
    </w:p>
    <w:p w14:paraId="6F7F7144" w14:textId="014909B1" w:rsidR="0000108F" w:rsidRPr="00755DE3" w:rsidRDefault="00896B06" w:rsidP="00595909">
      <w:pPr>
        <w:pStyle w:val="SingleTxtG"/>
      </w:pPr>
      <w:bookmarkStart w:id="11" w:name="_Hlk50500594"/>
      <w:r>
        <w:rPr>
          <w:b/>
          <w:bCs/>
          <w:u w:val="single"/>
        </w:rPr>
        <w:lastRenderedPageBreak/>
        <w:t>Challenge</w:t>
      </w:r>
      <w:r w:rsidR="00232159" w:rsidRPr="00755DE3">
        <w:rPr>
          <w:b/>
          <w:bCs/>
        </w:rPr>
        <w:t xml:space="preserve">: </w:t>
      </w:r>
      <w:r w:rsidR="007D7C64" w:rsidRPr="00755DE3">
        <w:rPr>
          <w:b/>
          <w:bCs/>
        </w:rPr>
        <w:t xml:space="preserve">Making the </w:t>
      </w:r>
      <w:r>
        <w:rPr>
          <w:b/>
          <w:bCs/>
        </w:rPr>
        <w:t xml:space="preserve">WtE </w:t>
      </w:r>
      <w:r w:rsidR="007D7C64" w:rsidRPr="00755DE3">
        <w:rPr>
          <w:b/>
          <w:bCs/>
        </w:rPr>
        <w:t xml:space="preserve">model replicable and </w:t>
      </w:r>
      <w:r>
        <w:rPr>
          <w:b/>
          <w:bCs/>
        </w:rPr>
        <w:t>its</w:t>
      </w:r>
      <w:r w:rsidR="008D1F8E">
        <w:rPr>
          <w:b/>
          <w:bCs/>
        </w:rPr>
        <w:t xml:space="preserve"> </w:t>
      </w:r>
      <w:r w:rsidR="007D7C64" w:rsidRPr="00755DE3">
        <w:rPr>
          <w:b/>
          <w:bCs/>
        </w:rPr>
        <w:t xml:space="preserve">use more prevalent will require extensive </w:t>
      </w:r>
      <w:r w:rsidR="00FE6EA4" w:rsidRPr="00755DE3">
        <w:rPr>
          <w:b/>
          <w:bCs/>
        </w:rPr>
        <w:t>skill</w:t>
      </w:r>
      <w:r w:rsidR="009F1892" w:rsidRPr="00755DE3">
        <w:rPr>
          <w:b/>
          <w:bCs/>
        </w:rPr>
        <w:t>s</w:t>
      </w:r>
      <w:r w:rsidR="00FE6EA4" w:rsidRPr="00755DE3">
        <w:rPr>
          <w:b/>
          <w:bCs/>
        </w:rPr>
        <w:t xml:space="preserve"> transfer and the </w:t>
      </w:r>
      <w:r w:rsidR="007D7C64" w:rsidRPr="00755DE3">
        <w:rPr>
          <w:b/>
          <w:bCs/>
        </w:rPr>
        <w:t>training of local staff in sophisticated technologies. This can be expensive.</w:t>
      </w:r>
      <w:r w:rsidR="009F1892" w:rsidRPr="00755DE3">
        <w:rPr>
          <w:b/>
          <w:bCs/>
        </w:rPr>
        <w:t xml:space="preserve"> </w:t>
      </w:r>
      <w:r w:rsidR="001C12B6" w:rsidRPr="00755DE3">
        <w:rPr>
          <w:b/>
          <w:bCs/>
        </w:rPr>
        <w:t>WtE</w:t>
      </w:r>
      <w:r w:rsidR="0000108F" w:rsidRPr="00755DE3">
        <w:rPr>
          <w:b/>
          <w:bCs/>
        </w:rPr>
        <w:t xml:space="preserve"> </w:t>
      </w:r>
      <w:r w:rsidR="00232159" w:rsidRPr="00755DE3">
        <w:rPr>
          <w:b/>
          <w:bCs/>
        </w:rPr>
        <w:t>Project</w:t>
      </w:r>
      <w:r w:rsidR="0000108F" w:rsidRPr="00755DE3">
        <w:rPr>
          <w:b/>
          <w:bCs/>
        </w:rPr>
        <w:t xml:space="preserve">s </w:t>
      </w:r>
      <w:r w:rsidR="009F1892" w:rsidRPr="00755DE3">
        <w:rPr>
          <w:b/>
          <w:bCs/>
        </w:rPr>
        <w:t xml:space="preserve">tend not to </w:t>
      </w:r>
      <w:r w:rsidR="00232159" w:rsidRPr="00755DE3">
        <w:rPr>
          <w:b/>
          <w:bCs/>
        </w:rPr>
        <w:t>train</w:t>
      </w:r>
      <w:r w:rsidR="009F1892" w:rsidRPr="00755DE3">
        <w:rPr>
          <w:b/>
          <w:bCs/>
        </w:rPr>
        <w:t xml:space="preserve"> local people </w:t>
      </w:r>
      <w:r w:rsidR="003201C8" w:rsidRPr="00755DE3">
        <w:rPr>
          <w:b/>
          <w:bCs/>
        </w:rPr>
        <w:t xml:space="preserve">that can embed the skills necessary to develop </w:t>
      </w:r>
      <w:r w:rsidR="009F1892" w:rsidRPr="00755DE3">
        <w:rPr>
          <w:b/>
          <w:bCs/>
        </w:rPr>
        <w:t xml:space="preserve">local </w:t>
      </w:r>
      <w:r w:rsidR="003201C8" w:rsidRPr="00755DE3">
        <w:rPr>
          <w:b/>
          <w:bCs/>
        </w:rPr>
        <w:t>WtE companies</w:t>
      </w:r>
      <w:r w:rsidR="009F1892" w:rsidRPr="00755DE3">
        <w:rPr>
          <w:b/>
          <w:bCs/>
        </w:rPr>
        <w:t xml:space="preserve"> and </w:t>
      </w:r>
      <w:r w:rsidR="00A84ACB" w:rsidRPr="00755DE3">
        <w:rPr>
          <w:b/>
          <w:bCs/>
        </w:rPr>
        <w:t>start-ups</w:t>
      </w:r>
      <w:r w:rsidR="009F1892" w:rsidRPr="00755DE3">
        <w:t>.</w:t>
      </w:r>
      <w:r w:rsidR="001A6361" w:rsidRPr="00755DE3">
        <w:t xml:space="preserve"> </w:t>
      </w:r>
      <w:bookmarkEnd w:id="11"/>
    </w:p>
    <w:p w14:paraId="793026B0" w14:textId="4CAD928B" w:rsidR="00475498" w:rsidRPr="00755DE3" w:rsidRDefault="00831AF6" w:rsidP="00DE2C02">
      <w:pPr>
        <w:pStyle w:val="SingleTxtG"/>
      </w:pPr>
      <w:r w:rsidRPr="00755DE3">
        <w:t xml:space="preserve">In </w:t>
      </w:r>
      <w:r w:rsidR="00DE2C02" w:rsidRPr="00755DE3">
        <w:t>terms of skills</w:t>
      </w:r>
      <w:r w:rsidR="00B637D1" w:rsidRPr="00755DE3">
        <w:t xml:space="preserve"> transfer</w:t>
      </w:r>
      <w:r w:rsidR="001A6361" w:rsidRPr="00755DE3">
        <w:t>,</w:t>
      </w:r>
      <w:r w:rsidR="00DE2C02" w:rsidRPr="00755DE3">
        <w:t xml:space="preserve"> </w:t>
      </w:r>
      <w:r w:rsidR="005210AE" w:rsidRPr="00755DE3">
        <w:t>WtE</w:t>
      </w:r>
      <w:r w:rsidR="00DE2C02" w:rsidRPr="00755DE3">
        <w:t xml:space="preserve"> companies </w:t>
      </w:r>
      <w:r w:rsidR="00B637D1" w:rsidRPr="00755DE3">
        <w:t>do frequently prov</w:t>
      </w:r>
      <w:r w:rsidR="007B6CC2" w:rsidRPr="00755DE3">
        <w:t>ide training opportunities to local people</w:t>
      </w:r>
      <w:r w:rsidR="00595909" w:rsidRPr="00755DE3">
        <w:t xml:space="preserve">. For example, in </w:t>
      </w:r>
      <w:proofErr w:type="spellStart"/>
      <w:r w:rsidR="00595909" w:rsidRPr="00755DE3">
        <w:t>Cần</w:t>
      </w:r>
      <w:proofErr w:type="spellEnd"/>
      <w:r w:rsidR="00595909" w:rsidRPr="00755DE3">
        <w:t xml:space="preserve"> </w:t>
      </w:r>
      <w:proofErr w:type="spellStart"/>
      <w:r w:rsidR="00595909" w:rsidRPr="00755DE3">
        <w:t>Thơ</w:t>
      </w:r>
      <w:proofErr w:type="spellEnd"/>
      <w:r w:rsidR="00595909" w:rsidRPr="00755DE3">
        <w:t>, Mekong Delta</w:t>
      </w:r>
      <w:r w:rsidR="00CA379B" w:rsidRPr="00755DE3">
        <w:t>,</w:t>
      </w:r>
      <w:r w:rsidR="00595909" w:rsidRPr="00755DE3">
        <w:t xml:space="preserve"> Vietnam, the company responsible for the construction and the operation of </w:t>
      </w:r>
      <w:r w:rsidR="008A758B" w:rsidRPr="00755DE3">
        <w:t>a WtE</w:t>
      </w:r>
      <w:r w:rsidR="00595909" w:rsidRPr="00755DE3">
        <w:t xml:space="preserve"> </w:t>
      </w:r>
      <w:r w:rsidR="00531ED3" w:rsidRPr="00755DE3">
        <w:t>plant provided</w:t>
      </w:r>
      <w:r w:rsidR="00595909" w:rsidRPr="00755DE3">
        <w:t xml:space="preserve"> in depth training to local people</w:t>
      </w:r>
      <w:r w:rsidR="00B637D1" w:rsidRPr="00755DE3">
        <w:t xml:space="preserve">. As a result, employees became </w:t>
      </w:r>
      <w:r w:rsidR="005866C0" w:rsidRPr="00755DE3">
        <w:t>professional</w:t>
      </w:r>
      <w:r w:rsidR="00B637D1" w:rsidRPr="00755DE3">
        <w:t xml:space="preserve"> plant</w:t>
      </w:r>
      <w:r w:rsidR="005866C0" w:rsidRPr="00755DE3">
        <w:t xml:space="preserve"> operators </w:t>
      </w:r>
      <w:r w:rsidR="00B637D1" w:rsidRPr="00755DE3">
        <w:t>of</w:t>
      </w:r>
      <w:r w:rsidR="005866C0" w:rsidRPr="00755DE3">
        <w:t xml:space="preserve"> a very high standard</w:t>
      </w:r>
      <w:r w:rsidR="007B6CC2" w:rsidRPr="00755DE3">
        <w:t xml:space="preserve">. </w:t>
      </w:r>
      <w:r w:rsidR="00DE2C02" w:rsidRPr="00755DE3">
        <w:t xml:space="preserve">On the technology side, </w:t>
      </w:r>
      <w:r w:rsidR="004A7C56" w:rsidRPr="00755DE3">
        <w:t>however,</w:t>
      </w:r>
      <w:r w:rsidR="001528F7" w:rsidRPr="00755DE3">
        <w:t xml:space="preserve"> t</w:t>
      </w:r>
      <w:r w:rsidR="00AD68E0" w:rsidRPr="00755DE3">
        <w:t xml:space="preserve">he </w:t>
      </w:r>
      <w:r w:rsidR="004A7C56" w:rsidRPr="00755DE3">
        <w:t xml:space="preserve">wrong </w:t>
      </w:r>
      <w:r w:rsidR="00AD68E0" w:rsidRPr="00755DE3">
        <w:t xml:space="preserve">selection of </w:t>
      </w:r>
      <w:r w:rsidR="001528F7" w:rsidRPr="00755DE3">
        <w:t>the</w:t>
      </w:r>
      <w:r w:rsidR="00AD68E0" w:rsidRPr="00755DE3">
        <w:t xml:space="preserve"> </w:t>
      </w:r>
      <w:r w:rsidR="005210AE" w:rsidRPr="00755DE3">
        <w:t>WtE</w:t>
      </w:r>
      <w:r w:rsidR="00161047" w:rsidRPr="00755DE3">
        <w:t xml:space="preserve"> </w:t>
      </w:r>
      <w:r w:rsidR="00AD68E0" w:rsidRPr="00755DE3">
        <w:t xml:space="preserve">technology can lead to significant losses for the </w:t>
      </w:r>
      <w:r w:rsidR="001528F7" w:rsidRPr="00755DE3">
        <w:t>community</w:t>
      </w:r>
      <w:r w:rsidR="00B637D1" w:rsidRPr="00755DE3">
        <w:t xml:space="preserve"> as well as </w:t>
      </w:r>
      <w:r w:rsidR="001528F7" w:rsidRPr="00755DE3">
        <w:t xml:space="preserve">the </w:t>
      </w:r>
      <w:r w:rsidR="004538A7" w:rsidRPr="00755DE3">
        <w:t>project sponsors</w:t>
      </w:r>
      <w:r w:rsidR="00531ED3" w:rsidRPr="00755DE3">
        <w:t>. For example,</w:t>
      </w:r>
      <w:r w:rsidR="00AD68E0" w:rsidRPr="00755DE3">
        <w:t xml:space="preserve"> in the case of </w:t>
      </w:r>
      <w:r w:rsidR="008A758B" w:rsidRPr="00755DE3">
        <w:t xml:space="preserve">the </w:t>
      </w:r>
      <w:r w:rsidR="00AD68E0" w:rsidRPr="00755DE3">
        <w:t>Tees valley</w:t>
      </w:r>
      <w:r w:rsidR="00B637D1" w:rsidRPr="00755DE3">
        <w:t xml:space="preserve"> project</w:t>
      </w:r>
      <w:r w:rsidR="00AD68E0" w:rsidRPr="00755DE3">
        <w:t xml:space="preserve"> in the </w:t>
      </w:r>
      <w:r w:rsidR="008A758B" w:rsidRPr="00755DE3">
        <w:t>United Kingdom</w:t>
      </w:r>
      <w:r w:rsidR="00531ED3" w:rsidRPr="00755DE3">
        <w:t xml:space="preserve"> where the first plasma gasification plant was to </w:t>
      </w:r>
      <w:r w:rsidR="00520E89" w:rsidRPr="00755DE3">
        <w:t xml:space="preserve">be </w:t>
      </w:r>
      <w:r w:rsidR="00531ED3" w:rsidRPr="00755DE3">
        <w:t>buil</w:t>
      </w:r>
      <w:r w:rsidR="00520E89" w:rsidRPr="00755DE3">
        <w:t>t</w:t>
      </w:r>
      <w:r w:rsidR="00531ED3" w:rsidRPr="00755DE3">
        <w:t xml:space="preserve">, the project resulted in the loss of 700 jobs and reported a loss of about </w:t>
      </w:r>
      <w:r w:rsidR="004F712D" w:rsidRPr="00755DE3">
        <w:t>USD</w:t>
      </w:r>
      <w:r w:rsidR="00502A7B" w:rsidRPr="00755DE3">
        <w:t xml:space="preserve"> </w:t>
      </w:r>
      <w:r w:rsidR="00531ED3" w:rsidRPr="00755DE3">
        <w:t>1 billion</w:t>
      </w:r>
      <w:r w:rsidR="009137E7" w:rsidRPr="00755DE3">
        <w:t xml:space="preserve"> because of the failure of the technology involved</w:t>
      </w:r>
      <w:r w:rsidR="00531ED3" w:rsidRPr="00755DE3">
        <w:t xml:space="preserve">. </w:t>
      </w:r>
    </w:p>
    <w:p w14:paraId="5A117D6A" w14:textId="737BB07D" w:rsidR="00232159" w:rsidRPr="00755DE3" w:rsidRDefault="003940AF" w:rsidP="001E49E6">
      <w:pPr>
        <w:pStyle w:val="H23G"/>
        <w:numPr>
          <w:ilvl w:val="0"/>
          <w:numId w:val="25"/>
        </w:numPr>
        <w:ind w:hanging="81"/>
        <w:outlineLvl w:val="9"/>
      </w:pPr>
      <w:r w:rsidRPr="00755DE3">
        <w:t>Stakeholder engagement</w:t>
      </w:r>
      <w:r w:rsidR="00232159" w:rsidRPr="00755DE3">
        <w:t> </w:t>
      </w:r>
    </w:p>
    <w:p w14:paraId="1E84A157" w14:textId="4F9A53D6" w:rsidR="00232159" w:rsidRPr="00755DE3" w:rsidRDefault="00232159" w:rsidP="00CC7582">
      <w:pPr>
        <w:pStyle w:val="SingleTxtG"/>
        <w:numPr>
          <w:ilvl w:val="0"/>
          <w:numId w:val="13"/>
        </w:numPr>
      </w:pPr>
      <w:r w:rsidRPr="00755DE3">
        <w:t>People-fi</w:t>
      </w:r>
      <w:r w:rsidR="00A70661" w:rsidRPr="00755DE3">
        <w:t xml:space="preserve">rst </w:t>
      </w:r>
      <w:r w:rsidRPr="00755DE3">
        <w:t xml:space="preserve">PPPs encourages the project developers to </w:t>
      </w:r>
      <w:r w:rsidR="006550CB" w:rsidRPr="00755DE3">
        <w:t xml:space="preserve">engage </w:t>
      </w:r>
      <w:r w:rsidRPr="00755DE3">
        <w:t xml:space="preserve">all the </w:t>
      </w:r>
      <w:r w:rsidR="006550CB" w:rsidRPr="00755DE3">
        <w:t>people</w:t>
      </w:r>
      <w:r w:rsidR="0079020F" w:rsidRPr="00755DE3">
        <w:t xml:space="preserve"> and stakeholders</w:t>
      </w:r>
      <w:r w:rsidR="006550CB" w:rsidRPr="00755DE3">
        <w:t xml:space="preserve"> who may be affected by </w:t>
      </w:r>
      <w:r w:rsidRPr="00755DE3">
        <w:t xml:space="preserve">the </w:t>
      </w:r>
      <w:r w:rsidR="006550CB" w:rsidRPr="00755DE3">
        <w:t xml:space="preserve">project. Effective engagement </w:t>
      </w:r>
      <w:r w:rsidR="00AD15F8" w:rsidRPr="00755DE3">
        <w:t xml:space="preserve">requires </w:t>
      </w:r>
      <w:r w:rsidR="00AB3598" w:rsidRPr="00755DE3">
        <w:t>good quality and understandable data</w:t>
      </w:r>
      <w:r w:rsidR="00C060D7" w:rsidRPr="00755DE3">
        <w:t xml:space="preserve"> – provided by the project sponsor</w:t>
      </w:r>
      <w:r w:rsidR="004D3099" w:rsidRPr="00755DE3">
        <w:t>s</w:t>
      </w:r>
      <w:r w:rsidR="00054B0B" w:rsidRPr="00755DE3">
        <w:t xml:space="preserve"> to all stakeholders – b</w:t>
      </w:r>
      <w:r w:rsidR="00AB3598" w:rsidRPr="00755DE3">
        <w:t>y which to evaluate the performance of the plant.</w:t>
      </w:r>
      <w:r w:rsidR="0034712F" w:rsidRPr="00755DE3">
        <w:t xml:space="preserve"> </w:t>
      </w:r>
    </w:p>
    <w:p w14:paraId="29C556CC" w14:textId="6E8F0D09" w:rsidR="00FE6EA4" w:rsidRPr="00755DE3" w:rsidRDefault="00B6538F" w:rsidP="00FE6EA4">
      <w:pPr>
        <w:pStyle w:val="SingleTxtG"/>
        <w:jc w:val="left"/>
        <w:rPr>
          <w:b/>
          <w:bCs/>
        </w:rPr>
      </w:pPr>
      <w:r>
        <w:rPr>
          <w:b/>
          <w:bCs/>
          <w:u w:val="single"/>
        </w:rPr>
        <w:t>Challenge</w:t>
      </w:r>
      <w:r w:rsidR="00232159" w:rsidRPr="00755DE3">
        <w:rPr>
          <w:b/>
          <w:bCs/>
        </w:rPr>
        <w:t>: Project</w:t>
      </w:r>
      <w:r w:rsidR="00A70661" w:rsidRPr="00755DE3">
        <w:rPr>
          <w:b/>
          <w:bCs/>
        </w:rPr>
        <w:t>s do not develop plans to</w:t>
      </w:r>
      <w:r w:rsidR="00E55197" w:rsidRPr="00755DE3">
        <w:rPr>
          <w:b/>
          <w:bCs/>
        </w:rPr>
        <w:t xml:space="preserve"> </w:t>
      </w:r>
      <w:r w:rsidR="00A70661" w:rsidRPr="00755DE3">
        <w:rPr>
          <w:b/>
          <w:bCs/>
        </w:rPr>
        <w:t xml:space="preserve">engage with local communities which are largely hostile to WtE plants being located </w:t>
      </w:r>
      <w:r w:rsidR="009F1892" w:rsidRPr="00755DE3">
        <w:rPr>
          <w:b/>
          <w:bCs/>
        </w:rPr>
        <w:t>near</w:t>
      </w:r>
      <w:r w:rsidR="00A70661" w:rsidRPr="00755DE3">
        <w:rPr>
          <w:b/>
          <w:bCs/>
        </w:rPr>
        <w:t xml:space="preserve"> them.</w:t>
      </w:r>
      <w:r w:rsidR="00FE6EA4" w:rsidRPr="00755DE3">
        <w:rPr>
          <w:b/>
          <w:bCs/>
        </w:rPr>
        <w:t xml:space="preserve"> This negativity has even given birth to the </w:t>
      </w:r>
      <w:r w:rsidR="00EA169C" w:rsidRPr="00755DE3">
        <w:rPr>
          <w:b/>
          <w:bCs/>
        </w:rPr>
        <w:t xml:space="preserve">so-called </w:t>
      </w:r>
      <w:r w:rsidR="00244C51" w:rsidRPr="00755DE3">
        <w:rPr>
          <w:b/>
          <w:bCs/>
        </w:rPr>
        <w:t>“</w:t>
      </w:r>
      <w:r w:rsidR="00FE6EA4" w:rsidRPr="00755DE3">
        <w:rPr>
          <w:b/>
          <w:bCs/>
        </w:rPr>
        <w:t>not in my back yard</w:t>
      </w:r>
      <w:r w:rsidR="00244C51" w:rsidRPr="00755DE3">
        <w:rPr>
          <w:b/>
          <w:bCs/>
        </w:rPr>
        <w:t>”</w:t>
      </w:r>
      <w:r w:rsidR="00C060D7" w:rsidRPr="00755DE3">
        <w:rPr>
          <w:b/>
          <w:bCs/>
        </w:rPr>
        <w:t xml:space="preserve"> </w:t>
      </w:r>
      <w:r w:rsidR="00EA169C" w:rsidRPr="00755DE3">
        <w:rPr>
          <w:b/>
          <w:bCs/>
        </w:rPr>
        <w:t>(</w:t>
      </w:r>
      <w:r w:rsidR="00FE6EA4" w:rsidRPr="00755DE3">
        <w:rPr>
          <w:b/>
          <w:bCs/>
        </w:rPr>
        <w:t>NIMBY</w:t>
      </w:r>
      <w:r w:rsidR="00EA169C" w:rsidRPr="00755DE3">
        <w:rPr>
          <w:b/>
          <w:bCs/>
        </w:rPr>
        <w:t>)</w:t>
      </w:r>
      <w:r w:rsidR="00FE6EA4" w:rsidRPr="00755DE3">
        <w:rPr>
          <w:b/>
          <w:bCs/>
        </w:rPr>
        <w:t xml:space="preserve"> effect. </w:t>
      </w:r>
    </w:p>
    <w:p w14:paraId="371DA947" w14:textId="5F3DC81F" w:rsidR="00B44ECF" w:rsidRPr="00755DE3" w:rsidRDefault="00B44ECF" w:rsidP="00B266EE">
      <w:pPr>
        <w:pStyle w:val="SingleTxtG"/>
      </w:pPr>
      <w:r w:rsidRPr="00755DE3">
        <w:t xml:space="preserve">This challenge is mainly associated with two </w:t>
      </w:r>
      <w:r w:rsidR="009F1892" w:rsidRPr="00755DE3">
        <w:t>aspects</w:t>
      </w:r>
      <w:r w:rsidRPr="00755DE3">
        <w:t xml:space="preserve">: </w:t>
      </w:r>
      <w:r w:rsidR="00EA169C" w:rsidRPr="00755DE3">
        <w:t>d</w:t>
      </w:r>
      <w:r w:rsidRPr="00755DE3">
        <w:t>oes the project engage all the stakeholders</w:t>
      </w:r>
      <w:r w:rsidR="00F70781" w:rsidRPr="00755DE3">
        <w:t>, including vulnerable groups,</w:t>
      </w:r>
      <w:r w:rsidRPr="00755DE3">
        <w:t xml:space="preserve"> in the planning, construction, and operation of the plant? </w:t>
      </w:r>
      <w:r w:rsidR="00EA169C" w:rsidRPr="00755DE3">
        <w:t>And, d</w:t>
      </w:r>
      <w:r w:rsidRPr="00755DE3">
        <w:t xml:space="preserve">oes the project provide high quality and understandable data to the stakeholders to allow zero tolerance to corruption, and transparency of the projects? </w:t>
      </w:r>
    </w:p>
    <w:p w14:paraId="49B04558" w14:textId="0DAB75B4" w:rsidR="004A5451" w:rsidRPr="00755DE3" w:rsidRDefault="005210AE" w:rsidP="00B266EE">
      <w:pPr>
        <w:pStyle w:val="SingleTxtG"/>
        <w:rPr>
          <w:highlight w:val="yellow"/>
        </w:rPr>
      </w:pPr>
      <w:r w:rsidRPr="00755DE3">
        <w:t>WtE</w:t>
      </w:r>
      <w:r w:rsidR="005A12EE" w:rsidRPr="00755DE3">
        <w:t xml:space="preserve"> projects can </w:t>
      </w:r>
      <w:r w:rsidR="001C70CF" w:rsidRPr="00755DE3">
        <w:t>create strong opposition</w:t>
      </w:r>
      <w:r w:rsidR="00CE1F36" w:rsidRPr="00755DE3">
        <w:t xml:space="preserve"> </w:t>
      </w:r>
      <w:r w:rsidR="006B1529" w:rsidRPr="00755DE3">
        <w:t>from local stakeholders</w:t>
      </w:r>
      <w:r w:rsidR="00D5745C" w:rsidRPr="00755DE3">
        <w:t>. T</w:t>
      </w:r>
      <w:r w:rsidR="006B1529" w:rsidRPr="00755DE3">
        <w:t>ypically</w:t>
      </w:r>
      <w:r w:rsidR="00D5745C" w:rsidRPr="00755DE3">
        <w:t>, the latter are</w:t>
      </w:r>
      <w:r w:rsidR="000872DA" w:rsidRPr="00755DE3">
        <w:t xml:space="preserve"> </w:t>
      </w:r>
      <w:r w:rsidR="006B1529" w:rsidRPr="00755DE3">
        <w:t xml:space="preserve">not well informed </w:t>
      </w:r>
      <w:r w:rsidR="002C09F5" w:rsidRPr="00755DE3">
        <w:t xml:space="preserve">about the </w:t>
      </w:r>
      <w:r w:rsidR="00FD2549" w:rsidRPr="00755DE3">
        <w:t>project</w:t>
      </w:r>
      <w:r w:rsidR="00D5745C" w:rsidRPr="00755DE3">
        <w:t xml:space="preserve">. They tend also not to </w:t>
      </w:r>
      <w:r w:rsidR="004A5451" w:rsidRPr="00755DE3">
        <w:t>trust</w:t>
      </w:r>
      <w:r w:rsidR="00D5745C" w:rsidRPr="00755DE3">
        <w:t xml:space="preserve"> </w:t>
      </w:r>
      <w:r w:rsidR="004A5451" w:rsidRPr="00755DE3">
        <w:t xml:space="preserve">the authorities and/or the </w:t>
      </w:r>
      <w:r w:rsidR="002B7704" w:rsidRPr="00755DE3">
        <w:t>project sponsor</w:t>
      </w:r>
      <w:r w:rsidR="004D3099" w:rsidRPr="00755DE3">
        <w:t>s</w:t>
      </w:r>
      <w:r w:rsidR="002B7704" w:rsidRPr="00755DE3">
        <w:t xml:space="preserve"> </w:t>
      </w:r>
      <w:r w:rsidR="004A5451" w:rsidRPr="00755DE3">
        <w:t>responsible for the construction and operation</w:t>
      </w:r>
      <w:r w:rsidR="00D5745C" w:rsidRPr="00755DE3">
        <w:t xml:space="preserve"> of the project</w:t>
      </w:r>
      <w:r w:rsidR="004A5451" w:rsidRPr="00755DE3">
        <w:t>. Strong opposition can</w:t>
      </w:r>
      <w:r w:rsidR="001C70CF" w:rsidRPr="00755DE3">
        <w:t xml:space="preserve"> delay</w:t>
      </w:r>
      <w:r w:rsidR="007B6CC2" w:rsidRPr="00755DE3">
        <w:t xml:space="preserve"> or even cancel</w:t>
      </w:r>
      <w:r w:rsidR="001C70CF" w:rsidRPr="00755DE3">
        <w:t xml:space="preserve"> the construction of the plant</w:t>
      </w:r>
      <w:r w:rsidR="004A5451" w:rsidRPr="00755DE3">
        <w:t xml:space="preserve">. For example, </w:t>
      </w:r>
      <w:r w:rsidR="00865B00" w:rsidRPr="00755DE3">
        <w:t xml:space="preserve">in </w:t>
      </w:r>
      <w:proofErr w:type="spellStart"/>
      <w:r w:rsidR="00026CA0" w:rsidRPr="00755DE3">
        <w:t>Araucania</w:t>
      </w:r>
      <w:proofErr w:type="spellEnd"/>
      <w:r w:rsidR="00026CA0" w:rsidRPr="00755DE3">
        <w:t>, Chile</w:t>
      </w:r>
      <w:r w:rsidR="004A5451" w:rsidRPr="00755DE3">
        <w:t xml:space="preserve">, the stakeholders </w:t>
      </w:r>
      <w:r w:rsidR="00FD2549" w:rsidRPr="00755DE3">
        <w:t>expressed strong opposition to</w:t>
      </w:r>
      <w:r w:rsidR="004A5451" w:rsidRPr="00755DE3">
        <w:t xml:space="preserve"> </w:t>
      </w:r>
      <w:r w:rsidR="00814D86" w:rsidRPr="00755DE3">
        <w:t>a</w:t>
      </w:r>
      <w:r w:rsidR="004A5451" w:rsidRPr="00755DE3">
        <w:t xml:space="preserve"> </w:t>
      </w:r>
      <w:r w:rsidRPr="00755DE3">
        <w:t>WtE</w:t>
      </w:r>
      <w:r w:rsidR="004A5451" w:rsidRPr="00755DE3">
        <w:t xml:space="preserve"> project</w:t>
      </w:r>
      <w:r w:rsidR="00D5745C" w:rsidRPr="00755DE3">
        <w:t>. This was</w:t>
      </w:r>
      <w:r w:rsidR="000872DA" w:rsidRPr="00755DE3">
        <w:t xml:space="preserve"> </w:t>
      </w:r>
      <w:r w:rsidR="00FD2549" w:rsidRPr="00755DE3">
        <w:t xml:space="preserve">partly </w:t>
      </w:r>
      <w:r w:rsidR="004A5451" w:rsidRPr="00755DE3">
        <w:t>because communication</w:t>
      </w:r>
      <w:r w:rsidR="00FD2549" w:rsidRPr="00755DE3">
        <w:t xml:space="preserve"> with the group</w:t>
      </w:r>
      <w:r w:rsidR="004A5451" w:rsidRPr="00755DE3">
        <w:t xml:space="preserve"> was not </w:t>
      </w:r>
      <w:r w:rsidR="00FD2549" w:rsidRPr="00755DE3">
        <w:t xml:space="preserve">very </w:t>
      </w:r>
      <w:r w:rsidR="00D5745C" w:rsidRPr="00755DE3">
        <w:t>good while the</w:t>
      </w:r>
      <w:r w:rsidR="004A5451" w:rsidRPr="00755DE3">
        <w:t xml:space="preserve"> concerns on the livelihood of vulnerable groups were not sufficiently addressed. </w:t>
      </w:r>
      <w:r w:rsidR="000E5FD6" w:rsidRPr="00755DE3">
        <w:t xml:space="preserve">As a result of the strong opposition, the </w:t>
      </w:r>
      <w:r w:rsidRPr="00755DE3">
        <w:t>WtE</w:t>
      </w:r>
      <w:r w:rsidR="000E5FD6" w:rsidRPr="00755DE3">
        <w:t xml:space="preserve"> project was cancelled</w:t>
      </w:r>
      <w:r w:rsidR="00D5745C" w:rsidRPr="00755DE3">
        <w:t xml:space="preserve"> – a lesson for all project sponsors </w:t>
      </w:r>
      <w:r w:rsidR="00D06A54" w:rsidRPr="00755DE3">
        <w:t>in the future</w:t>
      </w:r>
      <w:r w:rsidR="00AC2F7A" w:rsidRPr="00755DE3">
        <w:t xml:space="preserve">. </w:t>
      </w:r>
    </w:p>
    <w:p w14:paraId="2FE687D7" w14:textId="77999E79" w:rsidR="00172BBA" w:rsidRPr="00755DE3" w:rsidRDefault="000C3D82" w:rsidP="00240DCA">
      <w:pPr>
        <w:pStyle w:val="SingleTxtG"/>
      </w:pPr>
      <w:r w:rsidRPr="00755DE3">
        <w:t>In</w:t>
      </w:r>
      <w:r w:rsidR="000872DA" w:rsidRPr="00755DE3">
        <w:t xml:space="preserve"> </w:t>
      </w:r>
      <w:proofErr w:type="spellStart"/>
      <w:r w:rsidRPr="00755DE3">
        <w:t>Trimmis</w:t>
      </w:r>
      <w:proofErr w:type="spellEnd"/>
      <w:r w:rsidRPr="00755DE3">
        <w:t xml:space="preserve">, Switzerland, </w:t>
      </w:r>
      <w:r w:rsidR="00D5745C" w:rsidRPr="00755DE3">
        <w:t xml:space="preserve">by contrast, </w:t>
      </w:r>
      <w:r w:rsidRPr="00755DE3">
        <w:t xml:space="preserve">local groups organised effectively to change </w:t>
      </w:r>
      <w:r w:rsidR="00AD4DA2" w:rsidRPr="00755DE3">
        <w:t xml:space="preserve">the policy of a </w:t>
      </w:r>
      <w:r w:rsidRPr="00755DE3">
        <w:t xml:space="preserve">company </w:t>
      </w:r>
      <w:r w:rsidR="001514E9" w:rsidRPr="00755DE3">
        <w:t>involved in a WtE project</w:t>
      </w:r>
      <w:r w:rsidRPr="00755DE3">
        <w:t xml:space="preserve"> and were given opportunities to have their view</w:t>
      </w:r>
      <w:r w:rsidR="00D5745C" w:rsidRPr="00755DE3">
        <w:t>s</w:t>
      </w:r>
      <w:r w:rsidRPr="00755DE3">
        <w:t xml:space="preserve"> heard. They were fully consulted in drawing up plans, </w:t>
      </w:r>
      <w:r w:rsidR="00240DCA" w:rsidRPr="00755DE3">
        <w:t>in the s</w:t>
      </w:r>
      <w:r w:rsidR="00D5745C" w:rsidRPr="00755DE3">
        <w:t xml:space="preserve">etting up </w:t>
      </w:r>
      <w:r w:rsidR="00240DCA" w:rsidRPr="00755DE3">
        <w:t xml:space="preserve">of the facilities, in the tendering process, etc. </w:t>
      </w:r>
      <w:r w:rsidR="00B31DB6" w:rsidRPr="00755DE3">
        <w:t xml:space="preserve">Also, </w:t>
      </w:r>
      <w:r w:rsidR="00781ED9" w:rsidRPr="00755DE3">
        <w:t>many</w:t>
      </w:r>
      <w:r w:rsidR="00B31DB6" w:rsidRPr="00755DE3">
        <w:t xml:space="preserve"> projects </w:t>
      </w:r>
      <w:r w:rsidR="00D5745C" w:rsidRPr="00755DE3">
        <w:t xml:space="preserve">gave assurances </w:t>
      </w:r>
      <w:r w:rsidR="00B31DB6" w:rsidRPr="00755DE3">
        <w:t xml:space="preserve">to the citizens </w:t>
      </w:r>
      <w:r w:rsidR="00843558" w:rsidRPr="00755DE3">
        <w:t>about</w:t>
      </w:r>
      <w:r w:rsidR="00B31DB6" w:rsidRPr="00755DE3">
        <w:t xml:space="preserve"> the project, e.g. monitoring of emissions</w:t>
      </w:r>
      <w:r w:rsidR="00843558" w:rsidRPr="00755DE3">
        <w:t xml:space="preserve"> etc. T</w:t>
      </w:r>
      <w:r w:rsidR="00B31DB6" w:rsidRPr="00755DE3">
        <w:t>he local community</w:t>
      </w:r>
      <w:r w:rsidR="001E2BFD" w:rsidRPr="00755DE3">
        <w:t xml:space="preserve"> and economy</w:t>
      </w:r>
      <w:r w:rsidR="00843558" w:rsidRPr="00755DE3">
        <w:t xml:space="preserve"> received as well indirect benefits</w:t>
      </w:r>
      <w:r w:rsidR="001514E9" w:rsidRPr="00755DE3">
        <w:t>,</w:t>
      </w:r>
      <w:r w:rsidR="00843558" w:rsidRPr="00755DE3">
        <w:t xml:space="preserve"> notably </w:t>
      </w:r>
      <w:r w:rsidR="00B31DB6" w:rsidRPr="00755DE3">
        <w:t xml:space="preserve">to the </w:t>
      </w:r>
      <w:r w:rsidR="00843558" w:rsidRPr="00755DE3">
        <w:t xml:space="preserve">local </w:t>
      </w:r>
      <w:r w:rsidR="00B31DB6" w:rsidRPr="00755DE3">
        <w:t>infrastructure</w:t>
      </w:r>
      <w:r w:rsidR="004A5451" w:rsidRPr="00755DE3">
        <w:t xml:space="preserve">. </w:t>
      </w:r>
      <w:r w:rsidR="00843558" w:rsidRPr="00755DE3">
        <w:t xml:space="preserve">This contribution to the local community also took place </w:t>
      </w:r>
      <w:r w:rsidR="00240DCA" w:rsidRPr="00755DE3">
        <w:t>in Nanning,</w:t>
      </w:r>
      <w:r w:rsidR="000E5FD6" w:rsidRPr="00755DE3">
        <w:t xml:space="preserve"> China,</w:t>
      </w:r>
      <w:r w:rsidR="00240DCA" w:rsidRPr="00755DE3">
        <w:t xml:space="preserve"> </w:t>
      </w:r>
      <w:r w:rsidR="00843558" w:rsidRPr="00755DE3">
        <w:t xml:space="preserve">where </w:t>
      </w:r>
      <w:r w:rsidR="00240DCA" w:rsidRPr="00755DE3">
        <w:t xml:space="preserve">the </w:t>
      </w:r>
      <w:r w:rsidR="002B7704" w:rsidRPr="00755DE3">
        <w:t>project sponsor</w:t>
      </w:r>
      <w:r w:rsidR="004D3099" w:rsidRPr="00755DE3">
        <w:t>s</w:t>
      </w:r>
      <w:r w:rsidR="002B7704" w:rsidRPr="00755DE3">
        <w:t xml:space="preserve"> </w:t>
      </w:r>
      <w:r w:rsidR="00240DCA" w:rsidRPr="00755DE3">
        <w:t>buil</w:t>
      </w:r>
      <w:r w:rsidR="006B5D12" w:rsidRPr="00755DE3">
        <w:t>t</w:t>
      </w:r>
      <w:r w:rsidR="00240DCA" w:rsidRPr="00755DE3">
        <w:t xml:space="preserve"> new roads, as part of their </w:t>
      </w:r>
      <w:r w:rsidR="005210AE" w:rsidRPr="00755DE3">
        <w:t>WtE</w:t>
      </w:r>
      <w:r w:rsidR="00240DCA" w:rsidRPr="00755DE3">
        <w:t xml:space="preserve"> investment, and the municipalities enforced strict emissions standards for </w:t>
      </w:r>
      <w:r w:rsidR="005210AE" w:rsidRPr="00755DE3">
        <w:t>WtE</w:t>
      </w:r>
      <w:r w:rsidR="00240DCA" w:rsidRPr="00755DE3">
        <w:t xml:space="preserve"> operations, that were continuously monitored, and shared with the public. </w:t>
      </w:r>
    </w:p>
    <w:p w14:paraId="75212044" w14:textId="32BF4200" w:rsidR="00D837D9" w:rsidRPr="001B5F44" w:rsidRDefault="00D837D9" w:rsidP="001B5F44">
      <w:pPr>
        <w:pStyle w:val="H23G"/>
        <w:numPr>
          <w:ilvl w:val="0"/>
          <w:numId w:val="0"/>
        </w:numPr>
        <w:tabs>
          <w:tab w:val="clear" w:pos="1276"/>
        </w:tabs>
        <w:ind w:left="1134"/>
        <w:outlineLvl w:val="9"/>
      </w:pPr>
      <w:r w:rsidRPr="001B5F44">
        <w:t xml:space="preserve">Overall conclusion </w:t>
      </w:r>
    </w:p>
    <w:p w14:paraId="0469B1F4" w14:textId="24FFCF47" w:rsidR="00D837D9" w:rsidRPr="00755DE3" w:rsidRDefault="00D837D9" w:rsidP="00E149DA">
      <w:pPr>
        <w:pStyle w:val="SingleTxtG"/>
      </w:pPr>
      <w:r w:rsidRPr="00755DE3">
        <w:t xml:space="preserve">The </w:t>
      </w:r>
      <w:r w:rsidR="001528F7" w:rsidRPr="00755DE3">
        <w:t>above-mentioned</w:t>
      </w:r>
      <w:r w:rsidR="007068AF" w:rsidRPr="00755DE3">
        <w:t xml:space="preserve"> discussion on proje</w:t>
      </w:r>
      <w:r w:rsidR="00E41CE1" w:rsidRPr="00755DE3">
        <w:t>ct</w:t>
      </w:r>
      <w:r w:rsidR="007068AF" w:rsidRPr="00755DE3">
        <w:t>s demonstrate</w:t>
      </w:r>
      <w:r w:rsidR="00B6538F">
        <w:t>s</w:t>
      </w:r>
      <w:r w:rsidR="007068AF" w:rsidRPr="00755DE3">
        <w:t xml:space="preserve"> </w:t>
      </w:r>
      <w:r w:rsidRPr="00755DE3">
        <w:t xml:space="preserve">that </w:t>
      </w:r>
      <w:r w:rsidR="007068AF" w:rsidRPr="00755DE3">
        <w:t xml:space="preserve">in spite of the </w:t>
      </w:r>
      <w:r w:rsidR="003A3828" w:rsidRPr="00755DE3">
        <w:t>problem</w:t>
      </w:r>
      <w:r w:rsidR="00485EE2" w:rsidRPr="00755DE3">
        <w:t xml:space="preserve">s, </w:t>
      </w:r>
      <w:r w:rsidR="005B213D" w:rsidRPr="00755DE3">
        <w:t>People-first</w:t>
      </w:r>
      <w:r w:rsidR="003A3828" w:rsidRPr="00755DE3">
        <w:t xml:space="preserve"> projects</w:t>
      </w:r>
      <w:r w:rsidRPr="00755DE3">
        <w:t xml:space="preserve"> can </w:t>
      </w:r>
      <w:r w:rsidR="003A3828" w:rsidRPr="00755DE3">
        <w:t xml:space="preserve">achieve </w:t>
      </w:r>
      <w:r w:rsidR="00843558" w:rsidRPr="00755DE3">
        <w:t>significant</w:t>
      </w:r>
      <w:r w:rsidRPr="00755DE3">
        <w:t xml:space="preserve"> soc</w:t>
      </w:r>
      <w:r w:rsidR="00A5321A" w:rsidRPr="00755DE3">
        <w:t xml:space="preserve">ial </w:t>
      </w:r>
      <w:r w:rsidRPr="00755DE3">
        <w:t>and environmental obje</w:t>
      </w:r>
      <w:r w:rsidR="00A5321A" w:rsidRPr="00755DE3">
        <w:t>cti</w:t>
      </w:r>
      <w:r w:rsidRPr="00755DE3">
        <w:t>ves</w:t>
      </w:r>
      <w:r w:rsidR="007068AF" w:rsidRPr="00755DE3">
        <w:t xml:space="preserve"> and become </w:t>
      </w:r>
      <w:r w:rsidR="005B213D" w:rsidRPr="00755DE3">
        <w:t>People-first</w:t>
      </w:r>
      <w:r w:rsidR="007068AF" w:rsidRPr="00755DE3">
        <w:t xml:space="preserve">: it </w:t>
      </w:r>
      <w:r w:rsidR="006F05E2" w:rsidRPr="00755DE3">
        <w:t>is not</w:t>
      </w:r>
      <w:r w:rsidR="00A5321A" w:rsidRPr="00755DE3">
        <w:t>,</w:t>
      </w:r>
      <w:r w:rsidR="006F05E2" w:rsidRPr="00755DE3">
        <w:t xml:space="preserve"> by any means</w:t>
      </w:r>
      <w:r w:rsidR="00A5321A" w:rsidRPr="00755DE3">
        <w:t>,</w:t>
      </w:r>
      <w:r w:rsidR="006F05E2" w:rsidRPr="00755DE3">
        <w:t xml:space="preserve"> a lost cause</w:t>
      </w:r>
      <w:r w:rsidR="007068AF" w:rsidRPr="00755DE3">
        <w:t xml:space="preserve">. </w:t>
      </w:r>
      <w:r w:rsidR="003A3828" w:rsidRPr="00755DE3">
        <w:t>Indeed,</w:t>
      </w:r>
      <w:r w:rsidR="00A5321A" w:rsidRPr="00755DE3">
        <w:t xml:space="preserve"> </w:t>
      </w:r>
      <w:r w:rsidR="007C5806" w:rsidRPr="00755DE3">
        <w:t>some projects</w:t>
      </w:r>
      <w:r w:rsidR="00172BBA" w:rsidRPr="00755DE3">
        <w:t xml:space="preserve"> </w:t>
      </w:r>
      <w:r w:rsidR="007C5806" w:rsidRPr="00755DE3">
        <w:t>as seen above</w:t>
      </w:r>
      <w:r w:rsidR="00A5321A" w:rsidRPr="00755DE3">
        <w:t xml:space="preserve">, </w:t>
      </w:r>
      <w:r w:rsidR="007C5806" w:rsidRPr="00755DE3">
        <w:t xml:space="preserve">are presented </w:t>
      </w:r>
      <w:r w:rsidR="007068AF" w:rsidRPr="00755DE3">
        <w:t xml:space="preserve">today </w:t>
      </w:r>
      <w:r w:rsidR="007C5806" w:rsidRPr="00755DE3">
        <w:t xml:space="preserve">as being consistent with </w:t>
      </w:r>
      <w:r w:rsidR="005931AB" w:rsidRPr="00755DE3">
        <w:t>c</w:t>
      </w:r>
      <w:r w:rsidR="007C5806" w:rsidRPr="00755DE3">
        <w:t>ircu</w:t>
      </w:r>
      <w:r w:rsidR="007068AF" w:rsidRPr="00755DE3">
        <w:t>lar</w:t>
      </w:r>
      <w:r w:rsidR="007C5806" w:rsidRPr="00755DE3">
        <w:t xml:space="preserve"> economy criteria. </w:t>
      </w:r>
      <w:r w:rsidR="001528F7" w:rsidRPr="00755DE3">
        <w:t>However,</w:t>
      </w:r>
      <w:r w:rsidR="006F05E2" w:rsidRPr="00755DE3">
        <w:t xml:space="preserve"> </w:t>
      </w:r>
      <w:r w:rsidR="007C5806" w:rsidRPr="00755DE3">
        <w:t>to scale up th</w:t>
      </w:r>
      <w:r w:rsidR="00A5321A" w:rsidRPr="00755DE3">
        <w:t>ese</w:t>
      </w:r>
      <w:r w:rsidR="00172BBA" w:rsidRPr="00755DE3">
        <w:t xml:space="preserve"> examples of a new more </w:t>
      </w:r>
      <w:r w:rsidR="00D77914" w:rsidRPr="00755DE3">
        <w:t>circular economy</w:t>
      </w:r>
      <w:r w:rsidR="00172BBA" w:rsidRPr="00755DE3">
        <w:t xml:space="preserve"> consistent approach, Governments</w:t>
      </w:r>
      <w:r w:rsidR="00A5321A" w:rsidRPr="00755DE3">
        <w:t xml:space="preserve"> and other stakeholders </w:t>
      </w:r>
      <w:r w:rsidR="003A3828" w:rsidRPr="00755DE3">
        <w:t>need to</w:t>
      </w:r>
      <w:r w:rsidR="006F05E2" w:rsidRPr="00755DE3">
        <w:t xml:space="preserve"> play a key role</w:t>
      </w:r>
      <w:r w:rsidR="00172BBA" w:rsidRPr="00755DE3">
        <w:t xml:space="preserve"> in moving the </w:t>
      </w:r>
      <w:r w:rsidR="00A5321A" w:rsidRPr="00755DE3">
        <w:t xml:space="preserve">WtE </w:t>
      </w:r>
      <w:r w:rsidR="003A3828" w:rsidRPr="00755DE3">
        <w:t>industry</w:t>
      </w:r>
      <w:r w:rsidR="00172BBA" w:rsidRPr="00755DE3">
        <w:t xml:space="preserve"> onto another level</w:t>
      </w:r>
      <w:r w:rsidR="003A3828" w:rsidRPr="00755DE3">
        <w:t>.</w:t>
      </w:r>
      <w:r w:rsidR="001A6361" w:rsidRPr="00755DE3">
        <w:t xml:space="preserve"> </w:t>
      </w:r>
    </w:p>
    <w:p w14:paraId="786C81F4" w14:textId="5EA773A6" w:rsidR="00880AC6" w:rsidRPr="00755DE3" w:rsidRDefault="00B47749" w:rsidP="008F5446">
      <w:pPr>
        <w:pStyle w:val="HChG"/>
        <w:numPr>
          <w:ilvl w:val="0"/>
          <w:numId w:val="12"/>
        </w:numPr>
        <w:tabs>
          <w:tab w:val="clear" w:pos="1134"/>
        </w:tabs>
        <w:ind w:left="1125" w:hanging="558"/>
      </w:pPr>
      <w:bookmarkStart w:id="12" w:name="_Toc54086132"/>
      <w:r>
        <w:lastRenderedPageBreak/>
        <w:t>Embracing</w:t>
      </w:r>
      <w:r w:rsidR="00271531" w:rsidRPr="00755DE3">
        <w:t xml:space="preserve"> the </w:t>
      </w:r>
      <w:r w:rsidR="00C562EB" w:rsidRPr="00755DE3">
        <w:t>C</w:t>
      </w:r>
      <w:r w:rsidR="00271531" w:rsidRPr="00755DE3">
        <w:t xml:space="preserve">ircular </w:t>
      </w:r>
      <w:r w:rsidR="00C562EB" w:rsidRPr="00755DE3">
        <w:t>E</w:t>
      </w:r>
      <w:r w:rsidR="00271531" w:rsidRPr="00755DE3">
        <w:t>conomy</w:t>
      </w:r>
      <w:r w:rsidR="00D51526" w:rsidRPr="00755DE3">
        <w:t>:</w:t>
      </w:r>
      <w:r w:rsidR="00271531" w:rsidRPr="00755DE3">
        <w:t xml:space="preserve"> </w:t>
      </w:r>
      <w:r w:rsidR="00012256">
        <w:t>Seven b</w:t>
      </w:r>
      <w:r w:rsidR="009254B4" w:rsidRPr="009254B4">
        <w:t xml:space="preserve">est practice options </w:t>
      </w:r>
      <w:r w:rsidR="00271531" w:rsidRPr="00755DE3">
        <w:t xml:space="preserve">for </w:t>
      </w:r>
      <w:r w:rsidR="00B03525" w:rsidRPr="00755DE3">
        <w:t>a</w:t>
      </w:r>
      <w:r w:rsidR="00271531" w:rsidRPr="00755DE3">
        <w:t xml:space="preserve">dapting and </w:t>
      </w:r>
      <w:r w:rsidR="00B03525" w:rsidRPr="00755DE3">
        <w:t>t</w:t>
      </w:r>
      <w:r w:rsidR="00D51526" w:rsidRPr="00755DE3">
        <w:t xml:space="preserve">ransforming </w:t>
      </w:r>
      <w:r w:rsidR="00B03525" w:rsidRPr="00755DE3">
        <w:t>p</w:t>
      </w:r>
      <w:r w:rsidR="00D51526" w:rsidRPr="00755DE3">
        <w:t>rojects</w:t>
      </w:r>
      <w:r w:rsidR="00271531" w:rsidRPr="00755DE3">
        <w:t xml:space="preserve"> into People</w:t>
      </w:r>
      <w:r w:rsidR="007D0F2C" w:rsidRPr="00755DE3">
        <w:t>-</w:t>
      </w:r>
      <w:r w:rsidR="00271531" w:rsidRPr="00755DE3">
        <w:t>first W</w:t>
      </w:r>
      <w:r w:rsidR="00851F37">
        <w:t>aste-to-Energy</w:t>
      </w:r>
      <w:r w:rsidR="00271531" w:rsidRPr="00755DE3">
        <w:t xml:space="preserve"> P</w:t>
      </w:r>
      <w:r w:rsidR="00AB25B7">
        <w:t xml:space="preserve">ublic-Private </w:t>
      </w:r>
      <w:r w:rsidR="00851F37">
        <w:t>Partnerships</w:t>
      </w:r>
      <w:bookmarkEnd w:id="12"/>
    </w:p>
    <w:p w14:paraId="60597244" w14:textId="65AA3FD7" w:rsidR="007D0F2C" w:rsidRPr="00755DE3" w:rsidRDefault="007D0F2C" w:rsidP="007D0F2C">
      <w:pPr>
        <w:pStyle w:val="SingleTxtG"/>
        <w:tabs>
          <w:tab w:val="left" w:pos="1504"/>
        </w:tabs>
      </w:pPr>
      <w:r w:rsidRPr="00755DE3">
        <w:t>As stated in Part 2 above,</w:t>
      </w:r>
      <w:r w:rsidR="0034712F" w:rsidRPr="00755DE3">
        <w:t xml:space="preserve"> </w:t>
      </w:r>
      <w:r w:rsidR="00C128F6" w:rsidRPr="00755DE3">
        <w:t>People-first</w:t>
      </w:r>
      <w:r w:rsidRPr="00755DE3">
        <w:t xml:space="preserve"> PPPs have the potential for overcoming key problems and barriers to the </w:t>
      </w:r>
      <w:r w:rsidR="00D77914" w:rsidRPr="00755DE3">
        <w:t>circular economy</w:t>
      </w:r>
      <w:r w:rsidRPr="00755DE3">
        <w:t xml:space="preserve"> and to become </w:t>
      </w:r>
      <w:r w:rsidR="00C128F6" w:rsidRPr="00755DE3">
        <w:t>People-first</w:t>
      </w:r>
      <w:r w:rsidRPr="00755DE3">
        <w:t xml:space="preserve"> PPP</w:t>
      </w:r>
      <w:r w:rsidR="000A7E7E">
        <w:t>s</w:t>
      </w:r>
      <w:r w:rsidRPr="00755DE3">
        <w:t xml:space="preserve"> </w:t>
      </w:r>
      <w:r w:rsidR="00A372F8" w:rsidRPr="00755DE3">
        <w:t>–</w:t>
      </w:r>
      <w:r w:rsidRPr="00755DE3">
        <w:t xml:space="preserve"> a holistic and integrated response to problems affecting our societies economics and planet. This Part sets down </w:t>
      </w:r>
      <w:r w:rsidR="007C5806" w:rsidRPr="00755DE3">
        <w:t xml:space="preserve">tentatively </w:t>
      </w:r>
      <w:r w:rsidR="003C2AF7">
        <w:t>seven</w:t>
      </w:r>
      <w:r w:rsidRPr="00755DE3">
        <w:t xml:space="preserve"> </w:t>
      </w:r>
      <w:r w:rsidR="009254B4" w:rsidRPr="009254B4">
        <w:t>best practice options</w:t>
      </w:r>
      <w:r w:rsidRPr="00755DE3">
        <w:t xml:space="preserve"> for transforming projects into </w:t>
      </w:r>
      <w:r w:rsidR="00D77914" w:rsidRPr="00755DE3">
        <w:t>circular economy</w:t>
      </w:r>
      <w:r w:rsidRPr="00755DE3">
        <w:t xml:space="preserve"> principles. These </w:t>
      </w:r>
      <w:r w:rsidR="009254B4" w:rsidRPr="009254B4">
        <w:t xml:space="preserve">best practice options </w:t>
      </w:r>
      <w:r w:rsidRPr="00755DE3">
        <w:t xml:space="preserve">are levelled at </w:t>
      </w:r>
      <w:r w:rsidR="00172DE9" w:rsidRPr="00755DE3">
        <w:t>G</w:t>
      </w:r>
      <w:r w:rsidRPr="00755DE3">
        <w:t>overnments, private sector and civil society groups</w:t>
      </w:r>
      <w:r w:rsidR="009407CE" w:rsidRPr="00755DE3">
        <w:t>.</w:t>
      </w:r>
      <w:r w:rsidRPr="00755DE3">
        <w:t xml:space="preserve"> </w:t>
      </w:r>
    </w:p>
    <w:p w14:paraId="497462FB" w14:textId="7F6F704D" w:rsidR="00BD6C36" w:rsidRDefault="009254B4" w:rsidP="008F5446">
      <w:pPr>
        <w:pStyle w:val="H1G"/>
        <w:numPr>
          <w:ilvl w:val="0"/>
          <w:numId w:val="9"/>
        </w:numPr>
        <w:ind w:left="1134" w:hanging="567"/>
      </w:pPr>
      <w:bookmarkStart w:id="13" w:name="_Toc54086133"/>
      <w:r>
        <w:t>B</w:t>
      </w:r>
      <w:r w:rsidRPr="009254B4">
        <w:t xml:space="preserve">est practice options </w:t>
      </w:r>
      <w:r w:rsidR="003B5B54" w:rsidRPr="00755DE3">
        <w:t>for adapting and transforming projects into People-first W</w:t>
      </w:r>
      <w:r w:rsidR="00F55C40" w:rsidRPr="00755DE3">
        <w:t>aste-to-Energy</w:t>
      </w:r>
      <w:r w:rsidR="003B5B54" w:rsidRPr="00755DE3">
        <w:t xml:space="preserve"> P</w:t>
      </w:r>
      <w:r w:rsidR="00F55C40" w:rsidRPr="00755DE3">
        <w:t>ublic-Private Partnerships</w:t>
      </w:r>
      <w:bookmarkEnd w:id="13"/>
    </w:p>
    <w:p w14:paraId="62D74F69" w14:textId="78BC9358" w:rsidR="00AE5054" w:rsidRDefault="00AE5054" w:rsidP="00AE5054">
      <w:pPr>
        <w:pStyle w:val="SingleTxtG"/>
        <w:tabs>
          <w:tab w:val="left" w:pos="1504"/>
        </w:tabs>
      </w:pPr>
      <w:r>
        <w:t xml:space="preserve">WtE is evolving as a result of several factors, such as government policy and actions against climate change and supporting circular economy processes, new technological </w:t>
      </w:r>
      <w:r w:rsidR="00F2190A">
        <w:t>developments and</w:t>
      </w:r>
      <w:r>
        <w:t xml:space="preserve"> corporate strategies. Three scenarios can be identified: </w:t>
      </w:r>
    </w:p>
    <w:p w14:paraId="35CA896F" w14:textId="22E05CED" w:rsidR="00AE5054" w:rsidRDefault="00CD6E54" w:rsidP="00AE5054">
      <w:pPr>
        <w:pStyle w:val="SingleTxtG"/>
        <w:numPr>
          <w:ilvl w:val="0"/>
          <w:numId w:val="6"/>
        </w:numPr>
      </w:pPr>
      <w:r>
        <w:t>A scenario where t</w:t>
      </w:r>
      <w:r w:rsidR="00AE5054">
        <w:t>he continuation of WtE as above land fill in the waste hierarchy;</w:t>
      </w:r>
    </w:p>
    <w:p w14:paraId="4CCC576A" w14:textId="3AB513E8" w:rsidR="00AE5054" w:rsidRDefault="00AE5054" w:rsidP="00AE5054">
      <w:pPr>
        <w:pStyle w:val="SingleTxtG"/>
        <w:numPr>
          <w:ilvl w:val="0"/>
          <w:numId w:val="6"/>
        </w:numPr>
      </w:pPr>
      <w:r>
        <w:t>A scenario where a WtE facility is placed at the same level as landfills in the waste hierarchy; or</w:t>
      </w:r>
    </w:p>
    <w:p w14:paraId="4CE0E330" w14:textId="1348C012" w:rsidR="00AE5054" w:rsidRDefault="00AE5054" w:rsidP="00AE5054">
      <w:pPr>
        <w:pStyle w:val="SingleTxtG"/>
        <w:numPr>
          <w:ilvl w:val="0"/>
          <w:numId w:val="6"/>
        </w:numPr>
      </w:pPr>
      <w:r>
        <w:t>A scenario where WtE is placed above its current status and becomes fully incorporated into circular economy activities.</w:t>
      </w:r>
    </w:p>
    <w:p w14:paraId="71343B39" w14:textId="3285CF84" w:rsidR="00F26691" w:rsidRPr="00F26691" w:rsidRDefault="00AE5054" w:rsidP="00AE5054">
      <w:pPr>
        <w:pStyle w:val="SingleTxtG"/>
        <w:tabs>
          <w:tab w:val="left" w:pos="1504"/>
        </w:tabs>
      </w:pPr>
      <w:r>
        <w:t xml:space="preserve">The following are a list of best practice options </w:t>
      </w:r>
      <w:r w:rsidR="00F2190A">
        <w:t>–</w:t>
      </w:r>
      <w:r>
        <w:t xml:space="preserve"> seven of them. </w:t>
      </w:r>
      <w:r w:rsidR="00B6538F">
        <w:t xml:space="preserve">Governments that </w:t>
      </w:r>
      <w:r>
        <w:t xml:space="preserve">decide to use </w:t>
      </w:r>
      <w:r w:rsidR="00F2190A">
        <w:t>WtE</w:t>
      </w:r>
      <w:r>
        <w:t xml:space="preserve"> as a strategy for waste management in any of these three above mentioned scenarios</w:t>
      </w:r>
      <w:r w:rsidR="00F2190A">
        <w:t xml:space="preserve">, </w:t>
      </w:r>
      <w:r>
        <w:t>can select any of these options and ideally adopt all seven.</w:t>
      </w:r>
    </w:p>
    <w:p w14:paraId="628194C2" w14:textId="76F29919" w:rsidR="007D0F2C" w:rsidRPr="00755DE3" w:rsidRDefault="007D0F2C" w:rsidP="001E49E6">
      <w:pPr>
        <w:pStyle w:val="H23G"/>
        <w:numPr>
          <w:ilvl w:val="0"/>
          <w:numId w:val="26"/>
        </w:numPr>
        <w:ind w:hanging="441"/>
        <w:outlineLvl w:val="9"/>
      </w:pPr>
      <w:r w:rsidRPr="00755DE3">
        <w:t xml:space="preserve">Vision </w:t>
      </w:r>
    </w:p>
    <w:p w14:paraId="2034D28F" w14:textId="77777777" w:rsidR="007D0F2C" w:rsidRPr="00755DE3" w:rsidRDefault="007D0F2C" w:rsidP="007D0F2C">
      <w:pPr>
        <w:pStyle w:val="SingleTxtG"/>
        <w:tabs>
          <w:tab w:val="left" w:pos="1504"/>
        </w:tabs>
        <w:rPr>
          <w:u w:val="single"/>
        </w:rPr>
      </w:pPr>
      <w:r w:rsidRPr="00755DE3">
        <w:rPr>
          <w:u w:val="single"/>
        </w:rPr>
        <w:t>Challenge</w:t>
      </w:r>
    </w:p>
    <w:p w14:paraId="257E89FF" w14:textId="6B3DC4A0" w:rsidR="007D0F2C" w:rsidRPr="00755DE3" w:rsidRDefault="007D0F2C" w:rsidP="007D0F2C">
      <w:pPr>
        <w:pStyle w:val="SingleTxtG"/>
        <w:tabs>
          <w:tab w:val="left" w:pos="1504"/>
        </w:tabs>
      </w:pPr>
      <w:r w:rsidRPr="00755DE3">
        <w:t xml:space="preserve">Most of the world is still overwhelmed by waste and cannot manage it as a resource. Europe and Central Asia together are expected to generate 490 million </w:t>
      </w:r>
      <w:r w:rsidR="00CB62CD" w:rsidRPr="00755DE3">
        <w:t>tonnes</w:t>
      </w:r>
      <w:r w:rsidRPr="00755DE3">
        <w:t xml:space="preserve"> per year by 2050, roughly 100 million </w:t>
      </w:r>
      <w:r w:rsidR="00CB62CD" w:rsidRPr="00755DE3">
        <w:t>tonnes</w:t>
      </w:r>
      <w:r w:rsidRPr="00755DE3">
        <w:t xml:space="preserve"> more than the amount generated in 2016</w:t>
      </w:r>
      <w:r w:rsidR="00352FDC" w:rsidRPr="00755DE3">
        <w:t>.</w:t>
      </w:r>
      <w:r w:rsidR="00BE78F4" w:rsidRPr="00755DE3">
        <w:rPr>
          <w:rStyle w:val="FootnoteReference"/>
        </w:rPr>
        <w:footnoteReference w:id="30"/>
      </w:r>
      <w:r w:rsidRPr="00755DE3">
        <w:t xml:space="preserve"> A high percentage of waste still goes to landfills</w:t>
      </w:r>
      <w:r w:rsidR="009F4555" w:rsidRPr="00755DE3">
        <w:t>.</w:t>
      </w:r>
      <w:r w:rsidRPr="00755DE3">
        <w:t xml:space="preserve"> Waste</w:t>
      </w:r>
      <w:r w:rsidR="00734049" w:rsidRPr="00755DE3">
        <w:t>,</w:t>
      </w:r>
      <w:r w:rsidRPr="00755DE3">
        <w:t xml:space="preserve"> up until now</w:t>
      </w:r>
      <w:r w:rsidR="00734049" w:rsidRPr="00755DE3">
        <w:t>,</w:t>
      </w:r>
      <w:r w:rsidRPr="00755DE3">
        <w:t xml:space="preserve"> has been perceived as a</w:t>
      </w:r>
      <w:r w:rsidR="0034712F" w:rsidRPr="00755DE3">
        <w:t xml:space="preserve"> </w:t>
      </w:r>
      <w:r w:rsidRPr="00755DE3">
        <w:t>thing to get rid of and this throwaway</w:t>
      </w:r>
      <w:r w:rsidR="0034712F" w:rsidRPr="00755DE3">
        <w:t xml:space="preserve"> </w:t>
      </w:r>
      <w:r w:rsidRPr="00755DE3">
        <w:t xml:space="preserve">mentality is part of the old thinking of the linear economy and at odds with </w:t>
      </w:r>
      <w:r w:rsidR="00D77914" w:rsidRPr="00755DE3">
        <w:t>circular economy</w:t>
      </w:r>
      <w:r w:rsidRPr="00755DE3">
        <w:t xml:space="preserve"> principles and processes.</w:t>
      </w:r>
    </w:p>
    <w:p w14:paraId="25786A1E" w14:textId="43775DDA" w:rsidR="005871E8" w:rsidRPr="00755DE3" w:rsidRDefault="00F2190A" w:rsidP="005871E8">
      <w:pPr>
        <w:pStyle w:val="SingleTxtG"/>
        <w:tabs>
          <w:tab w:val="left" w:pos="1504"/>
        </w:tabs>
        <w:rPr>
          <w:u w:val="single"/>
        </w:rPr>
      </w:pPr>
      <w:r>
        <w:rPr>
          <w:u w:val="single"/>
        </w:rPr>
        <w:t>Option</w:t>
      </w:r>
      <w:r w:rsidR="007D0F2C" w:rsidRPr="00755DE3">
        <w:rPr>
          <w:u w:val="single"/>
        </w:rPr>
        <w:t xml:space="preserve"> 1</w:t>
      </w:r>
      <w:r w:rsidR="006D2C7D">
        <w:rPr>
          <w:u w:val="single"/>
        </w:rPr>
        <w:t>:</w:t>
      </w:r>
      <w:r w:rsidR="006F36AA" w:rsidRPr="006F36AA">
        <w:t xml:space="preserve"> </w:t>
      </w:r>
      <w:r w:rsidR="006F36AA">
        <w:t>Embed</w:t>
      </w:r>
      <w:r w:rsidR="006D2C7D" w:rsidRPr="000A7B49">
        <w:t xml:space="preserve"> circular economy </w:t>
      </w:r>
      <w:r w:rsidR="003D7BC9">
        <w:t>visions and principles</w:t>
      </w:r>
      <w:r w:rsidR="006F36AA">
        <w:t xml:space="preserve"> into</w:t>
      </w:r>
      <w:r w:rsidR="006D2C7D" w:rsidRPr="000A7B49">
        <w:t xml:space="preserve"> Government </w:t>
      </w:r>
      <w:r w:rsidR="006F36AA">
        <w:t>policies</w:t>
      </w:r>
      <w:r w:rsidR="00B91D76">
        <w:t>.</w:t>
      </w:r>
    </w:p>
    <w:p w14:paraId="063A333E" w14:textId="26576872" w:rsidR="007D0F2C" w:rsidRPr="00B6538F" w:rsidRDefault="00500967" w:rsidP="005871E8">
      <w:pPr>
        <w:pStyle w:val="SingleTxtG"/>
        <w:tabs>
          <w:tab w:val="left" w:pos="1504"/>
        </w:tabs>
        <w:rPr>
          <w:u w:val="single"/>
        </w:rPr>
      </w:pPr>
      <w:r w:rsidRPr="00CC7582">
        <w:t xml:space="preserve">People-first WtE PPPs should turn waste into a resource and operate the enterprise as a purpose-oriented business (with purpose before profit), a client-oriented focus and generating new business and service </w:t>
      </w:r>
      <w:r w:rsidR="00A84ACB" w:rsidRPr="00CC7582">
        <w:t>opportunities. Governments</w:t>
      </w:r>
      <w:r w:rsidR="00CE1F36" w:rsidRPr="00CC7582">
        <w:t xml:space="preserve"> and local authorities need to encourage the WtE </w:t>
      </w:r>
      <w:r w:rsidR="00B6538F">
        <w:t xml:space="preserve">industry to operate with </w:t>
      </w:r>
      <w:r w:rsidR="00CE1F36" w:rsidRPr="00CC7582">
        <w:t xml:space="preserve">contributing to the </w:t>
      </w:r>
      <w:r w:rsidR="00062DE7" w:rsidRPr="00CC7582">
        <w:t>c</w:t>
      </w:r>
      <w:r w:rsidR="00A84ACB" w:rsidRPr="00CC7582">
        <w:t>ircular</w:t>
      </w:r>
      <w:r w:rsidR="00CE1F36" w:rsidRPr="00CC7582">
        <w:t xml:space="preserve"> </w:t>
      </w:r>
      <w:r w:rsidR="00062DE7" w:rsidRPr="00CC7582">
        <w:t>e</w:t>
      </w:r>
      <w:r w:rsidR="00CE1F36" w:rsidRPr="00CC7582">
        <w:t>conomy</w:t>
      </w:r>
      <w:r w:rsidR="00B6538F">
        <w:t xml:space="preserve"> as a core </w:t>
      </w:r>
      <w:r w:rsidR="00280340">
        <w:t>objective</w:t>
      </w:r>
      <w:r w:rsidR="00CE1F36" w:rsidRPr="00CC7582">
        <w:t>.</w:t>
      </w:r>
    </w:p>
    <w:p w14:paraId="01CC8F0B" w14:textId="1281B589" w:rsidR="007D0F2C" w:rsidRPr="00755DE3" w:rsidRDefault="007D0F2C" w:rsidP="007D0F2C">
      <w:pPr>
        <w:pStyle w:val="SingleTxtG"/>
        <w:tabs>
          <w:tab w:val="left" w:pos="1504"/>
        </w:tabs>
        <w:rPr>
          <w:u w:val="single"/>
        </w:rPr>
      </w:pPr>
      <w:r w:rsidRPr="00755DE3">
        <w:rPr>
          <w:u w:val="single"/>
        </w:rPr>
        <w:t xml:space="preserve">Specific </w:t>
      </w:r>
      <w:r w:rsidR="00F2190A">
        <w:rPr>
          <w:u w:val="single"/>
        </w:rPr>
        <w:t>option</w:t>
      </w:r>
      <w:r w:rsidRPr="00755DE3">
        <w:rPr>
          <w:u w:val="single"/>
        </w:rPr>
        <w:t>s</w:t>
      </w:r>
    </w:p>
    <w:p w14:paraId="23727FC2" w14:textId="520CD154" w:rsidR="001B2818" w:rsidRPr="00755DE3" w:rsidRDefault="007D0F2C" w:rsidP="008F5446">
      <w:pPr>
        <w:pStyle w:val="SingleTxtG"/>
        <w:numPr>
          <w:ilvl w:val="0"/>
          <w:numId w:val="6"/>
        </w:numPr>
      </w:pPr>
      <w:r w:rsidRPr="00755DE3">
        <w:t>Valuing waste</w:t>
      </w:r>
      <w:r w:rsidR="00E0317D" w:rsidRPr="00755DE3">
        <w:t>:</w:t>
      </w:r>
      <w:r w:rsidRPr="00755DE3">
        <w:t xml:space="preserve"> </w:t>
      </w:r>
      <w:r w:rsidR="00A40010" w:rsidRPr="00755DE3">
        <w:t>p</w:t>
      </w:r>
      <w:r w:rsidRPr="00755DE3">
        <w:t>rojects should prioritise</w:t>
      </w:r>
      <w:r w:rsidR="0034712F" w:rsidRPr="00755DE3">
        <w:t xml:space="preserve"> </w:t>
      </w:r>
      <w:r w:rsidRPr="00755DE3">
        <w:t xml:space="preserve">efficient collection and pre-processing systems, which can prevent the loss of potentially valuable waste, and should aim </w:t>
      </w:r>
      <w:r w:rsidR="00A70661" w:rsidRPr="00755DE3">
        <w:t xml:space="preserve">at </w:t>
      </w:r>
      <w:r w:rsidRPr="00755DE3">
        <w:t>avoid</w:t>
      </w:r>
      <w:r w:rsidR="00A70661" w:rsidRPr="00755DE3">
        <w:t xml:space="preserve">ing </w:t>
      </w:r>
      <w:r w:rsidRPr="00755DE3">
        <w:t>the use of land for throwing waste away.</w:t>
      </w:r>
      <w:r w:rsidR="0034712F" w:rsidRPr="00755DE3">
        <w:t xml:space="preserve"> </w:t>
      </w:r>
      <w:r w:rsidR="00A70661" w:rsidRPr="00755DE3">
        <w:t xml:space="preserve">In order to </w:t>
      </w:r>
      <w:r w:rsidRPr="00755DE3">
        <w:t xml:space="preserve">promote </w:t>
      </w:r>
      <w:r w:rsidR="00E84254" w:rsidRPr="00755DE3">
        <w:t>WtE</w:t>
      </w:r>
      <w:r w:rsidRPr="00755DE3">
        <w:t xml:space="preserve"> it </w:t>
      </w:r>
      <w:r w:rsidR="00A40010" w:rsidRPr="00755DE3">
        <w:t xml:space="preserve">is therefore </w:t>
      </w:r>
      <w:r w:rsidRPr="00755DE3">
        <w:t>necessary to highlight the importance of preventing waste, reusing waste products and recycling as much as possible</w:t>
      </w:r>
      <w:r w:rsidR="00B6466F" w:rsidRPr="00755DE3">
        <w:t>.</w:t>
      </w:r>
      <w:r w:rsidR="00593A86" w:rsidRPr="00755DE3">
        <w:rPr>
          <w:rStyle w:val="FootnoteReference"/>
        </w:rPr>
        <w:footnoteReference w:id="31"/>
      </w:r>
    </w:p>
    <w:p w14:paraId="7D731770" w14:textId="024EA37A" w:rsidR="007D0F2C" w:rsidRPr="00755DE3" w:rsidRDefault="00D05C4F" w:rsidP="008F5446">
      <w:pPr>
        <w:pStyle w:val="SingleTxtG"/>
        <w:numPr>
          <w:ilvl w:val="0"/>
          <w:numId w:val="6"/>
        </w:numPr>
      </w:pPr>
      <w:r w:rsidRPr="00755DE3">
        <w:lastRenderedPageBreak/>
        <w:t>Encourag</w:t>
      </w:r>
      <w:r w:rsidR="00B6538F">
        <w:t>ing</w:t>
      </w:r>
      <w:r w:rsidRPr="00755DE3">
        <w:t xml:space="preserve"> new WtE technologies and processes where</w:t>
      </w:r>
      <w:r w:rsidR="00A70661" w:rsidRPr="00755DE3">
        <w:t xml:space="preserve"> WtE is not common</w:t>
      </w:r>
      <w:r w:rsidR="00E55197" w:rsidRPr="00755DE3">
        <w:t>:</w:t>
      </w:r>
      <w:r w:rsidR="00A70661" w:rsidRPr="00755DE3">
        <w:t xml:space="preserve"> </w:t>
      </w:r>
      <w:r w:rsidR="00A40010" w:rsidRPr="00755DE3">
        <w:t>s</w:t>
      </w:r>
      <w:r w:rsidR="007D0F2C" w:rsidRPr="00755DE3">
        <w:t>uch a programme should particularly focus on low</w:t>
      </w:r>
      <w:r w:rsidR="00A40010" w:rsidRPr="00755DE3">
        <w:t>- and middle-</w:t>
      </w:r>
      <w:r w:rsidR="007D0F2C" w:rsidRPr="00755DE3">
        <w:t>income</w:t>
      </w:r>
      <w:r w:rsidR="00A40010" w:rsidRPr="00755DE3">
        <w:t xml:space="preserve"> countries</w:t>
      </w:r>
      <w:r w:rsidR="007D0F2C" w:rsidRPr="00755DE3">
        <w:t xml:space="preserve"> where </w:t>
      </w:r>
      <w:r w:rsidR="00E84254" w:rsidRPr="00755DE3">
        <w:t>WtE</w:t>
      </w:r>
      <w:r w:rsidR="007D0F2C" w:rsidRPr="00755DE3">
        <w:t xml:space="preserve"> projects are relatively rare</w:t>
      </w:r>
      <w:r w:rsidR="009407CE" w:rsidRPr="00755DE3">
        <w:t>.</w:t>
      </w:r>
      <w:r w:rsidR="007D0F2C" w:rsidRPr="00755DE3">
        <w:t xml:space="preserve"> These are the countries where </w:t>
      </w:r>
      <w:r w:rsidR="00E84254" w:rsidRPr="00755DE3">
        <w:t>WtE</w:t>
      </w:r>
      <w:r w:rsidR="007D0F2C" w:rsidRPr="00755DE3">
        <w:t xml:space="preserve"> has to be promoted in the place of landfills which are cheaper but dangerous for the </w:t>
      </w:r>
      <w:r w:rsidR="003423FC" w:rsidRPr="00755DE3">
        <w:t xml:space="preserve">public health and the </w:t>
      </w:r>
      <w:r w:rsidR="007D0F2C" w:rsidRPr="00755DE3">
        <w:t>environment</w:t>
      </w:r>
      <w:r w:rsidR="007B3040" w:rsidRPr="00755DE3">
        <w:t>.</w:t>
      </w:r>
    </w:p>
    <w:p w14:paraId="19AD6A78" w14:textId="2CDA333E" w:rsidR="00A8033D" w:rsidRPr="00755DE3" w:rsidRDefault="00A8033D" w:rsidP="00A8033D">
      <w:pPr>
        <w:pStyle w:val="SingleTxtG"/>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8033D" w:rsidRPr="00755DE3" w14:paraId="564156D5" w14:textId="77777777" w:rsidTr="00137787">
        <w:trPr>
          <w:trHeight w:hRule="exact" w:val="410"/>
          <w:jc w:val="center"/>
        </w:trPr>
        <w:tc>
          <w:tcPr>
            <w:tcW w:w="7654" w:type="dxa"/>
            <w:tcBorders>
              <w:top w:val="single" w:sz="4" w:space="0" w:color="auto"/>
              <w:bottom w:val="nil"/>
            </w:tcBorders>
            <w:shd w:val="clear" w:color="auto" w:fill="auto"/>
          </w:tcPr>
          <w:p w14:paraId="17C75CD7" w14:textId="1DE22C6E" w:rsidR="00A8033D" w:rsidRPr="00755DE3" w:rsidRDefault="00A8033D" w:rsidP="00E56E02">
            <w:pPr>
              <w:spacing w:line="240" w:lineRule="auto"/>
            </w:pPr>
            <w:r w:rsidRPr="00755DE3">
              <w:rPr>
                <w:b/>
                <w:bCs/>
              </w:rPr>
              <w:t xml:space="preserve">Box </w:t>
            </w:r>
            <w:r w:rsidR="00A20165">
              <w:rPr>
                <w:b/>
                <w:bCs/>
              </w:rPr>
              <w:t>1</w:t>
            </w:r>
            <w:r w:rsidRPr="00755DE3">
              <w:rPr>
                <w:b/>
                <w:bCs/>
              </w:rPr>
              <w:t>. Waste</w:t>
            </w:r>
            <w:r w:rsidR="00B70C3C">
              <w:rPr>
                <w:b/>
                <w:bCs/>
              </w:rPr>
              <w:t>-</w:t>
            </w:r>
            <w:r w:rsidR="001F74D9">
              <w:rPr>
                <w:b/>
                <w:bCs/>
              </w:rPr>
              <w:t>to-</w:t>
            </w:r>
            <w:r w:rsidR="00B70C3C">
              <w:rPr>
                <w:b/>
                <w:bCs/>
              </w:rPr>
              <w:t>E</w:t>
            </w:r>
            <w:r w:rsidRPr="00755DE3">
              <w:rPr>
                <w:b/>
                <w:bCs/>
              </w:rPr>
              <w:t xml:space="preserve">nergy </w:t>
            </w:r>
            <w:r w:rsidR="00B6538F">
              <w:rPr>
                <w:b/>
                <w:bCs/>
              </w:rPr>
              <w:t xml:space="preserve">mainly </w:t>
            </w:r>
            <w:r w:rsidRPr="00755DE3">
              <w:rPr>
                <w:b/>
                <w:bCs/>
              </w:rPr>
              <w:t>exists in high income countries</w:t>
            </w:r>
          </w:p>
        </w:tc>
      </w:tr>
      <w:tr w:rsidR="00A8033D" w:rsidRPr="00755DE3" w14:paraId="50369666" w14:textId="77777777" w:rsidTr="00137787">
        <w:trPr>
          <w:jc w:val="center"/>
        </w:trPr>
        <w:tc>
          <w:tcPr>
            <w:tcW w:w="7654" w:type="dxa"/>
            <w:tcBorders>
              <w:bottom w:val="single" w:sz="4" w:space="0" w:color="auto"/>
            </w:tcBorders>
            <w:shd w:val="clear" w:color="auto" w:fill="auto"/>
            <w:tcMar>
              <w:left w:w="142" w:type="dxa"/>
              <w:right w:w="142" w:type="dxa"/>
            </w:tcMar>
          </w:tcPr>
          <w:p w14:paraId="0DB1FB09" w14:textId="1A00B48B" w:rsidR="00A8033D" w:rsidRPr="00755DE3" w:rsidRDefault="00B6538F" w:rsidP="00A016BF">
            <w:pPr>
              <w:spacing w:after="120"/>
              <w:jc w:val="both"/>
            </w:pPr>
            <w:r>
              <w:t xml:space="preserve">WtE </w:t>
            </w:r>
            <w:r w:rsidR="00A8033D" w:rsidRPr="00755DE3">
              <w:t xml:space="preserve">is almost non-existent in </w:t>
            </w:r>
            <w:r w:rsidR="00DC0AD1" w:rsidRPr="00755DE3">
              <w:t xml:space="preserve">low- and middle-income countries </w:t>
            </w:r>
            <w:r w:rsidR="00A8033D" w:rsidRPr="00755DE3">
              <w:t xml:space="preserve">where open dumpsites </w:t>
            </w:r>
            <w:r w:rsidR="008D1F8E">
              <w:t xml:space="preserve">are </w:t>
            </w:r>
            <w:r w:rsidR="008D1F8E" w:rsidRPr="00755DE3">
              <w:t>prevalent</w:t>
            </w:r>
            <w:r w:rsidR="00A8033D" w:rsidRPr="00755DE3">
              <w:t>.</w:t>
            </w:r>
            <w:r w:rsidR="004269B1" w:rsidRPr="00755DE3">
              <w:t xml:space="preserve"> In low-income countries, 93% of waste is dumped (or burned) in roads, open land, or waterways, whereas only 2% of waste is dumped in high-income countries (see Chart 1).</w:t>
            </w:r>
          </w:p>
          <w:p w14:paraId="7FF83AEB" w14:textId="78ABD00A" w:rsidR="00A8033D" w:rsidRPr="00755DE3" w:rsidRDefault="00742C43" w:rsidP="00A016BF">
            <w:pPr>
              <w:pStyle w:val="SingleTxtG"/>
              <w:ind w:left="70" w:right="160"/>
              <w:rPr>
                <w:b/>
                <w:bCs/>
              </w:rPr>
            </w:pPr>
            <w:r w:rsidRPr="00755DE3">
              <w:rPr>
                <w:b/>
                <w:bCs/>
              </w:rPr>
              <w:t xml:space="preserve">Chart 1. </w:t>
            </w:r>
            <w:r w:rsidR="00A8033D" w:rsidRPr="00755DE3">
              <w:rPr>
                <w:b/>
                <w:bCs/>
              </w:rPr>
              <w:t>Disposal methods by income</w:t>
            </w:r>
          </w:p>
          <w:p w14:paraId="5E457456" w14:textId="00B40D27" w:rsidR="00A8033D" w:rsidRPr="00755DE3" w:rsidRDefault="00A8033D" w:rsidP="00A8033D">
            <w:pPr>
              <w:spacing w:after="120"/>
              <w:jc w:val="center"/>
            </w:pPr>
            <w:r w:rsidRPr="00755DE3">
              <w:rPr>
                <w:noProof/>
              </w:rPr>
              <w:drawing>
                <wp:inline distT="0" distB="0" distL="0" distR="0" wp14:anchorId="7918DD95" wp14:editId="30812B78">
                  <wp:extent cx="4211579" cy="236943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F72441" w14:textId="528C38D2" w:rsidR="00A8033D" w:rsidRPr="00755DE3" w:rsidRDefault="00A8033D" w:rsidP="00A016BF">
            <w:pPr>
              <w:spacing w:after="120"/>
              <w:jc w:val="both"/>
            </w:pPr>
            <w:r w:rsidRPr="00B70C3C">
              <w:t xml:space="preserve">Source: </w:t>
            </w:r>
            <w:r w:rsidR="00385A56" w:rsidRPr="00385A56">
              <w:t>What a Waste 2.0: A Global Snapshot of Solid Waste Management to 2050, World Bank</w:t>
            </w:r>
            <w:r w:rsidR="00385A56">
              <w:t>, 2018</w:t>
            </w:r>
            <w:r w:rsidRPr="00B70C3C">
              <w:t>.</w:t>
            </w:r>
          </w:p>
        </w:tc>
      </w:tr>
    </w:tbl>
    <w:p w14:paraId="360E720E" w14:textId="77777777" w:rsidR="007D0F2C" w:rsidRPr="00755DE3" w:rsidRDefault="007D0F2C" w:rsidP="006D6AFD">
      <w:pPr>
        <w:pStyle w:val="SingleTxtG"/>
        <w:tabs>
          <w:tab w:val="left" w:pos="1504"/>
        </w:tabs>
        <w:ind w:left="0"/>
      </w:pPr>
    </w:p>
    <w:p w14:paraId="797593BF" w14:textId="670FC899" w:rsidR="007D0F2C" w:rsidRPr="00755DE3" w:rsidRDefault="007D0F2C" w:rsidP="001E49E6">
      <w:pPr>
        <w:pStyle w:val="H23G"/>
        <w:numPr>
          <w:ilvl w:val="0"/>
          <w:numId w:val="26"/>
        </w:numPr>
        <w:ind w:hanging="441"/>
        <w:outlineLvl w:val="9"/>
      </w:pPr>
      <w:r w:rsidRPr="00755DE3">
        <w:t xml:space="preserve">Scope and scale </w:t>
      </w:r>
    </w:p>
    <w:p w14:paraId="2EB1FFD9" w14:textId="77777777" w:rsidR="007D0F2C" w:rsidRPr="00755DE3" w:rsidRDefault="007D0F2C" w:rsidP="007D0F2C">
      <w:pPr>
        <w:pStyle w:val="SingleTxtG"/>
        <w:tabs>
          <w:tab w:val="left" w:pos="1504"/>
        </w:tabs>
        <w:rPr>
          <w:u w:val="single"/>
        </w:rPr>
      </w:pPr>
      <w:r w:rsidRPr="00755DE3">
        <w:rPr>
          <w:u w:val="single"/>
        </w:rPr>
        <w:t xml:space="preserve">Challenge </w:t>
      </w:r>
    </w:p>
    <w:p w14:paraId="7DB0EC3D" w14:textId="40215F96" w:rsidR="007D0F2C" w:rsidRPr="00755DE3" w:rsidRDefault="007D0F2C" w:rsidP="007D0F2C">
      <w:pPr>
        <w:pStyle w:val="SingleTxtG"/>
        <w:tabs>
          <w:tab w:val="left" w:pos="1504"/>
        </w:tabs>
      </w:pPr>
      <w:r w:rsidRPr="00755DE3">
        <w:t>Waste is set to grow exponentially in the coming years</w:t>
      </w:r>
      <w:r w:rsidR="006C2683" w:rsidRPr="00755DE3">
        <w:t xml:space="preserve"> and </w:t>
      </w:r>
      <w:r w:rsidRPr="00755DE3">
        <w:t xml:space="preserve">the size of </w:t>
      </w:r>
      <w:r w:rsidR="00E84254" w:rsidRPr="00755DE3">
        <w:t>WtE</w:t>
      </w:r>
      <w:r w:rsidRPr="00755DE3">
        <w:t xml:space="preserve"> plants is predicted </w:t>
      </w:r>
      <w:r w:rsidR="006C2683" w:rsidRPr="00755DE3">
        <w:t xml:space="preserve">to </w:t>
      </w:r>
      <w:r w:rsidRPr="00755DE3">
        <w:t xml:space="preserve">grow in commensurate fashion, creating mega plants dealing with enormous quantities of waste. But </w:t>
      </w:r>
      <w:r w:rsidR="005370D4" w:rsidRPr="00755DE3">
        <w:t xml:space="preserve">in the </w:t>
      </w:r>
      <w:r w:rsidR="00D77914" w:rsidRPr="00755DE3">
        <w:t>circular economy</w:t>
      </w:r>
      <w:r w:rsidR="000872DA" w:rsidRPr="00755DE3">
        <w:t>,</w:t>
      </w:r>
      <w:r w:rsidR="005370D4" w:rsidRPr="00755DE3">
        <w:t xml:space="preserve"> there </w:t>
      </w:r>
      <w:r w:rsidRPr="00755DE3">
        <w:t xml:space="preserve">should be </w:t>
      </w:r>
      <w:r w:rsidR="005370D4" w:rsidRPr="00755DE3">
        <w:t xml:space="preserve">a </w:t>
      </w:r>
      <w:r w:rsidRPr="00755DE3">
        <w:t xml:space="preserve">focus on smaller scale and decentralised operations serving specific purposes in decentralised </w:t>
      </w:r>
      <w:r w:rsidR="009D4901" w:rsidRPr="00755DE3">
        <w:t>systems.</w:t>
      </w:r>
      <w:r w:rsidR="00D11193" w:rsidRPr="00755DE3">
        <w:t xml:space="preserve"> Waste hierarchy</w:t>
      </w:r>
      <w:r w:rsidR="00095304" w:rsidRPr="00755DE3">
        <w:t>,</w:t>
      </w:r>
      <w:r w:rsidR="00D11193" w:rsidRPr="00755DE3">
        <w:t xml:space="preserve"> that is a </w:t>
      </w:r>
      <w:r w:rsidR="00095304" w:rsidRPr="00755DE3">
        <w:t>standard,</w:t>
      </w:r>
      <w:r w:rsidR="00D11193" w:rsidRPr="00755DE3">
        <w:t xml:space="preserve"> needs to reflect </w:t>
      </w:r>
      <w:r w:rsidR="00095304" w:rsidRPr="00755DE3">
        <w:t xml:space="preserve">the </w:t>
      </w:r>
      <w:r w:rsidR="00D77914" w:rsidRPr="00755DE3">
        <w:t>circular economy</w:t>
      </w:r>
      <w:r w:rsidR="00095304" w:rsidRPr="00755DE3">
        <w:t xml:space="preserve"> challenges.</w:t>
      </w:r>
    </w:p>
    <w:p w14:paraId="0D65E126" w14:textId="1625CEB3" w:rsidR="005871E8" w:rsidRPr="00755DE3" w:rsidRDefault="00F2190A" w:rsidP="005871E8">
      <w:pPr>
        <w:pStyle w:val="SingleTxtG"/>
        <w:tabs>
          <w:tab w:val="left" w:pos="1504"/>
        </w:tabs>
        <w:rPr>
          <w:u w:val="single"/>
        </w:rPr>
      </w:pPr>
      <w:r>
        <w:rPr>
          <w:u w:val="single"/>
        </w:rPr>
        <w:t>Option</w:t>
      </w:r>
      <w:r w:rsidR="007D0F2C" w:rsidRPr="00755DE3">
        <w:rPr>
          <w:u w:val="single"/>
        </w:rPr>
        <w:t xml:space="preserve"> 2</w:t>
      </w:r>
      <w:r w:rsidR="006D2C7D">
        <w:rPr>
          <w:u w:val="single"/>
        </w:rPr>
        <w:t>:</w:t>
      </w:r>
      <w:r w:rsidR="006D2C7D" w:rsidRPr="00AE0274">
        <w:t xml:space="preserve"> </w:t>
      </w:r>
      <w:r w:rsidR="006D2C7D" w:rsidRPr="00755DE3">
        <w:t xml:space="preserve">Internalise externalities, </w:t>
      </w:r>
      <w:r w:rsidR="002F242D">
        <w:t xml:space="preserve">gain </w:t>
      </w:r>
      <w:r w:rsidR="006D2C7D" w:rsidRPr="00755DE3">
        <w:t xml:space="preserve">social acceptance and </w:t>
      </w:r>
      <w:r w:rsidR="002F242D">
        <w:t>mobilise investments</w:t>
      </w:r>
      <w:r w:rsidR="00B91D76">
        <w:t>.</w:t>
      </w:r>
    </w:p>
    <w:p w14:paraId="112AB0CE" w14:textId="6D4F62CF" w:rsidR="0008208A" w:rsidRPr="003D7BC9" w:rsidRDefault="00095304" w:rsidP="0008208A">
      <w:pPr>
        <w:pStyle w:val="SingleTxtG"/>
        <w:tabs>
          <w:tab w:val="left" w:pos="1504"/>
        </w:tabs>
        <w:rPr>
          <w:iCs/>
        </w:rPr>
      </w:pPr>
      <w:r w:rsidRPr="003D7BC9">
        <w:rPr>
          <w:iCs/>
        </w:rPr>
        <w:t xml:space="preserve">The waste hierarchy should encapsulate the </w:t>
      </w:r>
      <w:r w:rsidR="00D77914" w:rsidRPr="003D7BC9">
        <w:rPr>
          <w:iCs/>
        </w:rPr>
        <w:t>circular economy</w:t>
      </w:r>
      <w:r w:rsidRPr="003D7BC9">
        <w:rPr>
          <w:iCs/>
        </w:rPr>
        <w:t xml:space="preserve"> activities as presented in </w:t>
      </w:r>
      <w:r w:rsidR="000707BD" w:rsidRPr="003D7BC9">
        <w:rPr>
          <w:iCs/>
        </w:rPr>
        <w:t>Figure</w:t>
      </w:r>
      <w:r w:rsidRPr="003D7BC9">
        <w:rPr>
          <w:iCs/>
        </w:rPr>
        <w:t xml:space="preserve"> </w:t>
      </w:r>
      <w:r w:rsidR="00B72075" w:rsidRPr="003D7BC9">
        <w:rPr>
          <w:iCs/>
        </w:rPr>
        <w:t>2.</w:t>
      </w:r>
      <w:r w:rsidR="0046228C" w:rsidRPr="003D7BC9">
        <w:rPr>
          <w:iCs/>
        </w:rPr>
        <w:t xml:space="preserve"> In this context, </w:t>
      </w:r>
      <w:r w:rsidR="007F0F11" w:rsidRPr="003D7BC9">
        <w:rPr>
          <w:iCs/>
        </w:rPr>
        <w:t>emphasis should be given on two separate activities: resource management, and waste management. The first requires</w:t>
      </w:r>
      <w:r w:rsidR="000B00CF" w:rsidRPr="003D7BC9">
        <w:rPr>
          <w:iCs/>
        </w:rPr>
        <w:t xml:space="preserve"> advocacy of</w:t>
      </w:r>
      <w:r w:rsidR="007F0F11" w:rsidRPr="003D7BC9">
        <w:rPr>
          <w:iCs/>
        </w:rPr>
        <w:t xml:space="preserve"> </w:t>
      </w:r>
      <w:r w:rsidR="007445DF" w:rsidRPr="003D7BC9">
        <w:rPr>
          <w:iCs/>
        </w:rPr>
        <w:t>innovations,</w:t>
      </w:r>
      <w:r w:rsidR="007F0F11" w:rsidRPr="003D7BC9">
        <w:rPr>
          <w:iCs/>
        </w:rPr>
        <w:t xml:space="preserve"> and </w:t>
      </w:r>
      <w:r w:rsidR="007445DF" w:rsidRPr="003D7BC9">
        <w:rPr>
          <w:iCs/>
        </w:rPr>
        <w:t xml:space="preserve">strong regulatory environment </w:t>
      </w:r>
      <w:r w:rsidR="007F0F11" w:rsidRPr="003D7BC9">
        <w:rPr>
          <w:iCs/>
        </w:rPr>
        <w:t>to enhance the smarter product</w:t>
      </w:r>
      <w:r w:rsidR="007445DF" w:rsidRPr="003D7BC9">
        <w:rPr>
          <w:iCs/>
        </w:rPr>
        <w:t xml:space="preserve"> use</w:t>
      </w:r>
      <w:r w:rsidR="007F0F11" w:rsidRPr="003D7BC9">
        <w:rPr>
          <w:iCs/>
        </w:rPr>
        <w:t xml:space="preserve"> and manufacture, as well as to extend </w:t>
      </w:r>
      <w:r w:rsidR="00555C3C" w:rsidRPr="003D7BC9">
        <w:rPr>
          <w:iCs/>
        </w:rPr>
        <w:t xml:space="preserve">the </w:t>
      </w:r>
      <w:r w:rsidR="007F0F11" w:rsidRPr="003D7BC9">
        <w:rPr>
          <w:iCs/>
        </w:rPr>
        <w:t xml:space="preserve">lifespan of product cycles. Waste management should be related to maximum resource and energy recovery, </w:t>
      </w:r>
      <w:r w:rsidR="00791FAA" w:rsidRPr="003D7BC9">
        <w:rPr>
          <w:iCs/>
        </w:rPr>
        <w:t>not</w:t>
      </w:r>
      <w:r w:rsidR="007F0F11" w:rsidRPr="003D7BC9">
        <w:rPr>
          <w:iCs/>
        </w:rPr>
        <w:t xml:space="preserve"> landfilling or incineration of wastes without energy recovery. </w:t>
      </w:r>
      <w:r w:rsidR="00E8739E" w:rsidRPr="003D7BC9">
        <w:rPr>
          <w:iCs/>
        </w:rPr>
        <w:t xml:space="preserve">Also, </w:t>
      </w:r>
      <w:r w:rsidR="005862E7" w:rsidRPr="003D7BC9">
        <w:rPr>
          <w:iCs/>
        </w:rPr>
        <w:t>People-first PPPs should focus on marginalised and vulnerable groups trying to survive in an ever more dangerous world, such as refugees, first nation, etc</w:t>
      </w:r>
      <w:r w:rsidR="00E8739E" w:rsidRPr="003D7BC9">
        <w:rPr>
          <w:iCs/>
        </w:rPr>
        <w:t>.</w:t>
      </w:r>
    </w:p>
    <w:p w14:paraId="51C6A388" w14:textId="4C7C7E29" w:rsidR="0008208A" w:rsidRPr="0008208A" w:rsidRDefault="0008208A" w:rsidP="005871E8">
      <w:pPr>
        <w:pStyle w:val="SingleTxtG"/>
        <w:tabs>
          <w:tab w:val="left" w:pos="1504"/>
        </w:tabs>
        <w:rPr>
          <w:b/>
          <w:bCs/>
          <w:u w:val="single"/>
        </w:rPr>
      </w:pPr>
      <w:r w:rsidRPr="0008208A">
        <w:rPr>
          <w:b/>
          <w:bCs/>
          <w:iCs/>
        </w:rPr>
        <w:t>Figure 2. Hierarchy of sustainable resource and waste management</w:t>
      </w:r>
    </w:p>
    <w:p w14:paraId="117B186F" w14:textId="136C3BA9" w:rsidR="0008208A" w:rsidRPr="0008208A" w:rsidRDefault="00AA364F" w:rsidP="0008208A">
      <w:pPr>
        <w:pStyle w:val="SingleTxtG"/>
        <w:tabs>
          <w:tab w:val="left" w:pos="1504"/>
        </w:tabs>
        <w:jc w:val="center"/>
        <w:rPr>
          <w:iCs/>
        </w:rPr>
      </w:pPr>
      <w:r w:rsidRPr="00755DE3">
        <w:rPr>
          <w:iCs/>
          <w:noProof/>
        </w:rPr>
        <w:lastRenderedPageBreak/>
        <w:drawing>
          <wp:inline distT="0" distB="0" distL="0" distR="0" wp14:anchorId="3CB8B3A9" wp14:editId="323E81A3">
            <wp:extent cx="4711239" cy="23679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9174" cy="2386993"/>
                    </a:xfrm>
                    <a:prstGeom prst="rect">
                      <a:avLst/>
                    </a:prstGeom>
                    <a:noFill/>
                  </pic:spPr>
                </pic:pic>
              </a:graphicData>
            </a:graphic>
          </wp:inline>
        </w:drawing>
      </w:r>
    </w:p>
    <w:p w14:paraId="47ED6EE2" w14:textId="6C41EEA8" w:rsidR="0008208A" w:rsidRPr="00934C26" w:rsidRDefault="00934C26" w:rsidP="00934C26">
      <w:pPr>
        <w:pStyle w:val="SingleTxtG"/>
        <w:tabs>
          <w:tab w:val="left" w:pos="1504"/>
        </w:tabs>
        <w:jc w:val="center"/>
        <w:rPr>
          <w:sz w:val="18"/>
          <w:szCs w:val="18"/>
        </w:rPr>
      </w:pPr>
      <w:r w:rsidRPr="00934C26">
        <w:rPr>
          <w:sz w:val="18"/>
          <w:szCs w:val="18"/>
          <w:u w:val="single"/>
        </w:rPr>
        <w:t>Source</w:t>
      </w:r>
      <w:r w:rsidRPr="00934C26">
        <w:rPr>
          <w:sz w:val="18"/>
          <w:szCs w:val="18"/>
        </w:rPr>
        <w:t>: ECE</w:t>
      </w:r>
      <w:r w:rsidR="00B6538F">
        <w:rPr>
          <w:sz w:val="18"/>
          <w:szCs w:val="18"/>
        </w:rPr>
        <w:t xml:space="preserve">, based on </w:t>
      </w:r>
      <w:r w:rsidR="00C076DB" w:rsidRPr="00934C26">
        <w:rPr>
          <w:sz w:val="18"/>
          <w:szCs w:val="18"/>
        </w:rPr>
        <w:t>European Union Directive 2008/98/EC on waste (Waste Framework Directive)</w:t>
      </w:r>
    </w:p>
    <w:p w14:paraId="557309F8" w14:textId="1848489D" w:rsidR="007D0F2C" w:rsidRPr="00755DE3" w:rsidRDefault="007D0F2C" w:rsidP="007D0F2C">
      <w:pPr>
        <w:pStyle w:val="SingleTxtG"/>
        <w:tabs>
          <w:tab w:val="left" w:pos="1504"/>
        </w:tabs>
        <w:rPr>
          <w:u w:val="single"/>
        </w:rPr>
      </w:pPr>
      <w:r w:rsidRPr="00755DE3">
        <w:rPr>
          <w:u w:val="single"/>
        </w:rPr>
        <w:t xml:space="preserve">Specific </w:t>
      </w:r>
      <w:r w:rsidR="00F2190A">
        <w:rPr>
          <w:u w:val="single"/>
        </w:rPr>
        <w:t>option</w:t>
      </w:r>
      <w:r w:rsidRPr="00755DE3">
        <w:rPr>
          <w:u w:val="single"/>
        </w:rPr>
        <w:t>s</w:t>
      </w:r>
    </w:p>
    <w:p w14:paraId="24B4A863" w14:textId="2FACD529" w:rsidR="000B00CF" w:rsidRPr="00755DE3" w:rsidRDefault="00C128F6" w:rsidP="000B00CF">
      <w:pPr>
        <w:pStyle w:val="SingleTxtG"/>
        <w:tabs>
          <w:tab w:val="left" w:pos="1504"/>
        </w:tabs>
      </w:pPr>
      <w:r w:rsidRPr="00755DE3">
        <w:t>People-first</w:t>
      </w:r>
      <w:r w:rsidR="007D0F2C" w:rsidRPr="00755DE3">
        <w:t xml:space="preserve"> </w:t>
      </w:r>
      <w:r w:rsidR="005210AE" w:rsidRPr="00755DE3">
        <w:t>WtE</w:t>
      </w:r>
      <w:r w:rsidR="007445DF" w:rsidRPr="00755DE3">
        <w:t xml:space="preserve"> </w:t>
      </w:r>
      <w:r w:rsidR="00610953" w:rsidRPr="00755DE3">
        <w:t>PPP</w:t>
      </w:r>
      <w:r w:rsidR="005F3330" w:rsidRPr="00755DE3">
        <w:t>s</w:t>
      </w:r>
      <w:r w:rsidR="007D0F2C" w:rsidRPr="00755DE3">
        <w:t xml:space="preserve"> should</w:t>
      </w:r>
      <w:r w:rsidR="008D1F8E">
        <w:t xml:space="preserve"> </w:t>
      </w:r>
      <w:r w:rsidR="007D0F2C" w:rsidRPr="00755DE3">
        <w:t xml:space="preserve">focus on specific areas and purposes that are </w:t>
      </w:r>
      <w:r w:rsidR="00244C51" w:rsidRPr="00755DE3">
        <w:t>“</w:t>
      </w:r>
      <w:r w:rsidR="007D0F2C" w:rsidRPr="00755DE3">
        <w:t>circular</w:t>
      </w:r>
      <w:r w:rsidR="00244C51" w:rsidRPr="00755DE3">
        <w:t>”</w:t>
      </w:r>
      <w:r w:rsidR="007D0F2C" w:rsidRPr="00755DE3">
        <w:t xml:space="preserve"> for better</w:t>
      </w:r>
      <w:r w:rsidR="0034712F" w:rsidRPr="00755DE3">
        <w:t xml:space="preserve"> </w:t>
      </w:r>
      <w:r w:rsidR="007D0F2C" w:rsidRPr="00755DE3">
        <w:t xml:space="preserve">waste resource management: </w:t>
      </w:r>
    </w:p>
    <w:p w14:paraId="602BA6E2" w14:textId="2E5F470B" w:rsidR="000B00CF" w:rsidRPr="00755DE3" w:rsidRDefault="000B00CF" w:rsidP="008F5446">
      <w:pPr>
        <w:pStyle w:val="SingleTxtG"/>
        <w:numPr>
          <w:ilvl w:val="0"/>
          <w:numId w:val="6"/>
        </w:numPr>
      </w:pPr>
      <w:r w:rsidRPr="00755DE3">
        <w:t xml:space="preserve">People-first PPPs should advocate the implementation of industrial symbiosis solutions, that aim at maximum recycling/composting of resources, and maximum </w:t>
      </w:r>
      <w:r w:rsidRPr="00755DE3">
        <w:rPr>
          <w:iCs/>
        </w:rPr>
        <w:t>energy recovery from the residual fraction</w:t>
      </w:r>
      <w:r w:rsidR="001F0611" w:rsidRPr="00755DE3">
        <w:rPr>
          <w:iCs/>
        </w:rPr>
        <w:t>, by using the waste from one process as raw materials for another.</w:t>
      </w:r>
    </w:p>
    <w:p w14:paraId="241E1200" w14:textId="0FF08F88" w:rsidR="007D0F2C" w:rsidRPr="00755DE3" w:rsidRDefault="007D0F2C" w:rsidP="008F5446">
      <w:pPr>
        <w:pStyle w:val="SingleTxtG"/>
        <w:numPr>
          <w:ilvl w:val="0"/>
          <w:numId w:val="6"/>
        </w:numPr>
      </w:pPr>
      <w:r w:rsidRPr="00755DE3">
        <w:t xml:space="preserve">People-first </w:t>
      </w:r>
      <w:r w:rsidR="005210AE" w:rsidRPr="00755DE3">
        <w:t>WtE</w:t>
      </w:r>
      <w:r w:rsidR="000B00CF" w:rsidRPr="00755DE3">
        <w:t xml:space="preserve"> </w:t>
      </w:r>
      <w:r w:rsidRPr="00755DE3">
        <w:t xml:space="preserve">PPPs should address the so-called </w:t>
      </w:r>
      <w:r w:rsidR="00244C51" w:rsidRPr="00755DE3">
        <w:t>“</w:t>
      </w:r>
      <w:r w:rsidRPr="00755DE3">
        <w:t>residual</w:t>
      </w:r>
      <w:r w:rsidR="00244C51" w:rsidRPr="00755DE3">
        <w:t>”</w:t>
      </w:r>
      <w:r w:rsidRPr="00755DE3">
        <w:t xml:space="preserve"> fraction of waste which is waste of poor quality</w:t>
      </w:r>
      <w:r w:rsidR="0088221A" w:rsidRPr="00755DE3">
        <w:t xml:space="preserve">. </w:t>
      </w:r>
      <w:r w:rsidRPr="00755DE3">
        <w:t>This prevents the recycling cycle from be</w:t>
      </w:r>
      <w:r w:rsidR="00266FAF" w:rsidRPr="00755DE3">
        <w:t>ing</w:t>
      </w:r>
      <w:r w:rsidRPr="00755DE3">
        <w:t xml:space="preserve"> contaminated with polluted products. </w:t>
      </w:r>
    </w:p>
    <w:p w14:paraId="1D79173C" w14:textId="0058D10B" w:rsidR="00B0334C" w:rsidRPr="00755DE3" w:rsidRDefault="00DF6727" w:rsidP="008F5446">
      <w:pPr>
        <w:pStyle w:val="SingleTxtG"/>
        <w:numPr>
          <w:ilvl w:val="0"/>
          <w:numId w:val="6"/>
        </w:numPr>
      </w:pPr>
      <w:r w:rsidRPr="00755DE3">
        <w:t xml:space="preserve">People-first </w:t>
      </w:r>
      <w:r w:rsidR="005210AE" w:rsidRPr="00755DE3">
        <w:t>WtE</w:t>
      </w:r>
      <w:r w:rsidR="00B0334C" w:rsidRPr="00755DE3">
        <w:t xml:space="preserve"> projects should create renewable energy out of </w:t>
      </w:r>
      <w:r w:rsidR="005370D4" w:rsidRPr="00755DE3">
        <w:t xml:space="preserve">the </w:t>
      </w:r>
      <w:r w:rsidR="00B0334C" w:rsidRPr="00755DE3">
        <w:t>biodegradable fraction of wastes in the WtE process</w:t>
      </w:r>
      <w:r w:rsidR="00BF46F5" w:rsidRPr="00755DE3">
        <w:t xml:space="preserve">. </w:t>
      </w:r>
    </w:p>
    <w:p w14:paraId="3BBC127D" w14:textId="0E0BA704" w:rsidR="004520B7" w:rsidRPr="00755DE3" w:rsidRDefault="007D0F2C" w:rsidP="008F5446">
      <w:pPr>
        <w:pStyle w:val="SingleTxtG"/>
        <w:numPr>
          <w:ilvl w:val="0"/>
          <w:numId w:val="6"/>
        </w:numPr>
      </w:pPr>
      <w:r w:rsidRPr="00755DE3">
        <w:t xml:space="preserve">People-first </w:t>
      </w:r>
      <w:r w:rsidR="005210AE" w:rsidRPr="00755DE3">
        <w:t>WtE</w:t>
      </w:r>
      <w:r w:rsidR="00BD0B8F" w:rsidRPr="00755DE3">
        <w:t xml:space="preserve"> </w:t>
      </w:r>
      <w:r w:rsidRPr="00755DE3">
        <w:t xml:space="preserve">PPPs should </w:t>
      </w:r>
      <w:r w:rsidR="00B6538F">
        <w:t xml:space="preserve">ensure </w:t>
      </w:r>
      <w:r w:rsidRPr="00755DE3">
        <w:t xml:space="preserve">that the bottom ashes from incineration are turned into real valuable products </w:t>
      </w:r>
      <w:r w:rsidR="00107AFA" w:rsidRPr="00755DE3">
        <w:t>with</w:t>
      </w:r>
      <w:r w:rsidR="00567775" w:rsidRPr="00755DE3">
        <w:t xml:space="preserve"> the recovery of metals</w:t>
      </w:r>
      <w:r w:rsidRPr="00755DE3">
        <w:t xml:space="preserve"> as well as for construction purposes, roads and bridges etc.</w:t>
      </w:r>
      <w:r w:rsidR="006A15BC" w:rsidRPr="00755DE3">
        <w:t xml:space="preserve"> </w:t>
      </w:r>
      <w:r w:rsidR="004520B7" w:rsidRPr="00755DE3">
        <w:t xml:space="preserve">People-first PPPs should ensure that the fly ashes from incineration are disposed of in a sustainable and safe manner. </w:t>
      </w:r>
    </w:p>
    <w:p w14:paraId="3C16746A" w14:textId="6490E41E" w:rsidR="00BD767C" w:rsidRPr="00755DE3" w:rsidRDefault="00BD767C" w:rsidP="00BD767C">
      <w:pPr>
        <w:pStyle w:val="SingleTxtG"/>
        <w:tabs>
          <w:tab w:val="left" w:pos="1504"/>
        </w:tabs>
        <w:rPr>
          <w:b/>
          <w:bC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D6AFD" w:rsidRPr="00755DE3" w14:paraId="2CA85801" w14:textId="77777777" w:rsidTr="00191B9C">
        <w:trPr>
          <w:trHeight w:hRule="exact" w:val="576"/>
          <w:jc w:val="center"/>
        </w:trPr>
        <w:tc>
          <w:tcPr>
            <w:tcW w:w="7654" w:type="dxa"/>
            <w:tcBorders>
              <w:top w:val="single" w:sz="4" w:space="0" w:color="auto"/>
            </w:tcBorders>
            <w:shd w:val="clear" w:color="auto" w:fill="auto"/>
          </w:tcPr>
          <w:p w14:paraId="0E0D3B4B" w14:textId="44ACD853" w:rsidR="006D6AFD" w:rsidRPr="00755DE3" w:rsidRDefault="006D6AFD" w:rsidP="00191B9C">
            <w:pPr>
              <w:spacing w:line="240" w:lineRule="auto"/>
            </w:pPr>
            <w:r w:rsidRPr="00755DE3">
              <w:rPr>
                <w:b/>
                <w:bCs/>
              </w:rPr>
              <w:t xml:space="preserve">Box </w:t>
            </w:r>
            <w:r w:rsidR="00A20165">
              <w:rPr>
                <w:b/>
                <w:bCs/>
              </w:rPr>
              <w:t>2</w:t>
            </w:r>
            <w:r w:rsidRPr="00755DE3">
              <w:rPr>
                <w:b/>
                <w:bCs/>
              </w:rPr>
              <w:t xml:space="preserve">. </w:t>
            </w:r>
            <w:r w:rsidR="003A3081" w:rsidRPr="00755DE3">
              <w:rPr>
                <w:b/>
                <w:bCs/>
              </w:rPr>
              <w:t>A circular economy does not</w:t>
            </w:r>
            <w:r w:rsidR="00191B9C" w:rsidRPr="00755DE3">
              <w:rPr>
                <w:b/>
                <w:bCs/>
              </w:rPr>
              <w:t xml:space="preserve"> </w:t>
            </w:r>
            <w:r w:rsidR="003A3081" w:rsidRPr="00755DE3">
              <w:rPr>
                <w:b/>
                <w:bCs/>
              </w:rPr>
              <w:t>mean maintaining all materials</w:t>
            </w:r>
            <w:r w:rsidR="00191B9C" w:rsidRPr="00755DE3">
              <w:rPr>
                <w:b/>
                <w:bCs/>
              </w:rPr>
              <w:t xml:space="preserve"> </w:t>
            </w:r>
            <w:r w:rsidR="003A3081" w:rsidRPr="00755DE3">
              <w:rPr>
                <w:b/>
                <w:bCs/>
              </w:rPr>
              <w:t>in circulation at all costs</w:t>
            </w:r>
          </w:p>
        </w:tc>
      </w:tr>
      <w:tr w:rsidR="006D6AFD" w:rsidRPr="00755DE3" w14:paraId="432183E9" w14:textId="77777777" w:rsidTr="00FF6A4A">
        <w:trPr>
          <w:jc w:val="center"/>
        </w:trPr>
        <w:tc>
          <w:tcPr>
            <w:tcW w:w="7654" w:type="dxa"/>
            <w:tcBorders>
              <w:bottom w:val="nil"/>
            </w:tcBorders>
            <w:shd w:val="clear" w:color="auto" w:fill="auto"/>
            <w:tcMar>
              <w:left w:w="142" w:type="dxa"/>
              <w:right w:w="142" w:type="dxa"/>
            </w:tcMar>
          </w:tcPr>
          <w:p w14:paraId="3FFE9FC0" w14:textId="77777777" w:rsidR="006D6AFD" w:rsidRDefault="00191B9C" w:rsidP="00191B9C">
            <w:pPr>
              <w:pStyle w:val="SingleTxtG"/>
              <w:ind w:left="70" w:right="160"/>
            </w:pPr>
            <w:r w:rsidRPr="00755DE3">
              <w:t xml:space="preserve">Bisphenol A – an endocrine disruptor and reproductive toxic substance – is used as a colour developer in thermal paper, which is for example used for sale receipts. Since thermal paper is typically recycled, it contaminates other paper products and, therefore, hampers the whole recycling chain. Through its long-standing role in </w:t>
            </w:r>
            <w:r w:rsidR="0024546B" w:rsidRPr="00755DE3">
              <w:t>decontami</w:t>
            </w:r>
            <w:r w:rsidR="004F37C0" w:rsidRPr="00755DE3">
              <w:t>nating</w:t>
            </w:r>
            <w:r w:rsidRPr="00755DE3">
              <w:t xml:space="preserve"> the waste, </w:t>
            </w:r>
            <w:r w:rsidR="00381859" w:rsidRPr="00755DE3">
              <w:t>Waste-to-Energy</w:t>
            </w:r>
            <w:r w:rsidRPr="00755DE3">
              <w:t xml:space="preserve"> prevents such contaminations, thus contributing to high quality recycling.</w:t>
            </w:r>
          </w:p>
          <w:p w14:paraId="55373CBA" w14:textId="37FF6D99" w:rsidR="00B70C3C" w:rsidRPr="00755DE3" w:rsidRDefault="00B70C3C" w:rsidP="00191B9C">
            <w:pPr>
              <w:pStyle w:val="SingleTxtG"/>
              <w:ind w:left="70" w:right="160"/>
            </w:pPr>
            <w:r w:rsidRPr="00B70C3C">
              <w:t xml:space="preserve">Source: </w:t>
            </w:r>
            <w:r w:rsidR="006040DD" w:rsidRPr="006040DD">
              <w:t>Waste-to-Energy 2050: clean technologies for sustainable waste management</w:t>
            </w:r>
            <w:r w:rsidR="008568F7">
              <w:t>, European Suppliers of Waste-to-Energy Technology (E</w:t>
            </w:r>
            <w:r w:rsidR="00E52F53">
              <w:t xml:space="preserve">SWET), </w:t>
            </w:r>
            <w:r w:rsidR="00B42F29">
              <w:t>2019.</w:t>
            </w:r>
          </w:p>
        </w:tc>
      </w:tr>
      <w:tr w:rsidR="006D6AFD" w:rsidRPr="00755DE3" w14:paraId="437B8B81" w14:textId="77777777" w:rsidTr="00FF6A4A">
        <w:trPr>
          <w:trHeight w:hRule="exact" w:val="20"/>
          <w:jc w:val="center"/>
        </w:trPr>
        <w:tc>
          <w:tcPr>
            <w:tcW w:w="7654" w:type="dxa"/>
            <w:tcBorders>
              <w:bottom w:val="single" w:sz="4" w:space="0" w:color="auto"/>
            </w:tcBorders>
            <w:shd w:val="clear" w:color="auto" w:fill="auto"/>
          </w:tcPr>
          <w:p w14:paraId="77CE6166" w14:textId="77777777" w:rsidR="006D6AFD" w:rsidRPr="00755DE3" w:rsidRDefault="006D6AFD" w:rsidP="00FF6A4A">
            <w:pPr>
              <w:spacing w:line="240" w:lineRule="auto"/>
            </w:pPr>
          </w:p>
        </w:tc>
      </w:tr>
    </w:tbl>
    <w:p w14:paraId="3FE3E782" w14:textId="227C7EB3" w:rsidR="007D0F2C" w:rsidRPr="00755DE3" w:rsidRDefault="007D0F2C" w:rsidP="00BD767C">
      <w:pPr>
        <w:pStyle w:val="SingleTxtG"/>
        <w:tabs>
          <w:tab w:val="left" w:pos="1504"/>
        </w:tabs>
        <w:rPr>
          <w:b/>
          <w:bCs/>
        </w:rPr>
      </w:pPr>
    </w:p>
    <w:p w14:paraId="25353E92" w14:textId="6F808EC2" w:rsidR="007D0F2C" w:rsidRPr="00755DE3" w:rsidRDefault="007D0F2C" w:rsidP="001E49E6">
      <w:pPr>
        <w:pStyle w:val="H23G"/>
        <w:numPr>
          <w:ilvl w:val="0"/>
          <w:numId w:val="26"/>
        </w:numPr>
        <w:ind w:hanging="441"/>
        <w:outlineLvl w:val="9"/>
      </w:pPr>
      <w:r w:rsidRPr="00755DE3">
        <w:t xml:space="preserve">Technology and capacity building </w:t>
      </w:r>
    </w:p>
    <w:p w14:paraId="06AE2070" w14:textId="77777777" w:rsidR="007D0F2C" w:rsidRPr="00755DE3" w:rsidRDefault="007D0F2C" w:rsidP="007D0F2C">
      <w:pPr>
        <w:pStyle w:val="SingleTxtG"/>
        <w:tabs>
          <w:tab w:val="left" w:pos="1504"/>
        </w:tabs>
        <w:rPr>
          <w:u w:val="single"/>
        </w:rPr>
      </w:pPr>
      <w:r w:rsidRPr="00755DE3">
        <w:rPr>
          <w:u w:val="single"/>
        </w:rPr>
        <w:t xml:space="preserve">Challenge </w:t>
      </w:r>
    </w:p>
    <w:p w14:paraId="611F2168" w14:textId="4FA3BB60" w:rsidR="007D0F2C" w:rsidRPr="00755DE3" w:rsidRDefault="007D0F2C" w:rsidP="007D0F2C">
      <w:pPr>
        <w:pStyle w:val="SingleTxtG"/>
        <w:tabs>
          <w:tab w:val="left" w:pos="1504"/>
        </w:tabs>
      </w:pPr>
      <w:r w:rsidRPr="00755DE3">
        <w:t xml:space="preserve">Many projects in the WtE industry are often outdated and utilise technologies that are polluting and cancer inducing. Combustion technologies can lead to a dangerous level of </w:t>
      </w:r>
      <w:r w:rsidR="00605D53" w:rsidRPr="00755DE3">
        <w:t>CO</w:t>
      </w:r>
      <w:r w:rsidR="00605D53" w:rsidRPr="00755DE3">
        <w:rPr>
          <w:vertAlign w:val="subscript"/>
        </w:rPr>
        <w:t>2</w:t>
      </w:r>
      <w:r w:rsidR="00605D53" w:rsidRPr="00755DE3">
        <w:t xml:space="preserve"> equivalent</w:t>
      </w:r>
      <w:r w:rsidRPr="00755DE3">
        <w:t xml:space="preserve"> emissions. Accordingly, the challenge is to </w:t>
      </w:r>
      <w:r w:rsidR="00EA1542">
        <w:t xml:space="preserve">encourage the use of </w:t>
      </w:r>
      <w:r w:rsidRPr="00755DE3">
        <w:t xml:space="preserve">more appropriate </w:t>
      </w:r>
      <w:r w:rsidRPr="00755DE3">
        <w:lastRenderedPageBreak/>
        <w:t xml:space="preserve">and advanced technologies that are both expensive and require skills that are not available in many countries. </w:t>
      </w:r>
    </w:p>
    <w:p w14:paraId="5D7A7BD9" w14:textId="018CEB26" w:rsidR="005871E8" w:rsidRPr="00755DE3" w:rsidRDefault="00F2190A" w:rsidP="005871E8">
      <w:pPr>
        <w:pStyle w:val="SingleTxtG"/>
        <w:tabs>
          <w:tab w:val="left" w:pos="1504"/>
        </w:tabs>
        <w:rPr>
          <w:u w:val="single"/>
        </w:rPr>
      </w:pPr>
      <w:r>
        <w:rPr>
          <w:u w:val="single"/>
        </w:rPr>
        <w:t>Option</w:t>
      </w:r>
      <w:r w:rsidR="007D0F2C" w:rsidRPr="00755DE3">
        <w:rPr>
          <w:u w:val="single"/>
        </w:rPr>
        <w:t xml:space="preserve"> 3</w:t>
      </w:r>
      <w:r w:rsidR="006D2C7D">
        <w:rPr>
          <w:u w:val="single"/>
        </w:rPr>
        <w:t>:</w:t>
      </w:r>
      <w:r w:rsidR="006D2C7D" w:rsidRPr="00166633">
        <w:t xml:space="preserve"> </w:t>
      </w:r>
      <w:r w:rsidR="006D2C7D" w:rsidRPr="00755DE3">
        <w:t xml:space="preserve">Select suitable technologies </w:t>
      </w:r>
      <w:r w:rsidR="00166633">
        <w:t>that are innovative and less polluting</w:t>
      </w:r>
      <w:r w:rsidR="00B91D76">
        <w:t>.</w:t>
      </w:r>
    </w:p>
    <w:p w14:paraId="0BA3A033" w14:textId="5A933C3B" w:rsidR="007D0F2C" w:rsidRPr="00B6538F" w:rsidRDefault="00FF787A" w:rsidP="005871E8">
      <w:pPr>
        <w:pStyle w:val="SingleTxtG"/>
        <w:tabs>
          <w:tab w:val="left" w:pos="1504"/>
        </w:tabs>
        <w:rPr>
          <w:u w:val="single"/>
        </w:rPr>
      </w:pPr>
      <w:r w:rsidRPr="00CC7582">
        <w:t xml:space="preserve">People-first WtE PPPs should adopt the right circular economy enhancing technologies including </w:t>
      </w:r>
      <w:r w:rsidR="00244C51" w:rsidRPr="00CC7582">
        <w:t>“</w:t>
      </w:r>
      <w:r w:rsidRPr="00CC7582">
        <w:t>cleaning</w:t>
      </w:r>
      <w:r w:rsidR="00244C51" w:rsidRPr="00CC7582">
        <w:t>”</w:t>
      </w:r>
      <w:r w:rsidRPr="00CC7582">
        <w:t xml:space="preserve"> the circular process by removing dangerous harmful substances</w:t>
      </w:r>
      <w:r w:rsidR="005D6B8C" w:rsidRPr="00CC7582">
        <w:t xml:space="preserve"> and</w:t>
      </w:r>
      <w:r w:rsidRPr="00CC7582">
        <w:t xml:space="preserve"> help</w:t>
      </w:r>
      <w:r w:rsidR="001624BC" w:rsidRPr="00CC7582">
        <w:t>in</w:t>
      </w:r>
      <w:r w:rsidR="007A0EC2" w:rsidRPr="00CC7582">
        <w:t>g</w:t>
      </w:r>
      <w:r w:rsidRPr="00CC7582">
        <w:t xml:space="preserve"> the local economy with skills development to utilise these technologies.</w:t>
      </w:r>
      <w:r w:rsidR="007D0F2C" w:rsidRPr="00CC7582">
        <w:t xml:space="preserve"> </w:t>
      </w:r>
    </w:p>
    <w:p w14:paraId="1F45869E" w14:textId="5F030ED5" w:rsidR="007D0F2C" w:rsidRPr="00755DE3" w:rsidRDefault="007D0F2C" w:rsidP="007D0F2C">
      <w:pPr>
        <w:pStyle w:val="SingleTxtG"/>
        <w:tabs>
          <w:tab w:val="left" w:pos="1504"/>
        </w:tabs>
        <w:rPr>
          <w:u w:val="single"/>
        </w:rPr>
      </w:pPr>
      <w:r w:rsidRPr="00755DE3">
        <w:rPr>
          <w:u w:val="single"/>
        </w:rPr>
        <w:t xml:space="preserve">Specific </w:t>
      </w:r>
      <w:r w:rsidR="00F2190A">
        <w:rPr>
          <w:u w:val="single"/>
        </w:rPr>
        <w:t>option</w:t>
      </w:r>
      <w:r w:rsidRPr="00755DE3">
        <w:rPr>
          <w:u w:val="single"/>
        </w:rPr>
        <w:t>s</w:t>
      </w:r>
    </w:p>
    <w:p w14:paraId="68DAEB9D" w14:textId="2F7D4F02" w:rsidR="00BF46F5" w:rsidRPr="00755DE3" w:rsidRDefault="00BF46F5" w:rsidP="00AA2535">
      <w:pPr>
        <w:pStyle w:val="SingleTxtG"/>
        <w:numPr>
          <w:ilvl w:val="0"/>
          <w:numId w:val="6"/>
        </w:numPr>
      </w:pPr>
      <w:r w:rsidRPr="00755DE3">
        <w:t xml:space="preserve">People-first WtE PPPs </w:t>
      </w:r>
      <w:r w:rsidR="00AA2535">
        <w:t xml:space="preserve">should </w:t>
      </w:r>
      <w:r w:rsidRPr="00755DE3">
        <w:t xml:space="preserve">operate with sophisticated Air Pollution Control systems, and their emissions must be lower than strict emission standards, such as the Industrial Emissions Directive. </w:t>
      </w:r>
    </w:p>
    <w:p w14:paraId="6B0DF750" w14:textId="1F416E30" w:rsidR="00BF46F5" w:rsidRPr="00755DE3" w:rsidRDefault="00FE6EC0" w:rsidP="008F5446">
      <w:pPr>
        <w:pStyle w:val="SingleTxtG"/>
        <w:numPr>
          <w:ilvl w:val="0"/>
          <w:numId w:val="6"/>
        </w:numPr>
      </w:pPr>
      <w:r w:rsidRPr="00755DE3">
        <w:t>A system of m</w:t>
      </w:r>
      <w:r w:rsidR="007D0F2C" w:rsidRPr="00755DE3">
        <w:t xml:space="preserve">onitoring of emissions from </w:t>
      </w:r>
      <w:r w:rsidR="00E84254" w:rsidRPr="00755DE3">
        <w:t>WtE</w:t>
      </w:r>
      <w:r w:rsidR="007D0F2C" w:rsidRPr="00755DE3">
        <w:t xml:space="preserve"> plants need</w:t>
      </w:r>
      <w:r w:rsidR="002D52CF" w:rsidRPr="00755DE3">
        <w:t>s</w:t>
      </w:r>
      <w:r w:rsidR="007D0F2C" w:rsidRPr="00755DE3">
        <w:t xml:space="preserve"> to be put </w:t>
      </w:r>
      <w:r w:rsidR="002D52CF" w:rsidRPr="00755DE3">
        <w:t xml:space="preserve">in place </w:t>
      </w:r>
      <w:r w:rsidRPr="00755DE3">
        <w:t xml:space="preserve">with </w:t>
      </w:r>
      <w:r w:rsidR="007D0F2C" w:rsidRPr="00755DE3">
        <w:t>centralised registers controlled by the appropriate public environmental agencies</w:t>
      </w:r>
      <w:r w:rsidR="0083777C" w:rsidRPr="00755DE3">
        <w:t>.</w:t>
      </w:r>
    </w:p>
    <w:p w14:paraId="0E668C17" w14:textId="59935F5B" w:rsidR="00C3693D" w:rsidRPr="00755DE3" w:rsidRDefault="007D0F2C" w:rsidP="008F5446">
      <w:pPr>
        <w:pStyle w:val="SingleTxtG"/>
        <w:numPr>
          <w:ilvl w:val="0"/>
          <w:numId w:val="6"/>
        </w:numPr>
      </w:pPr>
      <w:r w:rsidRPr="00755DE3">
        <w:t>Such data and information need to be publicly available</w:t>
      </w:r>
      <w:r w:rsidR="0083777C" w:rsidRPr="00755DE3">
        <w:t>.</w:t>
      </w:r>
    </w:p>
    <w:p w14:paraId="4B41E102" w14:textId="77777777" w:rsidR="00C3693D" w:rsidRPr="00755DE3" w:rsidRDefault="00C3693D" w:rsidP="001E49E6">
      <w:pPr>
        <w:pStyle w:val="H23G"/>
        <w:numPr>
          <w:ilvl w:val="0"/>
          <w:numId w:val="26"/>
        </w:numPr>
        <w:ind w:hanging="441"/>
        <w:outlineLvl w:val="9"/>
      </w:pPr>
      <w:r w:rsidRPr="00755DE3">
        <w:t xml:space="preserve">Fiscal incentives </w:t>
      </w:r>
    </w:p>
    <w:p w14:paraId="3961EE5B" w14:textId="77777777" w:rsidR="00C3693D" w:rsidRPr="00755DE3" w:rsidRDefault="00C3693D" w:rsidP="00C3693D">
      <w:pPr>
        <w:pStyle w:val="SingleTxtG"/>
        <w:tabs>
          <w:tab w:val="left" w:pos="1504"/>
        </w:tabs>
        <w:rPr>
          <w:u w:val="single"/>
        </w:rPr>
      </w:pPr>
      <w:r w:rsidRPr="00755DE3">
        <w:rPr>
          <w:u w:val="single"/>
        </w:rPr>
        <w:t>Challenge</w:t>
      </w:r>
    </w:p>
    <w:p w14:paraId="7D01F0B9" w14:textId="3C8EEE14" w:rsidR="00C3693D" w:rsidRPr="00755DE3" w:rsidRDefault="00C3693D" w:rsidP="00C3693D">
      <w:pPr>
        <w:pStyle w:val="SingleTxtG"/>
        <w:tabs>
          <w:tab w:val="left" w:pos="1504"/>
        </w:tabs>
      </w:pPr>
      <w:r w:rsidRPr="00755DE3">
        <w:t>Tax incentives</w:t>
      </w:r>
      <w:r w:rsidR="0005760C" w:rsidRPr="00755DE3">
        <w:t xml:space="preserve"> </w:t>
      </w:r>
      <w:r w:rsidR="00E13C8D" w:rsidRPr="00755DE3">
        <w:t>and subsidies</w:t>
      </w:r>
      <w:r w:rsidRPr="00755DE3">
        <w:t xml:space="preserve"> are being used to encourage WtE plants that are environmentally harmful for example by support </w:t>
      </w:r>
      <w:r w:rsidR="005370D4" w:rsidRPr="00755DE3">
        <w:t xml:space="preserve">being </w:t>
      </w:r>
      <w:r w:rsidRPr="00755DE3">
        <w:t>given to projects claim</w:t>
      </w:r>
      <w:r w:rsidR="005370D4" w:rsidRPr="00755DE3">
        <w:t>ing</w:t>
      </w:r>
      <w:r w:rsidRPr="00755DE3">
        <w:t xml:space="preserve"> to produce renewable energy when in fact they do not. </w:t>
      </w:r>
    </w:p>
    <w:p w14:paraId="08E9ECD4" w14:textId="5962A066" w:rsidR="005871E8" w:rsidRPr="00AA2535" w:rsidRDefault="00F2190A" w:rsidP="00AA2535">
      <w:pPr>
        <w:pStyle w:val="SingleTxtG"/>
      </w:pPr>
      <w:r>
        <w:rPr>
          <w:u w:val="single"/>
        </w:rPr>
        <w:t>Option</w:t>
      </w:r>
      <w:r w:rsidR="00C3693D" w:rsidRPr="00755DE3">
        <w:rPr>
          <w:u w:val="single"/>
        </w:rPr>
        <w:t xml:space="preserve"> </w:t>
      </w:r>
      <w:r w:rsidR="00026799" w:rsidRPr="00755DE3">
        <w:rPr>
          <w:u w:val="single"/>
        </w:rPr>
        <w:t>4</w:t>
      </w:r>
      <w:r w:rsidR="006D2C7D">
        <w:rPr>
          <w:u w:val="single"/>
        </w:rPr>
        <w:t>:</w:t>
      </w:r>
      <w:r w:rsidR="006D2C7D" w:rsidRPr="008B53D1">
        <w:t xml:space="preserve"> </w:t>
      </w:r>
      <w:r w:rsidR="006D2C7D" w:rsidRPr="00755DE3">
        <w:t>Provide economic incentives and price supports</w:t>
      </w:r>
      <w:r w:rsidR="00B91D76">
        <w:rPr>
          <w:u w:val="single"/>
        </w:rPr>
        <w:t>.</w:t>
      </w:r>
    </w:p>
    <w:p w14:paraId="265012B5" w14:textId="453E7A62" w:rsidR="00C3693D" w:rsidRPr="00755DE3" w:rsidRDefault="00026799" w:rsidP="005871E8">
      <w:pPr>
        <w:pStyle w:val="SingleTxtG"/>
        <w:tabs>
          <w:tab w:val="left" w:pos="1504"/>
        </w:tabs>
        <w:rPr>
          <w:u w:val="single"/>
        </w:rPr>
      </w:pPr>
      <w:r w:rsidRPr="00CC7582">
        <w:t xml:space="preserve">People-first WtE PPPs should benefit from fiscal incentives that encourage </w:t>
      </w:r>
      <w:r w:rsidR="00872E34" w:rsidRPr="00CC7582">
        <w:t>such projects</w:t>
      </w:r>
      <w:r w:rsidRPr="00CC7582">
        <w:t xml:space="preserve"> to adopt </w:t>
      </w:r>
      <w:r w:rsidR="00D77914" w:rsidRPr="00CC7582">
        <w:t>circular economy</w:t>
      </w:r>
      <w:r w:rsidRPr="00CC7582">
        <w:t xml:space="preserve"> </w:t>
      </w:r>
      <w:r w:rsidR="00703CA8" w:rsidRPr="00CC7582">
        <w:t xml:space="preserve">processes </w:t>
      </w:r>
      <w:r w:rsidRPr="00CC7582">
        <w:t>and</w:t>
      </w:r>
      <w:r w:rsidR="00703CA8" w:rsidRPr="00CC7582">
        <w:t xml:space="preserve"> move upwards in the</w:t>
      </w:r>
      <w:r w:rsidRPr="00CC7582">
        <w:t xml:space="preserve"> waste hierarchy</w:t>
      </w:r>
      <w:r w:rsidR="00C3693D" w:rsidRPr="00755DE3">
        <w:rPr>
          <w:i/>
        </w:rPr>
        <w:t>.</w:t>
      </w:r>
    </w:p>
    <w:p w14:paraId="68EA7415" w14:textId="6BB62922" w:rsidR="00C3693D" w:rsidRPr="00755DE3" w:rsidRDefault="00C3693D" w:rsidP="00C3693D">
      <w:pPr>
        <w:pStyle w:val="SingleTxtG"/>
        <w:tabs>
          <w:tab w:val="left" w:pos="1504"/>
        </w:tabs>
        <w:rPr>
          <w:u w:val="single"/>
        </w:rPr>
      </w:pPr>
      <w:r w:rsidRPr="00755DE3">
        <w:rPr>
          <w:u w:val="single"/>
        </w:rPr>
        <w:t xml:space="preserve">Specific </w:t>
      </w:r>
      <w:r w:rsidR="00F2190A">
        <w:rPr>
          <w:u w:val="single"/>
        </w:rPr>
        <w:t>option</w:t>
      </w:r>
      <w:r w:rsidRPr="00755DE3">
        <w:rPr>
          <w:u w:val="single"/>
        </w:rPr>
        <w:t>s</w:t>
      </w:r>
    </w:p>
    <w:p w14:paraId="7DC49B9F" w14:textId="77A0A835" w:rsidR="00C3693D" w:rsidRPr="00755DE3" w:rsidRDefault="00C3693D" w:rsidP="008F5446">
      <w:pPr>
        <w:pStyle w:val="SingleTxtG"/>
        <w:numPr>
          <w:ilvl w:val="0"/>
          <w:numId w:val="6"/>
        </w:numPr>
      </w:pPr>
      <w:r w:rsidRPr="00755DE3">
        <w:t xml:space="preserve">Governments should increase the landfill tax and should consider a credit for WtE for renewable energy production, e.g. feed in tariffs or the issuance of tradable green certificate with a guaranteed minimum market value for capacity installed. </w:t>
      </w:r>
    </w:p>
    <w:p w14:paraId="23290AE5" w14:textId="33B97E36" w:rsidR="0005760C" w:rsidRPr="00755DE3" w:rsidRDefault="0005760C" w:rsidP="008F5446">
      <w:pPr>
        <w:pStyle w:val="SingleTxtG"/>
        <w:numPr>
          <w:ilvl w:val="0"/>
          <w:numId w:val="6"/>
        </w:numPr>
      </w:pPr>
      <w:r w:rsidRPr="00755DE3">
        <w:t xml:space="preserve">Results-based financing, e.g. environmental impact bonds, should be considered to address the construction, operation, and counterparty risks in </w:t>
      </w:r>
      <w:r w:rsidR="005210AE" w:rsidRPr="00755DE3">
        <w:t>WtE</w:t>
      </w:r>
      <w:r w:rsidRPr="00755DE3">
        <w:t xml:space="preserve"> investments</w:t>
      </w:r>
      <w:r w:rsidR="00A51B58" w:rsidRPr="00755DE3">
        <w:t>.</w:t>
      </w:r>
    </w:p>
    <w:p w14:paraId="7259BCFE" w14:textId="03A0BF22" w:rsidR="007D0F2C" w:rsidRPr="00755DE3" w:rsidRDefault="007D0F2C" w:rsidP="001E49E6">
      <w:pPr>
        <w:pStyle w:val="H23G"/>
        <w:numPr>
          <w:ilvl w:val="0"/>
          <w:numId w:val="26"/>
        </w:numPr>
        <w:ind w:hanging="441"/>
        <w:outlineLvl w:val="9"/>
      </w:pPr>
      <w:r w:rsidRPr="00755DE3">
        <w:t xml:space="preserve">Partnering and partnerships </w:t>
      </w:r>
    </w:p>
    <w:p w14:paraId="77B44120" w14:textId="77777777" w:rsidR="007D0F2C" w:rsidRPr="00755DE3" w:rsidRDefault="007D0F2C" w:rsidP="007D0F2C">
      <w:pPr>
        <w:pStyle w:val="SingleTxtG"/>
        <w:tabs>
          <w:tab w:val="left" w:pos="1504"/>
        </w:tabs>
        <w:rPr>
          <w:u w:val="single"/>
        </w:rPr>
      </w:pPr>
      <w:r w:rsidRPr="00755DE3">
        <w:rPr>
          <w:u w:val="single"/>
        </w:rPr>
        <w:t>Challenge</w:t>
      </w:r>
    </w:p>
    <w:p w14:paraId="59335558" w14:textId="77777777" w:rsidR="007D0F2C" w:rsidRPr="00755DE3" w:rsidRDefault="007D0F2C" w:rsidP="007D0F2C">
      <w:pPr>
        <w:pStyle w:val="SingleTxtG"/>
        <w:tabs>
          <w:tab w:val="left" w:pos="1504"/>
        </w:tabs>
      </w:pPr>
      <w:r w:rsidRPr="00755DE3">
        <w:t xml:space="preserve">Partnership can bring countries financial resources, technology and management skills but countries often lack the knowledge of the track record of good international partners with these attributes. </w:t>
      </w:r>
    </w:p>
    <w:p w14:paraId="215E0064" w14:textId="1F501D33" w:rsidR="007D0F2C" w:rsidRPr="00755DE3" w:rsidRDefault="00F2190A" w:rsidP="007D0F2C">
      <w:pPr>
        <w:pStyle w:val="SingleTxtG"/>
        <w:tabs>
          <w:tab w:val="left" w:pos="1504"/>
        </w:tabs>
        <w:rPr>
          <w:u w:val="single"/>
        </w:rPr>
      </w:pPr>
      <w:r>
        <w:rPr>
          <w:u w:val="single"/>
        </w:rPr>
        <w:t>Option</w:t>
      </w:r>
      <w:r w:rsidR="007D0F2C" w:rsidRPr="00755DE3">
        <w:rPr>
          <w:u w:val="single"/>
        </w:rPr>
        <w:t xml:space="preserve"> </w:t>
      </w:r>
      <w:r w:rsidR="0091652F" w:rsidRPr="00755DE3">
        <w:rPr>
          <w:u w:val="single"/>
        </w:rPr>
        <w:t>5</w:t>
      </w:r>
      <w:r w:rsidR="004F040D">
        <w:rPr>
          <w:u w:val="single"/>
        </w:rPr>
        <w:t>:</w:t>
      </w:r>
      <w:r w:rsidR="004F040D" w:rsidRPr="008B53D1">
        <w:t xml:space="preserve"> </w:t>
      </w:r>
      <w:r w:rsidR="00BC52E8">
        <w:t xml:space="preserve">Identify good partners and monitor </w:t>
      </w:r>
      <w:r w:rsidR="002C48E0">
        <w:t xml:space="preserve">the </w:t>
      </w:r>
      <w:r w:rsidR="00BC52E8">
        <w:t xml:space="preserve">performance </w:t>
      </w:r>
      <w:r w:rsidR="002C48E0">
        <w:t>of such partnerships</w:t>
      </w:r>
      <w:r w:rsidR="00B91D76">
        <w:t>.</w:t>
      </w:r>
    </w:p>
    <w:p w14:paraId="2E41B3A0" w14:textId="58443E50" w:rsidR="007D0F2C" w:rsidRPr="00CC7582" w:rsidRDefault="00517645" w:rsidP="005871E8">
      <w:pPr>
        <w:pStyle w:val="SingleTxtG"/>
        <w:tabs>
          <w:tab w:val="left" w:pos="1504"/>
        </w:tabs>
      </w:pPr>
      <w:r w:rsidRPr="00CC7582">
        <w:t xml:space="preserve">People-first WtE PPPs should partner only with enterprises that display WtE technologies compatible with </w:t>
      </w:r>
      <w:r w:rsidR="00D77914" w:rsidRPr="00CC7582">
        <w:t>circular economy</w:t>
      </w:r>
      <w:r w:rsidRPr="00CC7582">
        <w:t xml:space="preserve"> processes</w:t>
      </w:r>
      <w:r w:rsidR="007D0F2C" w:rsidRPr="00CC7582">
        <w:t>.</w:t>
      </w:r>
      <w:r w:rsidR="0034712F" w:rsidRPr="00CC7582">
        <w:t xml:space="preserve"> </w:t>
      </w:r>
    </w:p>
    <w:p w14:paraId="2994DCEA" w14:textId="7476C6C1" w:rsidR="007D0F2C" w:rsidRPr="00755DE3" w:rsidRDefault="007D0F2C" w:rsidP="007D0F2C">
      <w:pPr>
        <w:pStyle w:val="SingleTxtG"/>
        <w:tabs>
          <w:tab w:val="left" w:pos="1504"/>
        </w:tabs>
        <w:rPr>
          <w:u w:val="single"/>
        </w:rPr>
      </w:pPr>
      <w:r w:rsidRPr="00755DE3">
        <w:rPr>
          <w:u w:val="single"/>
        </w:rPr>
        <w:t xml:space="preserve">Specific </w:t>
      </w:r>
      <w:r w:rsidR="00F2190A">
        <w:rPr>
          <w:u w:val="single"/>
        </w:rPr>
        <w:t>option</w:t>
      </w:r>
      <w:r w:rsidRPr="00755DE3">
        <w:rPr>
          <w:u w:val="single"/>
        </w:rPr>
        <w:t>s</w:t>
      </w:r>
    </w:p>
    <w:p w14:paraId="45CC94F7" w14:textId="661E435D" w:rsidR="007D0F2C" w:rsidRPr="00755DE3" w:rsidRDefault="007D0F2C" w:rsidP="008F5446">
      <w:pPr>
        <w:pStyle w:val="SingleTxtG"/>
        <w:numPr>
          <w:ilvl w:val="0"/>
          <w:numId w:val="6"/>
        </w:numPr>
      </w:pPr>
      <w:r w:rsidRPr="00755DE3">
        <w:t xml:space="preserve">Governments should use all means available to help companies roll out their innovative technological solutions beyond their borders especially to the </w:t>
      </w:r>
      <w:r w:rsidR="00DC0AD1" w:rsidRPr="00755DE3">
        <w:t xml:space="preserve">low- and middle-income countries </w:t>
      </w:r>
      <w:r w:rsidRPr="00755DE3">
        <w:t>which lack such technologies. Such promotion can have beneficial outcomes on lowering emissions in such countries which predominantly use landfills.</w:t>
      </w:r>
    </w:p>
    <w:p w14:paraId="320B33E2" w14:textId="71EF3040" w:rsidR="0076553A" w:rsidRPr="00755DE3" w:rsidRDefault="0076553A" w:rsidP="008F5446">
      <w:pPr>
        <w:pStyle w:val="SingleTxtG"/>
        <w:numPr>
          <w:ilvl w:val="0"/>
          <w:numId w:val="6"/>
        </w:numPr>
      </w:pPr>
      <w:r w:rsidRPr="00755DE3">
        <w:t>Investment promotion agencies (IPAs) should identify opportunities and ways to use foreign direct investment (FDI) to green their economies</w:t>
      </w:r>
      <w:r w:rsidR="005370D4" w:rsidRPr="00755DE3">
        <w:t xml:space="preserve"> and give greater </w:t>
      </w:r>
      <w:r w:rsidRPr="00755DE3">
        <w:lastRenderedPageBreak/>
        <w:t xml:space="preserve">visibility </w:t>
      </w:r>
      <w:r w:rsidR="005370D4" w:rsidRPr="00755DE3">
        <w:t>to</w:t>
      </w:r>
      <w:r w:rsidRPr="00755DE3">
        <w:t xml:space="preserve"> green investment opportunities </w:t>
      </w:r>
      <w:r w:rsidR="005370D4" w:rsidRPr="00755DE3">
        <w:t xml:space="preserve">e.g. </w:t>
      </w:r>
      <w:r w:rsidRPr="00755DE3">
        <w:t>through successful pilot projects and the preparation of pipelines of bankable projects</w:t>
      </w:r>
      <w:r w:rsidR="00352FDC" w:rsidRPr="00755DE3">
        <w:t>.</w:t>
      </w:r>
      <w:r w:rsidR="001A289C" w:rsidRPr="00755DE3">
        <w:rPr>
          <w:rStyle w:val="FootnoteReference"/>
        </w:rPr>
        <w:footnoteReference w:id="32"/>
      </w:r>
    </w:p>
    <w:p w14:paraId="547B9FB2" w14:textId="11165169" w:rsidR="007D0F2C" w:rsidRPr="00755DE3" w:rsidRDefault="00724DA4" w:rsidP="001E49E6">
      <w:pPr>
        <w:pStyle w:val="H23G"/>
        <w:numPr>
          <w:ilvl w:val="0"/>
          <w:numId w:val="26"/>
        </w:numPr>
        <w:ind w:hanging="441"/>
        <w:outlineLvl w:val="9"/>
      </w:pPr>
      <w:r w:rsidRPr="00755DE3">
        <w:t>Public p</w:t>
      </w:r>
      <w:r w:rsidR="007D0F2C" w:rsidRPr="00755DE3">
        <w:t>rocurement</w:t>
      </w:r>
      <w:r w:rsidRPr="00755DE3">
        <w:t>s</w:t>
      </w:r>
      <w:r w:rsidR="007D0F2C" w:rsidRPr="00755DE3">
        <w:t xml:space="preserve"> and good governance</w:t>
      </w:r>
    </w:p>
    <w:p w14:paraId="25AA52F2" w14:textId="77777777" w:rsidR="007D0F2C" w:rsidRPr="00755DE3" w:rsidRDefault="007D0F2C" w:rsidP="007D0F2C">
      <w:pPr>
        <w:pStyle w:val="SingleTxtG"/>
        <w:tabs>
          <w:tab w:val="left" w:pos="1504"/>
        </w:tabs>
        <w:rPr>
          <w:u w:val="single"/>
        </w:rPr>
      </w:pPr>
      <w:r w:rsidRPr="00755DE3">
        <w:rPr>
          <w:u w:val="single"/>
        </w:rPr>
        <w:t>Challenge</w:t>
      </w:r>
    </w:p>
    <w:p w14:paraId="123CDB3E" w14:textId="77777777" w:rsidR="007D0F2C" w:rsidRPr="00755DE3" w:rsidRDefault="007D0F2C" w:rsidP="007D0F2C">
      <w:pPr>
        <w:pStyle w:val="SingleTxtG"/>
        <w:tabs>
          <w:tab w:val="left" w:pos="1504"/>
        </w:tabs>
      </w:pPr>
      <w:r w:rsidRPr="00755DE3">
        <w:t>Many countries lack proper procurement regulatory frameworks that can lead to a lack of transparency and poor governance.</w:t>
      </w:r>
    </w:p>
    <w:p w14:paraId="43B39E62" w14:textId="3A09A6C8" w:rsidR="007D0F2C" w:rsidRPr="00755DE3" w:rsidRDefault="00F2190A" w:rsidP="007D0F2C">
      <w:pPr>
        <w:pStyle w:val="SingleTxtG"/>
        <w:tabs>
          <w:tab w:val="left" w:pos="1504"/>
        </w:tabs>
        <w:rPr>
          <w:u w:val="single"/>
        </w:rPr>
      </w:pPr>
      <w:r>
        <w:rPr>
          <w:u w:val="single"/>
        </w:rPr>
        <w:t>Option</w:t>
      </w:r>
      <w:r w:rsidR="007D0F2C" w:rsidRPr="00755DE3">
        <w:rPr>
          <w:u w:val="single"/>
        </w:rPr>
        <w:t xml:space="preserve"> </w:t>
      </w:r>
      <w:r w:rsidR="000460DD" w:rsidRPr="00755DE3">
        <w:rPr>
          <w:u w:val="single"/>
        </w:rPr>
        <w:t>6</w:t>
      </w:r>
      <w:r w:rsidR="00CC7582">
        <w:rPr>
          <w:u w:val="single"/>
        </w:rPr>
        <w:t>:</w:t>
      </w:r>
      <w:r w:rsidR="00CC7582" w:rsidRPr="003F42E0">
        <w:t xml:space="preserve"> </w:t>
      </w:r>
      <w:r w:rsidR="00CC7582" w:rsidRPr="00755DE3">
        <w:t>Establish transparent and open procurement processes and the adoption of a zero-tolerance approach to corruption in public procurement</w:t>
      </w:r>
      <w:r w:rsidR="00B91D76">
        <w:t>.</w:t>
      </w:r>
    </w:p>
    <w:p w14:paraId="5CCFECAB" w14:textId="1CE397EA" w:rsidR="007D0F2C" w:rsidRPr="00CC7582" w:rsidRDefault="0057266F" w:rsidP="005871E8">
      <w:pPr>
        <w:pStyle w:val="SingleTxtG"/>
        <w:tabs>
          <w:tab w:val="left" w:pos="1504"/>
        </w:tabs>
      </w:pPr>
      <w:r w:rsidRPr="00CC7582">
        <w:t xml:space="preserve">People-first WtE PPPs </w:t>
      </w:r>
      <w:r w:rsidR="006D2C7D" w:rsidRPr="00CC7582">
        <w:t xml:space="preserve">should </w:t>
      </w:r>
      <w:r w:rsidRPr="00CC7582">
        <w:t xml:space="preserve">participate in open, competitive procurements and be selected on the basis of their commitment to </w:t>
      </w:r>
      <w:r w:rsidR="00D77914" w:rsidRPr="00CC7582">
        <w:t>circular economy</w:t>
      </w:r>
      <w:r w:rsidRPr="00CC7582">
        <w:t xml:space="preserve"> values and processes, their track record and their own commitment and rigorous endorsement of a zero-tolerance approach to corruption</w:t>
      </w:r>
      <w:r w:rsidR="007D0F2C" w:rsidRPr="00CC7582">
        <w:t>.</w:t>
      </w:r>
    </w:p>
    <w:p w14:paraId="2FB73882" w14:textId="1EB9B787" w:rsidR="007D0F2C" w:rsidRPr="00755DE3" w:rsidRDefault="007D0F2C" w:rsidP="007D0F2C">
      <w:pPr>
        <w:pStyle w:val="SingleTxtG"/>
        <w:tabs>
          <w:tab w:val="left" w:pos="1504"/>
        </w:tabs>
        <w:rPr>
          <w:u w:val="single"/>
        </w:rPr>
      </w:pPr>
      <w:r w:rsidRPr="00755DE3">
        <w:rPr>
          <w:u w:val="single"/>
        </w:rPr>
        <w:t xml:space="preserve">Specific </w:t>
      </w:r>
      <w:r w:rsidR="00F2190A">
        <w:rPr>
          <w:u w:val="single"/>
        </w:rPr>
        <w:t>option</w:t>
      </w:r>
      <w:r w:rsidRPr="00755DE3">
        <w:rPr>
          <w:u w:val="single"/>
        </w:rPr>
        <w:t>s</w:t>
      </w:r>
    </w:p>
    <w:p w14:paraId="22FFABA5" w14:textId="77777777" w:rsidR="007D0F2C" w:rsidRPr="00755DE3" w:rsidRDefault="007D0F2C" w:rsidP="008F5446">
      <w:pPr>
        <w:pStyle w:val="SingleTxtG"/>
        <w:numPr>
          <w:ilvl w:val="0"/>
          <w:numId w:val="6"/>
        </w:numPr>
      </w:pPr>
      <w:r w:rsidRPr="00755DE3">
        <w:t>Critical for the improvement of projects and their impact on society and the environment are transparent and open procurement processes and the adoption of a zero-tolerance approach to corruption in public procurement.</w:t>
      </w:r>
    </w:p>
    <w:p w14:paraId="4568994E" w14:textId="1F8D5706" w:rsidR="007D0F2C" w:rsidRPr="00755DE3" w:rsidRDefault="007D0F2C" w:rsidP="008F5446">
      <w:pPr>
        <w:pStyle w:val="SingleTxtG"/>
        <w:numPr>
          <w:ilvl w:val="0"/>
          <w:numId w:val="6"/>
        </w:numPr>
      </w:pPr>
      <w:r w:rsidRPr="00755DE3">
        <w:t xml:space="preserve">Governments should be encouraged to comply with the </w:t>
      </w:r>
      <w:r w:rsidR="00914626" w:rsidRPr="00755DE3">
        <w:t>ECE</w:t>
      </w:r>
      <w:r w:rsidRPr="00755DE3">
        <w:t xml:space="preserve"> Standard on a Zero Tolerance Approach to Corruption in PPP Procurement</w:t>
      </w:r>
      <w:r w:rsidR="00DA1464" w:rsidRPr="00755DE3">
        <w:rPr>
          <w:rStyle w:val="FootnoteReference"/>
        </w:rPr>
        <w:footnoteReference w:id="33"/>
      </w:r>
      <w:r w:rsidRPr="00755DE3">
        <w:t xml:space="preserve"> and inform the </w:t>
      </w:r>
      <w:r w:rsidR="00914626" w:rsidRPr="00755DE3">
        <w:t>ECE</w:t>
      </w:r>
      <w:r w:rsidRPr="00755DE3">
        <w:t xml:space="preserve"> secretariat on how they are implementing this </w:t>
      </w:r>
      <w:r w:rsidR="00F2190A">
        <w:t>option</w:t>
      </w:r>
      <w:r w:rsidRPr="00755DE3">
        <w:t>.</w:t>
      </w:r>
    </w:p>
    <w:p w14:paraId="58CE204C" w14:textId="77777777" w:rsidR="007D0F2C" w:rsidRPr="00755DE3" w:rsidRDefault="007D0F2C" w:rsidP="008F5446">
      <w:pPr>
        <w:pStyle w:val="SingleTxtG"/>
        <w:numPr>
          <w:ilvl w:val="0"/>
          <w:numId w:val="6"/>
        </w:numPr>
      </w:pPr>
      <w:r w:rsidRPr="00755DE3">
        <w:t xml:space="preserve">The establishment of (or the coordination with existing) regulatory authorities is key to ensure the continuous monitoring of the operations, and to advance the confidence of the public and the investors. </w:t>
      </w:r>
    </w:p>
    <w:p w14:paraId="76B9F114" w14:textId="5A2EDA25" w:rsidR="007D0F2C" w:rsidRPr="00755DE3" w:rsidRDefault="007D0F2C" w:rsidP="001E49E6">
      <w:pPr>
        <w:pStyle w:val="H23G"/>
        <w:numPr>
          <w:ilvl w:val="0"/>
          <w:numId w:val="26"/>
        </w:numPr>
        <w:ind w:hanging="441"/>
        <w:outlineLvl w:val="9"/>
      </w:pPr>
      <w:r w:rsidRPr="00755DE3">
        <w:t>Stakeholder and community engagement</w:t>
      </w:r>
      <w:bookmarkStart w:id="14" w:name="_Hlk49236050"/>
      <w:r w:rsidRPr="00755DE3">
        <w:t xml:space="preserve"> </w:t>
      </w:r>
      <w:bookmarkEnd w:id="14"/>
    </w:p>
    <w:p w14:paraId="56627491" w14:textId="77777777" w:rsidR="007D0F2C" w:rsidRPr="00755DE3" w:rsidRDefault="007D0F2C" w:rsidP="007D0F2C">
      <w:pPr>
        <w:pStyle w:val="SingleTxtG"/>
        <w:tabs>
          <w:tab w:val="left" w:pos="1504"/>
        </w:tabs>
        <w:rPr>
          <w:u w:val="single"/>
        </w:rPr>
      </w:pPr>
      <w:r w:rsidRPr="00755DE3">
        <w:rPr>
          <w:u w:val="single"/>
        </w:rPr>
        <w:t>Challenge</w:t>
      </w:r>
    </w:p>
    <w:p w14:paraId="1A1EB286" w14:textId="43F5E541" w:rsidR="007D0F2C" w:rsidRPr="00755DE3" w:rsidRDefault="00E84254" w:rsidP="007D0F2C">
      <w:pPr>
        <w:pStyle w:val="SingleTxtG"/>
        <w:tabs>
          <w:tab w:val="left" w:pos="1504"/>
        </w:tabs>
      </w:pPr>
      <w:r w:rsidRPr="00755DE3">
        <w:t>WtE</w:t>
      </w:r>
      <w:r w:rsidR="007D0F2C" w:rsidRPr="00755DE3">
        <w:t xml:space="preserve"> plants are sometimes located in poor and marginalised communities that lack the economic power to resist and challenge the location of </w:t>
      </w:r>
      <w:r w:rsidRPr="00755DE3">
        <w:t>WtE</w:t>
      </w:r>
      <w:r w:rsidR="007D0F2C" w:rsidRPr="00755DE3">
        <w:t xml:space="preserve"> plants and have been</w:t>
      </w:r>
      <w:r w:rsidR="005370D4" w:rsidRPr="00755DE3">
        <w:t xml:space="preserve"> accordingly</w:t>
      </w:r>
      <w:r w:rsidR="000872DA" w:rsidRPr="00755DE3">
        <w:t xml:space="preserve"> </w:t>
      </w:r>
      <w:r w:rsidR="007D0F2C" w:rsidRPr="00755DE3">
        <w:t xml:space="preserve">criticised for </w:t>
      </w:r>
      <w:r w:rsidR="00244C51" w:rsidRPr="00755DE3">
        <w:t>“</w:t>
      </w:r>
      <w:r w:rsidR="007D0F2C" w:rsidRPr="00755DE3">
        <w:t>environmental discrimination</w:t>
      </w:r>
      <w:r w:rsidR="00244C51" w:rsidRPr="00755DE3">
        <w:t>”</w:t>
      </w:r>
      <w:r w:rsidR="007D0F2C" w:rsidRPr="00755DE3">
        <w:t>.</w:t>
      </w:r>
    </w:p>
    <w:p w14:paraId="26B37BF9" w14:textId="15535C53" w:rsidR="007D0F2C" w:rsidRPr="007C4D0A" w:rsidRDefault="00F2190A" w:rsidP="007C4D0A">
      <w:pPr>
        <w:pStyle w:val="SingleTxtG"/>
      </w:pPr>
      <w:r>
        <w:rPr>
          <w:u w:val="single"/>
        </w:rPr>
        <w:t>Option</w:t>
      </w:r>
      <w:r w:rsidR="007D0F2C" w:rsidRPr="00755DE3">
        <w:rPr>
          <w:u w:val="single"/>
        </w:rPr>
        <w:t xml:space="preserve"> </w:t>
      </w:r>
      <w:r w:rsidR="0057266F" w:rsidRPr="00755DE3">
        <w:rPr>
          <w:u w:val="single"/>
        </w:rPr>
        <w:t>7</w:t>
      </w:r>
      <w:r w:rsidR="00CC7582">
        <w:rPr>
          <w:u w:val="single"/>
        </w:rPr>
        <w:t>:</w:t>
      </w:r>
      <w:r w:rsidR="00CC7582" w:rsidRPr="00B91D76">
        <w:t xml:space="preserve"> </w:t>
      </w:r>
      <w:r w:rsidR="00CC7582" w:rsidRPr="00755DE3">
        <w:t>Enhance local participation in projects that includes women’s empowerment and vulnerable groups and ensure strong stakeholder engagement</w:t>
      </w:r>
      <w:r w:rsidR="00B91D76">
        <w:t>.</w:t>
      </w:r>
    </w:p>
    <w:p w14:paraId="4EA7C943" w14:textId="1F1FC1DE" w:rsidR="007D0F2C" w:rsidRPr="00CC7582" w:rsidRDefault="00111A2A" w:rsidP="005871E8">
      <w:pPr>
        <w:pStyle w:val="SingleTxtG"/>
        <w:tabs>
          <w:tab w:val="left" w:pos="1504"/>
        </w:tabs>
      </w:pPr>
      <w:r w:rsidRPr="00CC7582">
        <w:t>People-first WtE PPPs</w:t>
      </w:r>
      <w:r w:rsidR="005370D4" w:rsidRPr="00CC7582">
        <w:t xml:space="preserve"> should</w:t>
      </w:r>
      <w:r w:rsidRPr="00CC7582">
        <w:t xml:space="preserve"> engage with stakeholders in a new </w:t>
      </w:r>
      <w:r w:rsidR="00244C51" w:rsidRPr="00CC7582">
        <w:t>“</w:t>
      </w:r>
      <w:r w:rsidRPr="00CC7582">
        <w:t>social contract</w:t>
      </w:r>
      <w:r w:rsidR="00244C51" w:rsidRPr="00CC7582">
        <w:t>”</w:t>
      </w:r>
      <w:r w:rsidRPr="00CC7582">
        <w:t xml:space="preserve"> that regularly consults with communities, providing them regularly with information and data on their performance and be accountable to regular monitoring and scrutiny by local communities where plants are located.</w:t>
      </w:r>
    </w:p>
    <w:p w14:paraId="15E0E5F6" w14:textId="105F8B1B" w:rsidR="007D0F2C" w:rsidRPr="00755DE3" w:rsidRDefault="007D0F2C" w:rsidP="007D0F2C">
      <w:pPr>
        <w:pStyle w:val="SingleTxtG"/>
        <w:tabs>
          <w:tab w:val="left" w:pos="1504"/>
        </w:tabs>
        <w:rPr>
          <w:u w:val="single"/>
        </w:rPr>
      </w:pPr>
      <w:r w:rsidRPr="00755DE3">
        <w:rPr>
          <w:u w:val="single"/>
        </w:rPr>
        <w:t xml:space="preserve">Specific </w:t>
      </w:r>
      <w:r w:rsidR="00F2190A">
        <w:rPr>
          <w:u w:val="single"/>
        </w:rPr>
        <w:t>option</w:t>
      </w:r>
      <w:r w:rsidRPr="00755DE3">
        <w:rPr>
          <w:u w:val="single"/>
        </w:rPr>
        <w:t>s</w:t>
      </w:r>
    </w:p>
    <w:p w14:paraId="6910CEB1" w14:textId="2F5E7262" w:rsidR="007D0F2C" w:rsidRPr="00755DE3" w:rsidRDefault="001C2B9F" w:rsidP="008F5446">
      <w:pPr>
        <w:pStyle w:val="SingleTxtG"/>
        <w:numPr>
          <w:ilvl w:val="0"/>
          <w:numId w:val="6"/>
        </w:numPr>
      </w:pPr>
      <w:r w:rsidRPr="00755DE3">
        <w:t>In</w:t>
      </w:r>
      <w:r w:rsidR="007D0F2C" w:rsidRPr="00755DE3">
        <w:t>clu</w:t>
      </w:r>
      <w:r w:rsidR="00502AEC" w:rsidRPr="00755DE3">
        <w:t>de</w:t>
      </w:r>
      <w:r w:rsidR="007D0F2C" w:rsidRPr="00755DE3">
        <w:t xml:space="preserve"> local groups </w:t>
      </w:r>
      <w:r w:rsidR="00502AEC" w:rsidRPr="00755DE3">
        <w:t>in</w:t>
      </w:r>
      <w:r w:rsidR="007D0F2C" w:rsidRPr="00755DE3">
        <w:t xml:space="preserve"> the design, construction and operation of the plant </w:t>
      </w:r>
      <w:r w:rsidR="006D2C7D">
        <w:t xml:space="preserve">to </w:t>
      </w:r>
      <w:r w:rsidR="00610248">
        <w:t>help</w:t>
      </w:r>
      <w:r w:rsidR="007D0F2C" w:rsidRPr="00755DE3">
        <w:t xml:space="preserve"> public acceptance and advance the social contribution of the projects. </w:t>
      </w:r>
    </w:p>
    <w:p w14:paraId="6A85C220" w14:textId="2F96831E" w:rsidR="007D0F2C" w:rsidRPr="00755DE3" w:rsidRDefault="00B5373D" w:rsidP="008F5446">
      <w:pPr>
        <w:pStyle w:val="SingleTxtG"/>
        <w:numPr>
          <w:ilvl w:val="0"/>
          <w:numId w:val="6"/>
        </w:numPr>
      </w:pPr>
      <w:r w:rsidRPr="00755DE3">
        <w:t>Project sponsors</w:t>
      </w:r>
      <w:r w:rsidR="007D0F2C" w:rsidRPr="00755DE3">
        <w:t xml:space="preserve"> should promote the development of civil engineering projects for the community, e.g. land restoration, open dumps to land, </w:t>
      </w:r>
      <w:r w:rsidR="00474819" w:rsidRPr="00755DE3">
        <w:t>WtE</w:t>
      </w:r>
      <w:r w:rsidR="007D0F2C" w:rsidRPr="00755DE3">
        <w:t xml:space="preserve">, etc.; and </w:t>
      </w:r>
      <w:r w:rsidR="00592737" w:rsidRPr="00755DE3">
        <w:t xml:space="preserve">with </w:t>
      </w:r>
      <w:r w:rsidR="007D0F2C" w:rsidRPr="00755DE3">
        <w:t xml:space="preserve">benefits to the community, e.g. cheap energy, lower collection costs, green areas, etc. </w:t>
      </w:r>
    </w:p>
    <w:p w14:paraId="06B9ED71" w14:textId="6B3F9281" w:rsidR="00070EB5" w:rsidRPr="00755DE3" w:rsidRDefault="009011E7" w:rsidP="008F5446">
      <w:pPr>
        <w:pStyle w:val="H1G"/>
        <w:numPr>
          <w:ilvl w:val="0"/>
          <w:numId w:val="9"/>
        </w:numPr>
        <w:ind w:left="1134" w:hanging="567"/>
      </w:pPr>
      <w:bookmarkStart w:id="15" w:name="_Toc54086134"/>
      <w:r w:rsidRPr="00755DE3">
        <w:lastRenderedPageBreak/>
        <w:t xml:space="preserve">Policy response of </w:t>
      </w:r>
      <w:bookmarkEnd w:id="15"/>
      <w:r w:rsidR="00D51166">
        <w:t>Switzerland</w:t>
      </w:r>
      <w:r w:rsidR="00070EB5" w:rsidRPr="00755DE3">
        <w:t xml:space="preserve"> </w:t>
      </w:r>
    </w:p>
    <w:p w14:paraId="6274F25F" w14:textId="52F6C030" w:rsidR="00BF5422" w:rsidRPr="00755DE3" w:rsidRDefault="008D675C" w:rsidP="00F17FF6">
      <w:pPr>
        <w:pStyle w:val="SingleTxtG"/>
      </w:pPr>
      <w:r w:rsidRPr="00755DE3">
        <w:t xml:space="preserve">Having presented </w:t>
      </w:r>
      <w:r w:rsidR="00FB64C4" w:rsidRPr="00755DE3">
        <w:t xml:space="preserve">the </w:t>
      </w:r>
      <w:r w:rsidR="00E370E8" w:rsidRPr="00755DE3">
        <w:t>above-mentioned</w:t>
      </w:r>
      <w:r w:rsidR="00FB64C4" w:rsidRPr="00755DE3">
        <w:t xml:space="preserve"> </w:t>
      </w:r>
      <w:r w:rsidR="009254B4" w:rsidRPr="009254B4">
        <w:t>best practice options</w:t>
      </w:r>
      <w:r w:rsidR="00FB64C4" w:rsidRPr="00755DE3">
        <w:t xml:space="preserve"> </w:t>
      </w:r>
      <w:r w:rsidR="00D37DAE" w:rsidRPr="00755DE3">
        <w:t xml:space="preserve">on </w:t>
      </w:r>
      <w:r w:rsidR="00FB64C4" w:rsidRPr="00755DE3">
        <w:t xml:space="preserve">how </w:t>
      </w:r>
      <w:r w:rsidR="00BF5422" w:rsidRPr="00755DE3">
        <w:t>Governments</w:t>
      </w:r>
      <w:r w:rsidR="00FB64C4" w:rsidRPr="00755DE3">
        <w:t xml:space="preserve">, businesses and civil society </w:t>
      </w:r>
      <w:r w:rsidR="006D2C7D">
        <w:t xml:space="preserve">can </w:t>
      </w:r>
      <w:r w:rsidR="000C201E" w:rsidRPr="00755DE3">
        <w:t>promote a more circular and SDG</w:t>
      </w:r>
      <w:r w:rsidR="00F03719" w:rsidRPr="00755DE3">
        <w:t>-</w:t>
      </w:r>
      <w:r w:rsidR="000C201E" w:rsidRPr="00755DE3">
        <w:t xml:space="preserve">sensitive WtE and </w:t>
      </w:r>
      <w:r w:rsidR="005B213D" w:rsidRPr="00755DE3">
        <w:t>People-first</w:t>
      </w:r>
      <w:r w:rsidR="000C201E" w:rsidRPr="00755DE3">
        <w:t xml:space="preserve"> projects, </w:t>
      </w:r>
      <w:r w:rsidRPr="00755DE3">
        <w:t xml:space="preserve">it is worthwhile to look at how Switzerland </w:t>
      </w:r>
      <w:r w:rsidR="006244E4">
        <w:t>is</w:t>
      </w:r>
      <w:r w:rsidRPr="00755DE3">
        <w:t xml:space="preserve"> following these in their own policies.</w:t>
      </w:r>
    </w:p>
    <w:p w14:paraId="1AC41BDA" w14:textId="1BBB7CDA" w:rsidR="008D675C" w:rsidRPr="00755DE3" w:rsidRDefault="008D675C" w:rsidP="001E49E6">
      <w:pPr>
        <w:pStyle w:val="H23G"/>
        <w:numPr>
          <w:ilvl w:val="0"/>
          <w:numId w:val="27"/>
        </w:numPr>
        <w:ind w:hanging="441"/>
        <w:outlineLvl w:val="9"/>
      </w:pPr>
      <w:r w:rsidRPr="00755DE3">
        <w:t xml:space="preserve">Vision </w:t>
      </w:r>
    </w:p>
    <w:p w14:paraId="70888D10" w14:textId="62CAEA08" w:rsidR="00BF5422" w:rsidRPr="00755DE3" w:rsidRDefault="008D675C" w:rsidP="004E5BFB">
      <w:pPr>
        <w:pStyle w:val="SingleTxtG"/>
        <w:rPr>
          <w:b/>
        </w:rPr>
      </w:pPr>
      <w:r w:rsidRPr="00755DE3">
        <w:rPr>
          <w:u w:val="single"/>
        </w:rPr>
        <w:t>Switzerland</w:t>
      </w:r>
    </w:p>
    <w:p w14:paraId="4ABBC037" w14:textId="4840FF59" w:rsidR="00E50758" w:rsidRPr="00755DE3" w:rsidRDefault="00E50758" w:rsidP="00CF7708">
      <w:pPr>
        <w:pStyle w:val="SingleTxtG"/>
      </w:pPr>
      <w:r w:rsidRPr="00755DE3">
        <w:t xml:space="preserve">Switzerland has been pursuing circular economy approaches since the mid-1980s and has </w:t>
      </w:r>
      <w:r w:rsidR="008B2C23" w:rsidRPr="00755DE3">
        <w:t>a very exemplary record</w:t>
      </w:r>
      <w:r w:rsidRPr="00755DE3">
        <w:t>. Measures are based on the precautionary principle</w:t>
      </w:r>
      <w:r w:rsidR="002D10CA" w:rsidRPr="00755DE3">
        <w:rPr>
          <w:rStyle w:val="FootnoteReference"/>
        </w:rPr>
        <w:footnoteReference w:id="34"/>
      </w:r>
      <w:r w:rsidRPr="00755DE3">
        <w:t xml:space="preserve"> and the polluter-pays principle</w:t>
      </w:r>
      <w:r w:rsidR="00CE1260" w:rsidRPr="00755DE3">
        <w:t>,</w:t>
      </w:r>
      <w:r w:rsidR="002D10CA" w:rsidRPr="00755DE3">
        <w:rPr>
          <w:rStyle w:val="FootnoteReference"/>
        </w:rPr>
        <w:footnoteReference w:id="35"/>
      </w:r>
      <w:r w:rsidRPr="00755DE3">
        <w:t xml:space="preserve"> as well as</w:t>
      </w:r>
      <w:r w:rsidR="008B2C23" w:rsidRPr="00755DE3">
        <w:t xml:space="preserve"> using</w:t>
      </w:r>
      <w:r w:rsidRPr="00755DE3">
        <w:t xml:space="preserve"> cutting-edge technology, innovations, </w:t>
      </w:r>
      <w:r w:rsidR="008B2C23" w:rsidRPr="00755DE3">
        <w:t xml:space="preserve">and industry </w:t>
      </w:r>
      <w:r w:rsidRPr="00755DE3">
        <w:t>collaboration</w:t>
      </w:r>
      <w:r w:rsidR="008B2C23" w:rsidRPr="00755DE3">
        <w:t>s</w:t>
      </w:r>
      <w:r w:rsidRPr="00755DE3">
        <w:t>.</w:t>
      </w:r>
      <w:r w:rsidR="00973347" w:rsidRPr="00755DE3">
        <w:t xml:space="preserve"> </w:t>
      </w:r>
      <w:r w:rsidR="00BB28BD" w:rsidRPr="00755DE3">
        <w:t>For example, e</w:t>
      </w:r>
      <w:r w:rsidR="000F337A" w:rsidRPr="00755DE3">
        <w:t>very time</w:t>
      </w:r>
      <w:r w:rsidR="00BB28BD" w:rsidRPr="00755DE3">
        <w:t xml:space="preserve"> </w:t>
      </w:r>
      <w:r w:rsidR="000F337A" w:rsidRPr="00755DE3">
        <w:t>a project is conducted, a holistic</w:t>
      </w:r>
      <w:r w:rsidR="00467A43" w:rsidRPr="00755DE3">
        <w:t xml:space="preserve"> life cycle assessment is </w:t>
      </w:r>
      <w:r w:rsidR="00F03719" w:rsidRPr="00755DE3">
        <w:t>made</w:t>
      </w:r>
      <w:r w:rsidR="00FA37CB" w:rsidRPr="00755DE3">
        <w:t xml:space="preserve"> with the </w:t>
      </w:r>
      <w:r w:rsidR="00BE289A">
        <w:t>help</w:t>
      </w:r>
      <w:r w:rsidR="00FA37CB" w:rsidRPr="00755DE3">
        <w:t xml:space="preserve"> of the Ministry of Environment,</w:t>
      </w:r>
      <w:r w:rsidR="00467A43" w:rsidRPr="00755DE3">
        <w:t xml:space="preserve"> to determine </w:t>
      </w:r>
      <w:r w:rsidR="002D10CA" w:rsidRPr="00755DE3">
        <w:t xml:space="preserve">if </w:t>
      </w:r>
      <w:r w:rsidR="00527831">
        <w:t xml:space="preserve">projects </w:t>
      </w:r>
      <w:proofErr w:type="spellStart"/>
      <w:r w:rsidR="00527831">
        <w:t>ar</w:t>
      </w:r>
      <w:proofErr w:type="spellEnd"/>
      <w:r w:rsidR="00527831">
        <w:t xml:space="preserve"> aligned with </w:t>
      </w:r>
      <w:r w:rsidR="00467A43" w:rsidRPr="00755DE3">
        <w:t xml:space="preserve">circular economy </w:t>
      </w:r>
      <w:r w:rsidR="00527831">
        <w:t>processes</w:t>
      </w:r>
      <w:r w:rsidR="00467A43" w:rsidRPr="00755DE3">
        <w:t xml:space="preserve">. </w:t>
      </w:r>
    </w:p>
    <w:p w14:paraId="3298C952" w14:textId="566789C5" w:rsidR="008D675C" w:rsidRPr="00755DE3" w:rsidRDefault="008D675C" w:rsidP="001E49E6">
      <w:pPr>
        <w:pStyle w:val="H23G"/>
        <w:numPr>
          <w:ilvl w:val="0"/>
          <w:numId w:val="27"/>
        </w:numPr>
        <w:ind w:hanging="441"/>
        <w:outlineLvl w:val="9"/>
      </w:pPr>
      <w:r w:rsidRPr="00755DE3">
        <w:t>Scope and Scale</w:t>
      </w:r>
      <w:r w:rsidR="00A1643D" w:rsidRPr="00755DE3">
        <w:t xml:space="preserve"> of the transition to </w:t>
      </w:r>
      <w:r w:rsidR="00D77914" w:rsidRPr="00755DE3">
        <w:t>circular economy</w:t>
      </w:r>
      <w:r w:rsidRPr="00755DE3">
        <w:t xml:space="preserve"> </w:t>
      </w:r>
    </w:p>
    <w:p w14:paraId="418E239F" w14:textId="7D220FE8" w:rsidR="00066F84" w:rsidRPr="00755DE3" w:rsidRDefault="00066F84" w:rsidP="00066F84">
      <w:pPr>
        <w:pStyle w:val="SingleTxtG"/>
      </w:pPr>
      <w:r w:rsidRPr="00755DE3">
        <w:rPr>
          <w:u w:val="single"/>
        </w:rPr>
        <w:t>Switzerland</w:t>
      </w:r>
    </w:p>
    <w:p w14:paraId="755E9059" w14:textId="319B45E0" w:rsidR="008D675C" w:rsidRPr="00755DE3" w:rsidRDefault="003119F3" w:rsidP="00066F84">
      <w:pPr>
        <w:pStyle w:val="SingleTxtG"/>
      </w:pPr>
      <w:r w:rsidRPr="00755DE3">
        <w:t>Switzerland has</w:t>
      </w:r>
      <w:r w:rsidR="00361A86" w:rsidRPr="00755DE3">
        <w:t xml:space="preserve"> totally</w:t>
      </w:r>
      <w:r w:rsidRPr="00755DE3">
        <w:t xml:space="preserve"> eliminated the use of land for the deposit</w:t>
      </w:r>
      <w:r w:rsidR="005370D4" w:rsidRPr="00755DE3">
        <w:t>ing</w:t>
      </w:r>
      <w:r w:rsidR="008D675C" w:rsidRPr="00755DE3">
        <w:t xml:space="preserve"> of waste </w:t>
      </w:r>
      <w:r w:rsidRPr="00755DE3">
        <w:t>materials.</w:t>
      </w:r>
      <w:r w:rsidR="001A6361" w:rsidRPr="00755DE3">
        <w:t xml:space="preserve"> </w:t>
      </w:r>
      <w:r w:rsidRPr="00755DE3">
        <w:t xml:space="preserve">About 50% to 60% of municipal waste is </w:t>
      </w:r>
      <w:r w:rsidR="008D675C" w:rsidRPr="00755DE3">
        <w:t xml:space="preserve">recycled/composted, and the </w:t>
      </w:r>
      <w:r w:rsidRPr="00755DE3">
        <w:t>res</w:t>
      </w:r>
      <w:r w:rsidR="00066F84" w:rsidRPr="00755DE3">
        <w:t>idual fraction is processed</w:t>
      </w:r>
      <w:r w:rsidR="008D675C" w:rsidRPr="00755DE3">
        <w:t xml:space="preserve"> </w:t>
      </w:r>
      <w:r w:rsidR="00066F84" w:rsidRPr="00755DE3">
        <w:t xml:space="preserve">in </w:t>
      </w:r>
      <w:r w:rsidR="005210AE" w:rsidRPr="00755DE3">
        <w:t>WtE</w:t>
      </w:r>
      <w:r w:rsidR="00066F84" w:rsidRPr="00755DE3">
        <w:t xml:space="preserve"> plants tha</w:t>
      </w:r>
      <w:r w:rsidR="008D675C" w:rsidRPr="00755DE3">
        <w:t>t</w:t>
      </w:r>
      <w:r w:rsidR="00066F84" w:rsidRPr="00755DE3">
        <w:t xml:space="preserve"> operate in the country</w:t>
      </w:r>
      <w:r w:rsidR="00FE2225" w:rsidRPr="00755DE3">
        <w:t>.</w:t>
      </w:r>
      <w:r w:rsidR="003C6364" w:rsidRPr="00755DE3">
        <w:rPr>
          <w:vertAlign w:val="superscript"/>
        </w:rPr>
        <w:t>37</w:t>
      </w:r>
      <w:r w:rsidR="00361A86" w:rsidRPr="00755DE3">
        <w:t xml:space="preserve"> These actions</w:t>
      </w:r>
      <w:r w:rsidR="00066F84" w:rsidRPr="00755DE3">
        <w:t xml:space="preserve"> save billions of li</w:t>
      </w:r>
      <w:r w:rsidR="006C2AF0" w:rsidRPr="00755DE3">
        <w:t>tres</w:t>
      </w:r>
      <w:r w:rsidR="00066F84" w:rsidRPr="00755DE3">
        <w:t xml:space="preserve"> of heating oil per </w:t>
      </w:r>
      <w:r w:rsidR="002D10CA" w:rsidRPr="00755DE3">
        <w:t>year and</w:t>
      </w:r>
      <w:r w:rsidR="00066F84" w:rsidRPr="00755DE3">
        <w:t xml:space="preserve"> contribute to about 3.5% of the total energy demand of the country</w:t>
      </w:r>
      <w:r w:rsidR="00FE2225" w:rsidRPr="00755DE3">
        <w:t>.</w:t>
      </w:r>
      <w:r w:rsidR="004F0875" w:rsidRPr="00755DE3">
        <w:rPr>
          <w:rStyle w:val="FootnoteReference"/>
        </w:rPr>
        <w:footnoteReference w:id="36"/>
      </w:r>
      <w:r w:rsidRPr="00755DE3">
        <w:t xml:space="preserve"> </w:t>
      </w:r>
      <w:r w:rsidR="00066F84" w:rsidRPr="00755DE3">
        <w:t>The</w:t>
      </w:r>
      <w:r w:rsidR="00790D42" w:rsidRPr="00755DE3">
        <w:t xml:space="preserve"> bottom ash</w:t>
      </w:r>
      <w:r w:rsidR="00066F84" w:rsidRPr="00755DE3">
        <w:t xml:space="preserve"> residues of the incineration processes are beneficially used in construction, after metal separation. The fly ash residues are </w:t>
      </w:r>
      <w:r w:rsidR="006C2AF0" w:rsidRPr="00755DE3">
        <w:t xml:space="preserve">safely </w:t>
      </w:r>
      <w:r w:rsidR="00066F84" w:rsidRPr="00755DE3">
        <w:t>disposed</w:t>
      </w:r>
      <w:r w:rsidR="00B61695" w:rsidRPr="00755DE3">
        <w:t xml:space="preserve"> of</w:t>
      </w:r>
      <w:r w:rsidR="00066F84" w:rsidRPr="00755DE3">
        <w:t xml:space="preserve"> in a sustainable manner. </w:t>
      </w:r>
    </w:p>
    <w:p w14:paraId="6CA2BFF6" w14:textId="67504CAC" w:rsidR="008D675C" w:rsidRPr="00755DE3" w:rsidRDefault="00EB5F12" w:rsidP="001E49E6">
      <w:pPr>
        <w:pStyle w:val="H23G"/>
        <w:numPr>
          <w:ilvl w:val="0"/>
          <w:numId w:val="27"/>
        </w:numPr>
        <w:ind w:hanging="441"/>
        <w:outlineLvl w:val="9"/>
      </w:pPr>
      <w:r w:rsidRPr="00755DE3">
        <w:t>Technology and capacity building</w:t>
      </w:r>
    </w:p>
    <w:p w14:paraId="4E4FBA21" w14:textId="66A21BE7" w:rsidR="007E28BE" w:rsidRPr="00755DE3" w:rsidRDefault="007E28BE" w:rsidP="007E28BE">
      <w:pPr>
        <w:pStyle w:val="SingleTxtG"/>
      </w:pPr>
      <w:r w:rsidRPr="00755DE3">
        <w:rPr>
          <w:u w:val="single"/>
        </w:rPr>
        <w:t>Switzerland</w:t>
      </w:r>
    </w:p>
    <w:p w14:paraId="295F6509" w14:textId="0769A20A" w:rsidR="003D10AC" w:rsidRPr="00755DE3" w:rsidRDefault="007E28BE" w:rsidP="007C4B43">
      <w:pPr>
        <w:pStyle w:val="SingleTxtG"/>
      </w:pPr>
      <w:r w:rsidRPr="00755DE3">
        <w:t>Swiss waste recycling and WtE</w:t>
      </w:r>
      <w:r w:rsidR="001F4895" w:rsidRPr="00755DE3">
        <w:t xml:space="preserve"> developments</w:t>
      </w:r>
      <w:r w:rsidRPr="00755DE3">
        <w:t xml:space="preserve"> </w:t>
      </w:r>
      <w:r w:rsidR="00087E7D" w:rsidRPr="00755DE3">
        <w:t xml:space="preserve">use advance technologies which are usually </w:t>
      </w:r>
      <w:r w:rsidR="003D10AC" w:rsidRPr="00755DE3">
        <w:t>produced by the local industries, and significant innovations have been observed in the country.</w:t>
      </w:r>
      <w:r w:rsidR="00087E7D" w:rsidRPr="00755DE3">
        <w:t xml:space="preserve"> The </w:t>
      </w:r>
      <w:r w:rsidR="00172DE9" w:rsidRPr="00755DE3">
        <w:t>G</w:t>
      </w:r>
      <w:r w:rsidR="00087E7D" w:rsidRPr="00755DE3">
        <w:t xml:space="preserve">overnment has a comprehensive database on industrial emissions that includes </w:t>
      </w:r>
      <w:r w:rsidR="005210AE" w:rsidRPr="00755DE3">
        <w:t>WtE</w:t>
      </w:r>
      <w:r w:rsidR="00087E7D" w:rsidRPr="00755DE3">
        <w:t xml:space="preserve"> operations, and all the </w:t>
      </w:r>
      <w:r w:rsidR="005210AE" w:rsidRPr="00755DE3">
        <w:t>WtE</w:t>
      </w:r>
      <w:r w:rsidR="00087E7D" w:rsidRPr="00755DE3">
        <w:t xml:space="preserve"> plants are having online monitoring</w:t>
      </w:r>
      <w:r w:rsidR="00A235BB" w:rsidRPr="00755DE3">
        <w:t xml:space="preserve"> systems for the</w:t>
      </w:r>
      <w:r w:rsidR="00087E7D" w:rsidRPr="00755DE3">
        <w:t xml:space="preserve"> emissions, which are available to the public. </w:t>
      </w:r>
    </w:p>
    <w:p w14:paraId="71109C89" w14:textId="5DDD01A5" w:rsidR="00BE282F" w:rsidRPr="00755DE3" w:rsidRDefault="00AE5FCD" w:rsidP="001E49E6">
      <w:pPr>
        <w:pStyle w:val="H23G"/>
        <w:numPr>
          <w:ilvl w:val="0"/>
          <w:numId w:val="27"/>
        </w:numPr>
        <w:ind w:hanging="441"/>
        <w:outlineLvl w:val="9"/>
      </w:pPr>
      <w:r w:rsidRPr="00755DE3">
        <w:t>Fiscal incentives</w:t>
      </w:r>
    </w:p>
    <w:p w14:paraId="4E268351" w14:textId="5626048B" w:rsidR="002B3884" w:rsidRPr="00755DE3" w:rsidRDefault="002B3884" w:rsidP="00BE282F">
      <w:pPr>
        <w:pStyle w:val="SingleTxtG"/>
      </w:pPr>
      <w:r w:rsidRPr="00755DE3">
        <w:rPr>
          <w:u w:val="single"/>
        </w:rPr>
        <w:t>Switzerland</w:t>
      </w:r>
    </w:p>
    <w:p w14:paraId="766E50CA" w14:textId="7CD33C4B" w:rsidR="001207CC" w:rsidRPr="00755DE3" w:rsidRDefault="00A1123F" w:rsidP="008709F9">
      <w:pPr>
        <w:pStyle w:val="SingleTxtG"/>
      </w:pPr>
      <w:r w:rsidRPr="00755DE3">
        <w:t xml:space="preserve">Switzerland has instituted a ban on untreated and combustible waste since </w:t>
      </w:r>
      <w:r w:rsidR="001F4895" w:rsidRPr="00755DE3">
        <w:t>2000 and</w:t>
      </w:r>
      <w:r w:rsidRPr="00755DE3">
        <w:t xml:space="preserve"> has placed</w:t>
      </w:r>
      <w:r w:rsidR="00D91E3B" w:rsidRPr="00755DE3">
        <w:t xml:space="preserve"> tariffs on</w:t>
      </w:r>
      <w:r w:rsidRPr="00755DE3">
        <w:t xml:space="preserve"> specific types of waste since 2017</w:t>
      </w:r>
      <w:r w:rsidR="00317390" w:rsidRPr="00755DE3">
        <w:t>. The country has applied decade-long EPR on</w:t>
      </w:r>
      <w:r w:rsidR="00D4077D" w:rsidRPr="00755DE3">
        <w:t xml:space="preserve"> materials of concern</w:t>
      </w:r>
      <w:r w:rsidR="00962F52" w:rsidRPr="00755DE3">
        <w:t xml:space="preserve">. </w:t>
      </w:r>
    </w:p>
    <w:p w14:paraId="35CE9025" w14:textId="77777777" w:rsidR="008D675C" w:rsidRPr="00755DE3" w:rsidRDefault="008D675C" w:rsidP="001E49E6">
      <w:pPr>
        <w:pStyle w:val="H23G"/>
        <w:numPr>
          <w:ilvl w:val="0"/>
          <w:numId w:val="27"/>
        </w:numPr>
        <w:ind w:hanging="441"/>
        <w:outlineLvl w:val="9"/>
      </w:pPr>
      <w:r w:rsidRPr="00755DE3">
        <w:t xml:space="preserve">Partnering and Partnerships </w:t>
      </w:r>
    </w:p>
    <w:p w14:paraId="4AF1D3FD" w14:textId="6576C8AE" w:rsidR="002B3884" w:rsidRPr="00755DE3" w:rsidRDefault="002B3884" w:rsidP="008D675C">
      <w:pPr>
        <w:pStyle w:val="SingleTxtG"/>
      </w:pPr>
      <w:r w:rsidRPr="00755DE3">
        <w:rPr>
          <w:u w:val="single"/>
        </w:rPr>
        <w:t>Switzerland</w:t>
      </w:r>
    </w:p>
    <w:p w14:paraId="15BD8876" w14:textId="6D68CBD2" w:rsidR="005871E8" w:rsidRPr="00755DE3" w:rsidRDefault="008D675C" w:rsidP="00A958EF">
      <w:pPr>
        <w:pStyle w:val="SingleTxtG"/>
      </w:pPr>
      <w:r w:rsidRPr="00755DE3">
        <w:lastRenderedPageBreak/>
        <w:t xml:space="preserve">Local </w:t>
      </w:r>
      <w:r w:rsidR="00172DE9" w:rsidRPr="00755DE3">
        <w:t>G</w:t>
      </w:r>
      <w:r w:rsidRPr="00755DE3">
        <w:t>overnments and regions, and communities collaborate with the private sector to establish Special Purpose Vehicle (SPV)</w:t>
      </w:r>
      <w:r w:rsidR="003E2988" w:rsidRPr="00755DE3">
        <w:rPr>
          <w:rStyle w:val="FootnoteReference"/>
        </w:rPr>
        <w:footnoteReference w:id="37"/>
      </w:r>
      <w:r w:rsidR="00352FDC" w:rsidRPr="00755DE3">
        <w:t xml:space="preserve"> </w:t>
      </w:r>
      <w:r w:rsidRPr="00755DE3">
        <w:t xml:space="preserve">companies to ensure optimum planning on the waste management regional strategy. </w:t>
      </w:r>
      <w:r w:rsidR="00D91E3B" w:rsidRPr="00755DE3">
        <w:t>P</w:t>
      </w:r>
      <w:r w:rsidR="001C3890" w:rsidRPr="00755DE3">
        <w:t>artnerships have discrete roles that are</w:t>
      </w:r>
      <w:r w:rsidR="006E241E" w:rsidRPr="00755DE3">
        <w:t xml:space="preserve"> strictly</w:t>
      </w:r>
      <w:r w:rsidR="001C3890" w:rsidRPr="00755DE3">
        <w:t xml:space="preserve"> monitored by </w:t>
      </w:r>
      <w:r w:rsidR="00D91E3B" w:rsidRPr="00755DE3">
        <w:t xml:space="preserve">the </w:t>
      </w:r>
      <w:r w:rsidR="001C3890" w:rsidRPr="00755DE3">
        <w:t xml:space="preserve">authorities. </w:t>
      </w:r>
      <w:r w:rsidR="00BE0733" w:rsidRPr="00755DE3">
        <w:t>In this context, t</w:t>
      </w:r>
      <w:r w:rsidR="00106DDB" w:rsidRPr="00755DE3">
        <w:t xml:space="preserve">he Federal Office for the Environment strongly supports the transition towards a circular economy by promoting environmental technology through its green public procurement office. </w:t>
      </w:r>
    </w:p>
    <w:p w14:paraId="59241545" w14:textId="6CC04AA8" w:rsidR="008D675C" w:rsidRPr="00755DE3" w:rsidRDefault="00AE5FCD" w:rsidP="001E49E6">
      <w:pPr>
        <w:pStyle w:val="H23G"/>
        <w:numPr>
          <w:ilvl w:val="0"/>
          <w:numId w:val="27"/>
        </w:numPr>
        <w:ind w:hanging="441"/>
        <w:outlineLvl w:val="9"/>
      </w:pPr>
      <w:r w:rsidRPr="00755DE3">
        <w:t>Public procurements and good governance</w:t>
      </w:r>
    </w:p>
    <w:p w14:paraId="29E2B7DE" w14:textId="2AE0E047" w:rsidR="002B3884" w:rsidRPr="00755DE3" w:rsidRDefault="002B3884" w:rsidP="008D675C">
      <w:pPr>
        <w:pStyle w:val="SingleTxtG"/>
      </w:pPr>
      <w:r w:rsidRPr="00755DE3">
        <w:rPr>
          <w:u w:val="single"/>
        </w:rPr>
        <w:t>Switzerland</w:t>
      </w:r>
    </w:p>
    <w:p w14:paraId="4DAB6084" w14:textId="4795BD87" w:rsidR="000B29ED" w:rsidRPr="00755DE3" w:rsidRDefault="001C1FCD" w:rsidP="009010E2">
      <w:pPr>
        <w:pStyle w:val="SingleTxtG"/>
      </w:pPr>
      <w:r w:rsidRPr="00755DE3">
        <w:t>Most of the infrastructural projects are using the Swiss Challenge System, for selecting the best po</w:t>
      </w:r>
      <w:r w:rsidR="00CD4D03" w:rsidRPr="00755DE3">
        <w:t>ssible</w:t>
      </w:r>
      <w:r w:rsidRPr="00755DE3">
        <w:t xml:space="preserve"> tender</w:t>
      </w:r>
      <w:r w:rsidR="008D675C" w:rsidRPr="00755DE3">
        <w:t xml:space="preserve">. The whole process is open and transparent to the public. </w:t>
      </w:r>
      <w:r w:rsidRPr="00755DE3">
        <w:t xml:space="preserve">The decision is </w:t>
      </w:r>
      <w:r w:rsidR="00CD4D03" w:rsidRPr="00755DE3">
        <w:t xml:space="preserve">received </w:t>
      </w:r>
      <w:r w:rsidRPr="00755DE3">
        <w:t xml:space="preserve">by the representatives of the communities who </w:t>
      </w:r>
      <w:r w:rsidR="00326349" w:rsidRPr="00755DE3">
        <w:t>strictly follow</w:t>
      </w:r>
      <w:r w:rsidRPr="00755DE3">
        <w:t xml:space="preserve"> the communal decisions through </w:t>
      </w:r>
      <w:r w:rsidR="00CD4D03" w:rsidRPr="00755DE3">
        <w:t xml:space="preserve">a </w:t>
      </w:r>
      <w:r w:rsidRPr="00755DE3">
        <w:t>vot</w:t>
      </w:r>
      <w:r w:rsidR="00CD4D03" w:rsidRPr="00755DE3">
        <w:t>ing system</w:t>
      </w:r>
      <w:r w:rsidR="008D675C" w:rsidRPr="00755DE3">
        <w:t xml:space="preserve">. The </w:t>
      </w:r>
      <w:r w:rsidR="005E6FE2" w:rsidRPr="00755DE3">
        <w:t>WtE</w:t>
      </w:r>
      <w:r w:rsidR="008D675C" w:rsidRPr="00755DE3">
        <w:t xml:space="preserve"> plants work as cooperative, competitive, collaborative and independent public services</w:t>
      </w:r>
      <w:r w:rsidR="00326349" w:rsidRPr="00755DE3">
        <w:t>, which, are being closely monitored by the official authorities.</w:t>
      </w:r>
      <w:r w:rsidR="008D675C" w:rsidRPr="00755DE3">
        <w:t xml:space="preserve"> </w:t>
      </w:r>
    </w:p>
    <w:p w14:paraId="313DCFAF" w14:textId="77777777" w:rsidR="008D675C" w:rsidRPr="00755DE3" w:rsidRDefault="008D675C" w:rsidP="001E49E6">
      <w:pPr>
        <w:pStyle w:val="H23G"/>
        <w:numPr>
          <w:ilvl w:val="0"/>
          <w:numId w:val="27"/>
        </w:numPr>
        <w:ind w:hanging="441"/>
        <w:outlineLvl w:val="9"/>
      </w:pPr>
      <w:r w:rsidRPr="00755DE3">
        <w:t xml:space="preserve">Stakeholder and community engagement </w:t>
      </w:r>
    </w:p>
    <w:p w14:paraId="40356069" w14:textId="0208E90A" w:rsidR="002B3884" w:rsidRPr="00755DE3" w:rsidRDefault="002B3884" w:rsidP="008D675C">
      <w:pPr>
        <w:pStyle w:val="SingleTxtG"/>
      </w:pPr>
      <w:r w:rsidRPr="00755DE3">
        <w:rPr>
          <w:u w:val="single"/>
        </w:rPr>
        <w:t>Switzerland</w:t>
      </w:r>
    </w:p>
    <w:p w14:paraId="1BC2E555" w14:textId="68602B93" w:rsidR="00070EB5" w:rsidRDefault="008D675C" w:rsidP="008D675C">
      <w:pPr>
        <w:pStyle w:val="SingleTxtG"/>
      </w:pPr>
      <w:r w:rsidRPr="00755DE3">
        <w:t xml:space="preserve">The Swiss </w:t>
      </w:r>
      <w:r w:rsidR="00FD6578" w:rsidRPr="00755DE3">
        <w:t>G</w:t>
      </w:r>
      <w:r w:rsidRPr="00755DE3">
        <w:t xml:space="preserve">overnment has built trust with </w:t>
      </w:r>
      <w:r w:rsidR="00B225E5" w:rsidRPr="00755DE3">
        <w:t xml:space="preserve">its </w:t>
      </w:r>
      <w:r w:rsidRPr="00755DE3">
        <w:t>citizens, as they are having continuous interaction through public meetings, open discussions, etc.</w:t>
      </w:r>
      <w:r w:rsidR="00E55197" w:rsidRPr="00755DE3">
        <w:t xml:space="preserve"> </w:t>
      </w:r>
      <w:r w:rsidRPr="00755DE3">
        <w:t xml:space="preserve">The </w:t>
      </w:r>
      <w:r w:rsidR="00FD6578" w:rsidRPr="00755DE3">
        <w:t>G</w:t>
      </w:r>
      <w:r w:rsidRPr="00755DE3">
        <w:t>overnment</w:t>
      </w:r>
      <w:r w:rsidR="00A16486" w:rsidRPr="00755DE3">
        <w:t xml:space="preserve"> </w:t>
      </w:r>
      <w:r w:rsidR="00B225E5" w:rsidRPr="00755DE3">
        <w:t>encourage</w:t>
      </w:r>
      <w:r w:rsidR="00495B85" w:rsidRPr="00755DE3">
        <w:t>s</w:t>
      </w:r>
      <w:r w:rsidR="00B225E5" w:rsidRPr="00755DE3">
        <w:t xml:space="preserve"> </w:t>
      </w:r>
      <w:r w:rsidR="008810C7" w:rsidRPr="00755DE3">
        <w:t>local groups</w:t>
      </w:r>
      <w:r w:rsidRPr="00755DE3">
        <w:t xml:space="preserve"> to participate in project development</w:t>
      </w:r>
      <w:r w:rsidR="00B225E5" w:rsidRPr="00755DE3">
        <w:t>,</w:t>
      </w:r>
      <w:r w:rsidRPr="00755DE3">
        <w:t xml:space="preserve"> </w:t>
      </w:r>
      <w:r w:rsidR="001F4895" w:rsidRPr="00755DE3">
        <w:t xml:space="preserve">in the </w:t>
      </w:r>
      <w:r w:rsidRPr="00755DE3">
        <w:t xml:space="preserve">management </w:t>
      </w:r>
      <w:r w:rsidR="009A0D0E" w:rsidRPr="00755DE3">
        <w:t>board and</w:t>
      </w:r>
      <w:r w:rsidR="00495B85" w:rsidRPr="00755DE3">
        <w:t xml:space="preserve"> in </w:t>
      </w:r>
      <w:r w:rsidR="00AA5406" w:rsidRPr="00755DE3">
        <w:t xml:space="preserve">the </w:t>
      </w:r>
      <w:r w:rsidR="00B27EAA" w:rsidRPr="00755DE3">
        <w:t>deliver</w:t>
      </w:r>
      <w:r w:rsidR="00AA5406" w:rsidRPr="00755DE3">
        <w:t>y of</w:t>
      </w:r>
      <w:r w:rsidRPr="00755DE3">
        <w:t xml:space="preserve"> </w:t>
      </w:r>
      <w:r w:rsidR="00A84ACB" w:rsidRPr="00755DE3">
        <w:t>high-quality</w:t>
      </w:r>
      <w:r w:rsidRPr="00755DE3">
        <w:t xml:space="preserve"> public services.</w:t>
      </w:r>
      <w:r w:rsidR="00B225E5" w:rsidRPr="00755DE3">
        <w:t xml:space="preserve"> </w:t>
      </w:r>
      <w:r w:rsidR="00495B85" w:rsidRPr="00755DE3">
        <w:t xml:space="preserve">Switzerland has </w:t>
      </w:r>
      <w:r w:rsidR="00B225E5" w:rsidRPr="00755DE3">
        <w:t xml:space="preserve">become a model </w:t>
      </w:r>
      <w:r w:rsidR="00495B85" w:rsidRPr="00755DE3">
        <w:t xml:space="preserve">for </w:t>
      </w:r>
      <w:r w:rsidR="00B225E5" w:rsidRPr="00755DE3">
        <w:t xml:space="preserve">the world in </w:t>
      </w:r>
      <w:r w:rsidR="00495B85" w:rsidRPr="00755DE3">
        <w:t>WtE.</w:t>
      </w:r>
    </w:p>
    <w:p w14:paraId="4C74A302" w14:textId="319E6030" w:rsidR="00A958EF" w:rsidRDefault="00A958EF">
      <w:pPr>
        <w:suppressAutoHyphens w:val="0"/>
        <w:spacing w:line="240" w:lineRule="auto"/>
      </w:pPr>
      <w:r>
        <w:br w:type="page"/>
      </w:r>
    </w:p>
    <w:p w14:paraId="231ECAEF" w14:textId="70DD096E" w:rsidR="000A6BB2" w:rsidRPr="00755DE3" w:rsidRDefault="000A6BB2" w:rsidP="008F5446">
      <w:pPr>
        <w:pStyle w:val="HChG"/>
        <w:numPr>
          <w:ilvl w:val="0"/>
          <w:numId w:val="12"/>
        </w:numPr>
        <w:tabs>
          <w:tab w:val="clear" w:pos="1134"/>
        </w:tabs>
        <w:ind w:left="1125" w:hanging="558"/>
      </w:pPr>
      <w:bookmarkStart w:id="16" w:name="_Toc54086135"/>
      <w:r w:rsidRPr="00755DE3">
        <w:lastRenderedPageBreak/>
        <w:t>Conclusions and follow-up</w:t>
      </w:r>
      <w:bookmarkEnd w:id="16"/>
    </w:p>
    <w:p w14:paraId="63529115" w14:textId="32A3E468" w:rsidR="00A3066D" w:rsidRPr="00755DE3" w:rsidRDefault="000A6BB2" w:rsidP="00197C1B">
      <w:pPr>
        <w:pStyle w:val="SingleTxtG"/>
      </w:pPr>
      <w:r w:rsidRPr="00755DE3">
        <w:t>At its purest form</w:t>
      </w:r>
      <w:r w:rsidR="00AF7BEC" w:rsidRPr="00755DE3">
        <w:t xml:space="preserve">, </w:t>
      </w:r>
      <w:r w:rsidRPr="00755DE3">
        <w:t xml:space="preserve">the </w:t>
      </w:r>
      <w:r w:rsidR="00D77914" w:rsidRPr="00755DE3">
        <w:t>circular economy</w:t>
      </w:r>
      <w:r w:rsidRPr="00755DE3">
        <w:t xml:space="preserve"> has no waste; leading to a perfect and optimal cycle that allows materials to be forever used once extracted from the environment. Currently, however, this is not possible for many reasons </w:t>
      </w:r>
      <w:r w:rsidR="00125760" w:rsidRPr="00755DE3">
        <w:t xml:space="preserve">ranging </w:t>
      </w:r>
      <w:r w:rsidR="00100A04" w:rsidRPr="00755DE3">
        <w:t>from</w:t>
      </w:r>
      <w:r w:rsidRPr="00755DE3">
        <w:t xml:space="preserve"> the limitations of technology to </w:t>
      </w:r>
      <w:r w:rsidR="006D2C7D">
        <w:t>patterns of</w:t>
      </w:r>
      <w:r w:rsidR="008D1F8E">
        <w:t xml:space="preserve"> </w:t>
      </w:r>
      <w:r w:rsidRPr="00755DE3">
        <w:t xml:space="preserve">human </w:t>
      </w:r>
      <w:r w:rsidR="0056255D" w:rsidRPr="00755DE3">
        <w:t>behaviour</w:t>
      </w:r>
      <w:r w:rsidRPr="00755DE3">
        <w:t>. Therefore, until this perfect cycle is achieved in practice, society has the responsibility to employ all solutions available to sustainably manage material</w:t>
      </w:r>
      <w:r w:rsidR="00A40655" w:rsidRPr="00755DE3">
        <w:t>s</w:t>
      </w:r>
      <w:r w:rsidRPr="00755DE3">
        <w:t xml:space="preserve"> that become waste</w:t>
      </w:r>
      <w:r w:rsidR="00100A04" w:rsidRPr="00755DE3">
        <w:t>, including WtE</w:t>
      </w:r>
      <w:r w:rsidRPr="00755DE3">
        <w:t>.</w:t>
      </w:r>
      <w:r w:rsidR="00690AA8" w:rsidRPr="00755DE3">
        <w:t xml:space="preserve"> </w:t>
      </w:r>
    </w:p>
    <w:p w14:paraId="6F5BE938" w14:textId="7307D5B2" w:rsidR="000A6BB2" w:rsidRPr="00755DE3" w:rsidRDefault="00690AA8" w:rsidP="00197C1B">
      <w:pPr>
        <w:pStyle w:val="SingleTxtG"/>
      </w:pPr>
      <w:r w:rsidRPr="00755DE3">
        <w:t xml:space="preserve">The WtE industry </w:t>
      </w:r>
      <w:r w:rsidR="00AF7BEC" w:rsidRPr="00755DE3">
        <w:t xml:space="preserve">thus </w:t>
      </w:r>
      <w:r w:rsidRPr="00755DE3">
        <w:t xml:space="preserve">forms </w:t>
      </w:r>
      <w:r w:rsidR="00AF7BEC" w:rsidRPr="00755DE3">
        <w:t xml:space="preserve">in this context </w:t>
      </w:r>
      <w:r w:rsidRPr="00755DE3">
        <w:t xml:space="preserve">an interesting sub plot of the transition to the </w:t>
      </w:r>
      <w:r w:rsidR="00D77914" w:rsidRPr="00755DE3">
        <w:t>circular economy</w:t>
      </w:r>
      <w:r w:rsidRPr="00755DE3">
        <w:t xml:space="preserve">. From this perspective, it is considered an industry with a transition technology. But technologies that are transitory can go up as well as down; and </w:t>
      </w:r>
      <w:r w:rsidR="00AF7BEC" w:rsidRPr="00755DE3">
        <w:t xml:space="preserve">the WtE industry </w:t>
      </w:r>
      <w:r w:rsidRPr="00755DE3">
        <w:t xml:space="preserve">can </w:t>
      </w:r>
      <w:r w:rsidR="00AF7BEC" w:rsidRPr="00755DE3">
        <w:t xml:space="preserve">climb </w:t>
      </w:r>
      <w:r w:rsidRPr="00755DE3">
        <w:t xml:space="preserve">the waste hierarchy and become an industry with a future in the </w:t>
      </w:r>
      <w:r w:rsidR="00D77914" w:rsidRPr="00755DE3">
        <w:t>circular economy</w:t>
      </w:r>
      <w:r w:rsidRPr="00755DE3">
        <w:t xml:space="preserve">. </w:t>
      </w:r>
      <w:r w:rsidR="00AF7BEC" w:rsidRPr="00755DE3">
        <w:t>As stated above, t</w:t>
      </w:r>
      <w:r w:rsidRPr="00755DE3">
        <w:t xml:space="preserve">his will require the right enabling environment for the </w:t>
      </w:r>
      <w:r w:rsidR="00D77914" w:rsidRPr="00755DE3">
        <w:t>circular economy</w:t>
      </w:r>
      <w:r w:rsidRPr="00755DE3">
        <w:t xml:space="preserve"> and WtE. It is therefore important</w:t>
      </w:r>
      <w:r w:rsidR="00AF7BEC" w:rsidRPr="00755DE3">
        <w:t xml:space="preserve"> that </w:t>
      </w:r>
      <w:r w:rsidR="00531B15" w:rsidRPr="00755DE3">
        <w:t>G</w:t>
      </w:r>
      <w:r w:rsidR="00AF7BEC" w:rsidRPr="00755DE3">
        <w:t>overnments and all stakeholders</w:t>
      </w:r>
      <w:r w:rsidR="001A6361" w:rsidRPr="00755DE3">
        <w:t>,</w:t>
      </w:r>
      <w:r w:rsidRPr="00755DE3">
        <w:t xml:space="preserve"> </w:t>
      </w:r>
      <w:r w:rsidR="00100A04" w:rsidRPr="00755DE3">
        <w:t xml:space="preserve">as well as </w:t>
      </w:r>
      <w:r w:rsidRPr="00755DE3">
        <w:t xml:space="preserve">new projects adopt the </w:t>
      </w:r>
      <w:r w:rsidR="00A25658">
        <w:t xml:space="preserve">seven </w:t>
      </w:r>
      <w:r w:rsidR="009254B4" w:rsidRPr="009254B4">
        <w:t>best practice options</w:t>
      </w:r>
      <w:r w:rsidRPr="00755DE3">
        <w:t xml:space="preserve"> proposed in this document</w:t>
      </w:r>
      <w:r w:rsidR="008C4849" w:rsidRPr="00755DE3">
        <w:t>:</w:t>
      </w:r>
      <w:r w:rsidR="000872DA" w:rsidRPr="00755DE3">
        <w:t xml:space="preserve"> </w:t>
      </w:r>
    </w:p>
    <w:p w14:paraId="46C47B03" w14:textId="6AE78B71" w:rsidR="00CE1F7A" w:rsidRDefault="00CE1F7A" w:rsidP="00CE1F7A">
      <w:pPr>
        <w:pStyle w:val="SingleTxtG"/>
        <w:numPr>
          <w:ilvl w:val="1"/>
          <w:numId w:val="20"/>
        </w:numPr>
        <w:ind w:left="2070"/>
      </w:pPr>
      <w:bookmarkStart w:id="17" w:name="_Hlk54428915"/>
      <w:r>
        <w:t>Embed circular economy visions and principles into Government policies</w:t>
      </w:r>
      <w:r w:rsidR="004A1FE6">
        <w:t>;</w:t>
      </w:r>
    </w:p>
    <w:p w14:paraId="7AB00E35" w14:textId="09A06FA4" w:rsidR="00CE1F7A" w:rsidRDefault="00CE1F7A" w:rsidP="00CE1F7A">
      <w:pPr>
        <w:pStyle w:val="SingleTxtG"/>
        <w:numPr>
          <w:ilvl w:val="1"/>
          <w:numId w:val="20"/>
        </w:numPr>
        <w:ind w:left="2070"/>
      </w:pPr>
      <w:r>
        <w:t>Internalise externalities, gain social acceptance and mobilise investments</w:t>
      </w:r>
      <w:r w:rsidR="004A1FE6">
        <w:t>;</w:t>
      </w:r>
    </w:p>
    <w:p w14:paraId="4F1E0B94" w14:textId="37C487F4" w:rsidR="00CE1F7A" w:rsidRDefault="00CE1F7A" w:rsidP="00CE1F7A">
      <w:pPr>
        <w:pStyle w:val="SingleTxtG"/>
        <w:numPr>
          <w:ilvl w:val="1"/>
          <w:numId w:val="20"/>
        </w:numPr>
        <w:ind w:left="2070"/>
      </w:pPr>
      <w:r>
        <w:t>Select suitable technologies that are innovative and less polluting</w:t>
      </w:r>
      <w:r w:rsidR="004A1FE6">
        <w:t>;</w:t>
      </w:r>
    </w:p>
    <w:p w14:paraId="4EAEFE36" w14:textId="67DDA903" w:rsidR="00CE1F7A" w:rsidRDefault="00CE1F7A" w:rsidP="00CE1F7A">
      <w:pPr>
        <w:pStyle w:val="SingleTxtG"/>
        <w:numPr>
          <w:ilvl w:val="1"/>
          <w:numId w:val="20"/>
        </w:numPr>
        <w:ind w:left="2070"/>
      </w:pPr>
      <w:r>
        <w:t>Provide economic incentives and price supports</w:t>
      </w:r>
      <w:r w:rsidR="004A1FE6">
        <w:t>;</w:t>
      </w:r>
    </w:p>
    <w:p w14:paraId="2A5B4877" w14:textId="4511B7E9" w:rsidR="00CE1F7A" w:rsidRDefault="00CE1F7A" w:rsidP="00CE1F7A">
      <w:pPr>
        <w:pStyle w:val="SingleTxtG"/>
        <w:numPr>
          <w:ilvl w:val="1"/>
          <w:numId w:val="20"/>
        </w:numPr>
        <w:ind w:left="2070"/>
      </w:pPr>
      <w:r>
        <w:t>Identify good partners and monitor the performance of such partnerships</w:t>
      </w:r>
      <w:r w:rsidR="004A1FE6">
        <w:t>;</w:t>
      </w:r>
    </w:p>
    <w:p w14:paraId="0AF7D7D3" w14:textId="2965E512" w:rsidR="00CE1F7A" w:rsidRDefault="00CE1F7A" w:rsidP="00CE1F7A">
      <w:pPr>
        <w:pStyle w:val="SingleTxtG"/>
        <w:numPr>
          <w:ilvl w:val="1"/>
          <w:numId w:val="20"/>
        </w:numPr>
        <w:ind w:left="2070"/>
      </w:pPr>
      <w:r>
        <w:t>Establish transparent and open procurement processes and the adoption of a zero-tolerance approach to corruption in public procurement</w:t>
      </w:r>
      <w:r w:rsidR="004A1FE6">
        <w:t>; and</w:t>
      </w:r>
    </w:p>
    <w:p w14:paraId="1A2C320E" w14:textId="57CE6F74" w:rsidR="00773AC4" w:rsidRPr="00755DE3" w:rsidRDefault="00CE1F7A" w:rsidP="00CE1F7A">
      <w:pPr>
        <w:pStyle w:val="SingleTxtG"/>
        <w:numPr>
          <w:ilvl w:val="1"/>
          <w:numId w:val="20"/>
        </w:numPr>
        <w:ind w:left="2070"/>
      </w:pPr>
      <w:r>
        <w:t>Enhance local participation in projects that includes women’s empowerment and vulnerable groups and ensure strong stakeholder engagement.</w:t>
      </w:r>
    </w:p>
    <w:p w14:paraId="54004E96" w14:textId="7274EB8E" w:rsidR="00100A04" w:rsidRPr="00755DE3" w:rsidRDefault="00100A04" w:rsidP="00197C1B">
      <w:pPr>
        <w:pStyle w:val="SingleTxtG"/>
      </w:pPr>
      <w:bookmarkStart w:id="18" w:name="_Hlk55391898"/>
      <w:bookmarkEnd w:id="17"/>
      <w:r w:rsidRPr="00755DE3">
        <w:t xml:space="preserve">As a </w:t>
      </w:r>
      <w:r w:rsidRPr="00755DE3">
        <w:rPr>
          <w:u w:val="single"/>
        </w:rPr>
        <w:t>follow</w:t>
      </w:r>
      <w:r w:rsidR="00DA19DB" w:rsidRPr="00755DE3">
        <w:rPr>
          <w:u w:val="single"/>
        </w:rPr>
        <w:t xml:space="preserve"> up</w:t>
      </w:r>
      <w:r w:rsidRPr="00755DE3">
        <w:t xml:space="preserve"> </w:t>
      </w:r>
      <w:r w:rsidR="00DA19DB" w:rsidRPr="00755DE3">
        <w:t>to these Guidelines</w:t>
      </w:r>
      <w:r w:rsidRPr="00755DE3">
        <w:t>, the following can be suggested</w:t>
      </w:r>
      <w:r w:rsidR="001A6361" w:rsidRPr="00755DE3">
        <w:t>:</w:t>
      </w:r>
    </w:p>
    <w:p w14:paraId="62227703" w14:textId="6E783D53" w:rsidR="00125760" w:rsidRPr="00755DE3" w:rsidRDefault="00100A04" w:rsidP="008F5446">
      <w:pPr>
        <w:pStyle w:val="SingleTxtG"/>
        <w:numPr>
          <w:ilvl w:val="0"/>
          <w:numId w:val="13"/>
        </w:numPr>
      </w:pPr>
      <w:r w:rsidRPr="00CD6E54">
        <w:rPr>
          <w:b/>
          <w:bCs/>
        </w:rPr>
        <w:t>Promote</w:t>
      </w:r>
      <w:r w:rsidRPr="00121D81">
        <w:rPr>
          <w:b/>
          <w:bCs/>
        </w:rPr>
        <w:t xml:space="preserve"> dis</w:t>
      </w:r>
      <w:r w:rsidR="0005367B" w:rsidRPr="00121D81">
        <w:rPr>
          <w:b/>
          <w:bCs/>
        </w:rPr>
        <w:t>cussion</w:t>
      </w:r>
      <w:r w:rsidR="0005367B" w:rsidRPr="00755DE3">
        <w:t xml:space="preserve"> on </w:t>
      </w:r>
      <w:r w:rsidR="004538A7" w:rsidRPr="00755DE3">
        <w:t>the</w:t>
      </w:r>
      <w:r w:rsidR="0005367B" w:rsidRPr="00755DE3">
        <w:t xml:space="preserve"> </w:t>
      </w:r>
      <w:r w:rsidR="00CD6E54">
        <w:t xml:space="preserve">WtE </w:t>
      </w:r>
      <w:r w:rsidR="0005367B" w:rsidRPr="00755DE3">
        <w:t xml:space="preserve">Guidelines and its </w:t>
      </w:r>
      <w:r w:rsidR="00F2190A">
        <w:t>best practice options</w:t>
      </w:r>
      <w:r w:rsidR="0005367B" w:rsidRPr="00755DE3">
        <w:t xml:space="preserve"> by </w:t>
      </w:r>
      <w:r w:rsidR="008F337C" w:rsidRPr="00755DE3">
        <w:t>G</w:t>
      </w:r>
      <w:r w:rsidRPr="00755DE3">
        <w:t>overnments</w:t>
      </w:r>
      <w:r w:rsidR="0005367B" w:rsidRPr="00755DE3">
        <w:t>,</w:t>
      </w:r>
      <w:r w:rsidRPr="00755DE3">
        <w:t xml:space="preserve"> the business community and civil society</w:t>
      </w:r>
      <w:r w:rsidR="00F2190A">
        <w:t>.</w:t>
      </w:r>
      <w:r w:rsidR="00CC7582">
        <w:t xml:space="preserve"> In this regard, </w:t>
      </w:r>
      <w:r w:rsidR="00CC7582" w:rsidRPr="00121D81">
        <w:rPr>
          <w:b/>
          <w:bCs/>
        </w:rPr>
        <w:t>consult,</w:t>
      </w:r>
      <w:r w:rsidR="00CC7582">
        <w:t xml:space="preserve"> among others, with those governments who have ample experience in this regard, as well as those, whose engagement with WtE is still at an emerging stage. </w:t>
      </w:r>
    </w:p>
    <w:p w14:paraId="4BA0E3B9" w14:textId="684F0784" w:rsidR="00100A04" w:rsidRPr="00755DE3" w:rsidRDefault="00100A04" w:rsidP="00CC7582">
      <w:pPr>
        <w:pStyle w:val="SingleTxtG"/>
        <w:numPr>
          <w:ilvl w:val="0"/>
          <w:numId w:val="13"/>
        </w:numPr>
      </w:pPr>
      <w:r w:rsidRPr="00755DE3">
        <w:rPr>
          <w:b/>
          <w:bCs/>
        </w:rPr>
        <w:t>Disseminate</w:t>
      </w:r>
      <w:r w:rsidRPr="00755DE3">
        <w:t xml:space="preserve"> </w:t>
      </w:r>
      <w:r w:rsidR="00CC7582">
        <w:t xml:space="preserve">the WtE Guidelines </w:t>
      </w:r>
      <w:r w:rsidRPr="00755DE3">
        <w:t xml:space="preserve">to </w:t>
      </w:r>
      <w:r w:rsidR="004538A7" w:rsidRPr="00755DE3">
        <w:t>low- and middle-income</w:t>
      </w:r>
      <w:r w:rsidRPr="00755DE3">
        <w:t xml:space="preserve"> countries in the</w:t>
      </w:r>
      <w:r w:rsidR="004538A7" w:rsidRPr="00755DE3">
        <w:t xml:space="preserve"> </w:t>
      </w:r>
      <w:r w:rsidR="00914626" w:rsidRPr="00755DE3">
        <w:t>ECE</w:t>
      </w:r>
      <w:r w:rsidRPr="00755DE3">
        <w:t xml:space="preserve"> region</w:t>
      </w:r>
      <w:r w:rsidR="0091189F" w:rsidRPr="00755DE3">
        <w:t>.</w:t>
      </w:r>
      <w:r w:rsidR="00CC7582">
        <w:t xml:space="preserve"> In </w:t>
      </w:r>
      <w:r w:rsidR="00CB7934">
        <w:t>this regard</w:t>
      </w:r>
      <w:r w:rsidR="00CC7582">
        <w:t xml:space="preserve">, </w:t>
      </w:r>
      <w:r w:rsidR="00CC7582">
        <w:rPr>
          <w:b/>
          <w:bCs/>
        </w:rPr>
        <w:t>e</w:t>
      </w:r>
      <w:r w:rsidRPr="00CC7582">
        <w:rPr>
          <w:b/>
          <w:bCs/>
        </w:rPr>
        <w:t>ncourage</w:t>
      </w:r>
      <w:r w:rsidRPr="00755DE3">
        <w:t xml:space="preserve"> countries to cooperate both bilaterally and multilaterally to disseminate best practise P</w:t>
      </w:r>
      <w:r w:rsidR="0091189F" w:rsidRPr="00755DE3">
        <w:t xml:space="preserve">eople-first </w:t>
      </w:r>
      <w:r w:rsidR="005370D4" w:rsidRPr="00755DE3">
        <w:t>PPPs</w:t>
      </w:r>
      <w:r w:rsidRPr="00755DE3">
        <w:t xml:space="preserve"> in the </w:t>
      </w:r>
      <w:r w:rsidR="004538A7" w:rsidRPr="00755DE3">
        <w:t xml:space="preserve">WtE </w:t>
      </w:r>
      <w:r w:rsidRPr="00755DE3">
        <w:t xml:space="preserve">industry, </w:t>
      </w:r>
      <w:r w:rsidR="004538A7" w:rsidRPr="00755DE3">
        <w:t>e.g.</w:t>
      </w:r>
      <w:r w:rsidRPr="00755DE3">
        <w:t xml:space="preserve"> Switzerland</w:t>
      </w:r>
      <w:r w:rsidR="0091189F" w:rsidRPr="00755DE3">
        <w:t>.</w:t>
      </w:r>
    </w:p>
    <w:p w14:paraId="5FC1C315" w14:textId="1AFDFBDD" w:rsidR="00100A04" w:rsidRPr="00755DE3" w:rsidRDefault="00CC7582" w:rsidP="008F5446">
      <w:pPr>
        <w:pStyle w:val="SingleTxtG"/>
        <w:numPr>
          <w:ilvl w:val="0"/>
          <w:numId w:val="13"/>
        </w:numPr>
      </w:pPr>
      <w:r>
        <w:rPr>
          <w:b/>
          <w:bCs/>
        </w:rPr>
        <w:t>Use the WtE Guidelines as a test case for</w:t>
      </w:r>
      <w:r w:rsidR="00100A04" w:rsidRPr="00755DE3">
        <w:t xml:space="preserve"> </w:t>
      </w:r>
      <w:r w:rsidR="00DA19DB" w:rsidRPr="00755DE3">
        <w:t xml:space="preserve">the </w:t>
      </w:r>
      <w:r w:rsidR="00914626" w:rsidRPr="00755DE3">
        <w:t>ECE</w:t>
      </w:r>
      <w:r w:rsidR="00DA19DB" w:rsidRPr="00755DE3">
        <w:t xml:space="preserve"> </w:t>
      </w:r>
      <w:r w:rsidR="00374172" w:rsidRPr="00755DE3">
        <w:t>People-first PPP E</w:t>
      </w:r>
      <w:r w:rsidR="00100A04" w:rsidRPr="00755DE3">
        <w:t xml:space="preserve">valuation </w:t>
      </w:r>
      <w:r w:rsidR="00374172" w:rsidRPr="00755DE3">
        <w:t>M</w:t>
      </w:r>
      <w:r w:rsidR="00100A04" w:rsidRPr="00755DE3">
        <w:t>ethodology</w:t>
      </w:r>
      <w:r w:rsidR="00374172" w:rsidRPr="00755DE3">
        <w:t>,</w:t>
      </w:r>
      <w:r w:rsidR="00A22E56" w:rsidRPr="00755DE3">
        <w:rPr>
          <w:rStyle w:val="FootnoteReference"/>
        </w:rPr>
        <w:footnoteReference w:id="38"/>
      </w:r>
      <w:r w:rsidR="00374172" w:rsidRPr="00755DE3">
        <w:t xml:space="preserve"> when finalised and approved by ECE</w:t>
      </w:r>
      <w:r w:rsidR="005210AE" w:rsidRPr="00755DE3">
        <w:t xml:space="preserve"> member States</w:t>
      </w:r>
      <w:r w:rsidR="00374172" w:rsidRPr="00755DE3">
        <w:t>,</w:t>
      </w:r>
      <w:r w:rsidR="00100A04" w:rsidRPr="00755DE3">
        <w:t xml:space="preserve"> in some W</w:t>
      </w:r>
      <w:r w:rsidR="00374172" w:rsidRPr="00755DE3">
        <w:t>t</w:t>
      </w:r>
      <w:r w:rsidR="00100A04" w:rsidRPr="00755DE3">
        <w:t xml:space="preserve">E projects to determine their </w:t>
      </w:r>
      <w:r w:rsidR="005B213D" w:rsidRPr="00755DE3">
        <w:t>People-first</w:t>
      </w:r>
      <w:r w:rsidR="00100A04" w:rsidRPr="00755DE3">
        <w:t xml:space="preserve"> </w:t>
      </w:r>
      <w:r w:rsidR="004538A7" w:rsidRPr="00755DE3">
        <w:t>qualities</w:t>
      </w:r>
      <w:r w:rsidR="00100A04" w:rsidRPr="00755DE3">
        <w:t xml:space="preserve"> and disseminate the results </w:t>
      </w:r>
      <w:r w:rsidR="0005367B" w:rsidRPr="00755DE3">
        <w:t>to</w:t>
      </w:r>
      <w:r w:rsidR="001A6361" w:rsidRPr="00755DE3">
        <w:t xml:space="preserve"> </w:t>
      </w:r>
      <w:r w:rsidR="00100A04" w:rsidRPr="00755DE3">
        <w:t>stakeholders</w:t>
      </w:r>
      <w:r w:rsidR="005A1D83" w:rsidRPr="00755DE3">
        <w:t>.</w:t>
      </w:r>
      <w:r w:rsidR="00100A04" w:rsidRPr="00755DE3">
        <w:t xml:space="preserve"> </w:t>
      </w:r>
    </w:p>
    <w:p w14:paraId="688C0592" w14:textId="59F107A0" w:rsidR="0005367B" w:rsidRPr="00755DE3" w:rsidRDefault="00100A04" w:rsidP="008F5446">
      <w:pPr>
        <w:pStyle w:val="SingleTxtG"/>
        <w:numPr>
          <w:ilvl w:val="0"/>
          <w:numId w:val="13"/>
        </w:numPr>
      </w:pPr>
      <w:r w:rsidRPr="00755DE3">
        <w:rPr>
          <w:b/>
          <w:bCs/>
        </w:rPr>
        <w:t>Prepare</w:t>
      </w:r>
      <w:r w:rsidRPr="00755DE3">
        <w:t xml:space="preserve"> </w:t>
      </w:r>
      <w:r w:rsidR="00F02B14" w:rsidRPr="00755DE3">
        <w:t>stepwise guidance on how</w:t>
      </w:r>
      <w:r w:rsidR="0005367B" w:rsidRPr="00755DE3">
        <w:t xml:space="preserve"> the</w:t>
      </w:r>
      <w:r w:rsidR="00F02B14" w:rsidRPr="00755DE3">
        <w:t xml:space="preserve"> W</w:t>
      </w:r>
      <w:r w:rsidR="00374172" w:rsidRPr="00755DE3">
        <w:t>t</w:t>
      </w:r>
      <w:r w:rsidR="00F02B14" w:rsidRPr="00755DE3">
        <w:t xml:space="preserve">E industry can </w:t>
      </w:r>
      <w:r w:rsidR="00CC7582">
        <w:t xml:space="preserve">maximize its contribution to the transition to a </w:t>
      </w:r>
      <w:r w:rsidR="00D77914" w:rsidRPr="00755DE3">
        <w:t>circular economy</w:t>
      </w:r>
      <w:r w:rsidR="0005367B" w:rsidRPr="00755DE3">
        <w:t>.</w:t>
      </w:r>
    </w:p>
    <w:bookmarkEnd w:id="18"/>
    <w:p w14:paraId="3656812E" w14:textId="2FA68094" w:rsidR="00792F38" w:rsidRPr="00755DE3" w:rsidRDefault="00792F38" w:rsidP="00792F38">
      <w:pPr>
        <w:spacing w:before="240"/>
        <w:jc w:val="center"/>
        <w:rPr>
          <w:u w:val="single"/>
        </w:rPr>
      </w:pPr>
      <w:r w:rsidRPr="00755DE3">
        <w:rPr>
          <w:u w:val="single"/>
        </w:rPr>
        <w:tab/>
      </w:r>
      <w:r w:rsidRPr="00755DE3">
        <w:rPr>
          <w:u w:val="single"/>
        </w:rPr>
        <w:tab/>
      </w:r>
      <w:r w:rsidRPr="00755DE3">
        <w:rPr>
          <w:u w:val="single"/>
        </w:rPr>
        <w:tab/>
      </w:r>
    </w:p>
    <w:p w14:paraId="32B0DF40" w14:textId="4C911BAB" w:rsidR="00BD0F50" w:rsidRPr="00755DE3" w:rsidRDefault="00197C1B" w:rsidP="00792F38">
      <w:pPr>
        <w:pStyle w:val="HChG"/>
        <w:ind w:hanging="1215"/>
        <w:rPr>
          <w:bCs/>
        </w:rPr>
      </w:pPr>
      <w:r w:rsidRPr="00755DE3">
        <w:rPr>
          <w:bCs/>
        </w:rPr>
        <w:br w:type="page"/>
      </w:r>
      <w:bookmarkStart w:id="19" w:name="_Toc54086136"/>
      <w:r w:rsidR="00BD0F50" w:rsidRPr="00755DE3">
        <w:lastRenderedPageBreak/>
        <w:t>Annexes</w:t>
      </w:r>
      <w:bookmarkEnd w:id="19"/>
    </w:p>
    <w:p w14:paraId="19B13546" w14:textId="4421E552" w:rsidR="005B7D6A" w:rsidRPr="00755DE3" w:rsidRDefault="00BD0F50" w:rsidP="00BD0F50">
      <w:pPr>
        <w:pStyle w:val="H1G"/>
        <w:ind w:firstLine="1134"/>
      </w:pPr>
      <w:r w:rsidRPr="00755DE3">
        <w:tab/>
      </w:r>
      <w:bookmarkStart w:id="20" w:name="_Toc54086137"/>
      <w:r w:rsidR="005B7D6A" w:rsidRPr="00755DE3">
        <w:t>Annex 1.</w:t>
      </w:r>
      <w:r w:rsidR="00A20165">
        <w:t xml:space="preserve"> </w:t>
      </w:r>
      <w:r w:rsidR="005B7D6A" w:rsidRPr="00755DE3">
        <w:t>Executive summary</w:t>
      </w:r>
      <w:bookmarkEnd w:id="20"/>
    </w:p>
    <w:p w14:paraId="3E558FA7" w14:textId="77777777" w:rsidR="005B7D6A" w:rsidRPr="00755DE3" w:rsidRDefault="005B7D6A" w:rsidP="005B7D6A">
      <w:pPr>
        <w:pStyle w:val="SingleTxtG"/>
        <w:rPr>
          <w:b/>
          <w:bCs/>
        </w:rPr>
      </w:pPr>
      <w:r w:rsidRPr="00755DE3">
        <w:rPr>
          <w:b/>
          <w:bCs/>
        </w:rPr>
        <w:t xml:space="preserve">Challenge – Making sense of the circular economy </w:t>
      </w:r>
    </w:p>
    <w:p w14:paraId="7374CF9C" w14:textId="2A11C89D" w:rsidR="005B7D6A" w:rsidRPr="00755DE3" w:rsidRDefault="005B7D6A" w:rsidP="005B7D6A">
      <w:pPr>
        <w:pStyle w:val="SingleTxtG"/>
      </w:pPr>
      <w:r w:rsidRPr="00755DE3">
        <w:t xml:space="preserve">Waste and what to do about it, is a critical challenge facing our time, arising from the high consumption and constantly buying culture of the economy – so called linear economy – as well as increasing production, trade and urban populations and a </w:t>
      </w:r>
      <w:r w:rsidR="00244C51" w:rsidRPr="00755DE3">
        <w:t>“</w:t>
      </w:r>
      <w:r w:rsidRPr="00755DE3">
        <w:t>throwaway culture</w:t>
      </w:r>
      <w:r w:rsidR="00244C51" w:rsidRPr="00755DE3">
        <w:t>”</w:t>
      </w:r>
      <w:r w:rsidRPr="00755DE3">
        <w:t>. There is a gathering consensus that the only sustainable solution to deal with waste before it becomes a problem, is to make it part of a reuse, re purpose, reduce, and recycle circular process. Under such a process, waste is taken out as a source of problems and becomes a valued resource, like other products in the circle.</w:t>
      </w:r>
    </w:p>
    <w:p w14:paraId="634D7A9F" w14:textId="77777777" w:rsidR="005B7D6A" w:rsidRPr="00755DE3" w:rsidRDefault="005B7D6A" w:rsidP="005B7D6A">
      <w:pPr>
        <w:pStyle w:val="SingleTxtG"/>
        <w:rPr>
          <w:b/>
          <w:bCs/>
        </w:rPr>
      </w:pPr>
      <w:r w:rsidRPr="00755DE3">
        <w:rPr>
          <w:b/>
          <w:bCs/>
        </w:rPr>
        <w:t>Purpose and main thesis</w:t>
      </w:r>
    </w:p>
    <w:p w14:paraId="2E6615C8" w14:textId="4A2AF23D" w:rsidR="005B7D6A" w:rsidRPr="00755DE3" w:rsidRDefault="005B7D6A" w:rsidP="005B7D6A">
      <w:pPr>
        <w:pStyle w:val="SingleTxtG"/>
      </w:pPr>
      <w:r w:rsidRPr="00755DE3">
        <w:t xml:space="preserve">The purpose of these Guidelines is to explore the ways the </w:t>
      </w:r>
      <w:r w:rsidR="00381859" w:rsidRPr="00755DE3">
        <w:t>Waste-to-Energy</w:t>
      </w:r>
      <w:r w:rsidRPr="00755DE3">
        <w:t xml:space="preserve"> (WtE) industry can become part of the solution – not part of the problem. Although rather specialised, these Guidelines nonetheless provide lessons to other industries seeking to make the necessary adjustments to more rational and efficient production processes and the </w:t>
      </w:r>
      <w:r w:rsidR="00244C51" w:rsidRPr="00755DE3">
        <w:t>“</w:t>
      </w:r>
      <w:r w:rsidRPr="00755DE3">
        <w:t>circular economy</w:t>
      </w:r>
      <w:r w:rsidR="00244C51" w:rsidRPr="00755DE3">
        <w:t>”</w:t>
      </w:r>
      <w:r w:rsidRPr="00755DE3">
        <w:t xml:space="preserve">. While it is now fairly well understood what both the linear economy is and what the circular economy aspires to be in the future, less well understood is the </w:t>
      </w:r>
      <w:r w:rsidR="00244C51" w:rsidRPr="00755DE3">
        <w:t>“</w:t>
      </w:r>
      <w:r w:rsidRPr="00755DE3">
        <w:t>middle</w:t>
      </w:r>
      <w:r w:rsidR="00244C51" w:rsidRPr="00755DE3">
        <w:t>”</w:t>
      </w:r>
      <w:r w:rsidRPr="00755DE3">
        <w:t xml:space="preserve"> of the spectrum and the actions required from </w:t>
      </w:r>
      <w:r w:rsidR="00FD7714" w:rsidRPr="00755DE3">
        <w:t>G</w:t>
      </w:r>
      <w:r w:rsidRPr="00755DE3">
        <w:t xml:space="preserve">overnments, businesses and the civil society needed to make the transition successfully. </w:t>
      </w:r>
    </w:p>
    <w:p w14:paraId="1D5E6257" w14:textId="77777777" w:rsidR="005B7D6A" w:rsidRPr="00755DE3" w:rsidRDefault="005B7D6A" w:rsidP="005B7D6A">
      <w:pPr>
        <w:pStyle w:val="SingleTxtG"/>
      </w:pPr>
      <w:r w:rsidRPr="00755DE3">
        <w:t>The central thesis is that WtE has the potential to become a circular economy process. Specifically, it has a role to play in the circular economy as a compliment to recycling. But People-first Public-Private Partnerships (PPPs) – a high quality version of the PPP model – are needed to make WtE projects compatible with the Sustainable Development Goals (SDGs). Considerable efforts, moreover, will be needed to make this transition become a reality.</w:t>
      </w:r>
    </w:p>
    <w:p w14:paraId="48EF5E6D" w14:textId="77777777" w:rsidR="005B7D6A" w:rsidRPr="00755DE3" w:rsidRDefault="005B7D6A" w:rsidP="005B7D6A">
      <w:pPr>
        <w:pStyle w:val="SingleTxtG"/>
        <w:rPr>
          <w:b/>
          <w:bCs/>
        </w:rPr>
      </w:pPr>
      <w:r w:rsidRPr="00755DE3">
        <w:rPr>
          <w:b/>
          <w:bCs/>
        </w:rPr>
        <w:t>WtE not compatible with circular economy processes</w:t>
      </w:r>
    </w:p>
    <w:p w14:paraId="220645A1" w14:textId="77777777" w:rsidR="005B7D6A" w:rsidRPr="00755DE3" w:rsidRDefault="005B7D6A" w:rsidP="005B7D6A">
      <w:pPr>
        <w:pStyle w:val="SingleTxtG"/>
      </w:pPr>
      <w:r w:rsidRPr="00755DE3">
        <w:t>The WtE industry was, until quite recently, considered positively especially compared to landfills the oldest and most common form of waste disposal. In many European countries, landfill space is at a premium. Furthermore, one of the main arguments in support of WtE is that it creates a net positive impact in terms of greenhouse gas reduction and climate change mitigation because it produces energy, thereby displacing the equivalent electricity and heat generated from other sources, generally fossil fuels.</w:t>
      </w:r>
    </w:p>
    <w:p w14:paraId="65A9F6A5" w14:textId="77777777" w:rsidR="005B7D6A" w:rsidRPr="00755DE3" w:rsidRDefault="005B7D6A" w:rsidP="005B7D6A">
      <w:pPr>
        <w:pStyle w:val="SingleTxtG"/>
      </w:pPr>
      <w:r w:rsidRPr="00755DE3">
        <w:t>But that positive perception towards WtE, has almost disappeared: the European Commission and the European Investment Bank (EIB) for example, no longer consider WtE as a circular economy process. The major reason for this position is that WtE diverts waste that could be recycled and reused as part of the circular economy.</w:t>
      </w:r>
    </w:p>
    <w:p w14:paraId="44680AE2" w14:textId="77777777" w:rsidR="005B7D6A" w:rsidRPr="00755DE3" w:rsidRDefault="005B7D6A" w:rsidP="005B7D6A">
      <w:pPr>
        <w:pStyle w:val="SingleTxtG"/>
        <w:rPr>
          <w:b/>
          <w:bCs/>
        </w:rPr>
      </w:pPr>
      <w:r w:rsidRPr="00755DE3">
        <w:rPr>
          <w:b/>
          <w:bCs/>
        </w:rPr>
        <w:t>Three main arguments critical of WtE as a circular process</w:t>
      </w:r>
    </w:p>
    <w:p w14:paraId="66764C00" w14:textId="77777777" w:rsidR="005B7D6A" w:rsidRPr="00755DE3" w:rsidRDefault="005B7D6A" w:rsidP="005B7D6A">
      <w:pPr>
        <w:pStyle w:val="SingleTxtG"/>
      </w:pPr>
      <w:r w:rsidRPr="00755DE3">
        <w:t xml:space="preserve">There are three main arguments against treating WtE as consistent with circular economy processes: </w:t>
      </w:r>
    </w:p>
    <w:p w14:paraId="693A6E70" w14:textId="77777777" w:rsidR="009B65CB" w:rsidRDefault="009B65CB" w:rsidP="009B65CB">
      <w:pPr>
        <w:pStyle w:val="SingleTxtG"/>
        <w:numPr>
          <w:ilvl w:val="0"/>
          <w:numId w:val="5"/>
        </w:numPr>
      </w:pPr>
      <w:r>
        <w:t>WtE reduces recycling/composting, acting as a disincentive or even barrier to circular economy or zero waste practices. Turning unsorted and usable trash into a valuable fuel commodity means communities are less likely to choose to reduce, reuse and recycle it.</w:t>
      </w:r>
    </w:p>
    <w:p w14:paraId="01AB9FA6" w14:textId="77777777" w:rsidR="009B65CB" w:rsidRDefault="009B65CB" w:rsidP="009B65CB">
      <w:pPr>
        <w:pStyle w:val="SingleTxtG"/>
        <w:numPr>
          <w:ilvl w:val="0"/>
          <w:numId w:val="5"/>
        </w:numPr>
      </w:pPr>
      <w:r>
        <w:t>WtE raises environmental concerns, exacerbating climate change, emitting toxic emissions and giving rise to air pollution.</w:t>
      </w:r>
    </w:p>
    <w:p w14:paraId="3018586E" w14:textId="77777777" w:rsidR="009B65CB" w:rsidRDefault="009B65CB" w:rsidP="009B65CB">
      <w:pPr>
        <w:pStyle w:val="SingleTxtG"/>
        <w:numPr>
          <w:ilvl w:val="0"/>
          <w:numId w:val="5"/>
        </w:numPr>
      </w:pPr>
      <w:r>
        <w:t>WtE raises public health concerns for the population, emitting carcinogenic pathogens.</w:t>
      </w:r>
    </w:p>
    <w:p w14:paraId="70BE8785" w14:textId="3105457D" w:rsidR="002B7404" w:rsidRPr="00755DE3" w:rsidRDefault="009B65CB" w:rsidP="009B65CB">
      <w:pPr>
        <w:pStyle w:val="SingleTxtG"/>
        <w:numPr>
          <w:ilvl w:val="0"/>
          <w:numId w:val="5"/>
        </w:numPr>
      </w:pPr>
      <w:r>
        <w:t xml:space="preserve">WtE raises societal concerns and communities are opposed to them in their neighbourhoods. In some countries, popular protests have taken place over the </w:t>
      </w:r>
      <w:r>
        <w:lastRenderedPageBreak/>
        <w:t>location of WtE plants reflecting serious concerns by residents on the impact to their health.</w:t>
      </w:r>
    </w:p>
    <w:p w14:paraId="62E738D1" w14:textId="5328357D" w:rsidR="005B7D6A" w:rsidRPr="00755DE3" w:rsidRDefault="005B7D6A" w:rsidP="005B7D6A">
      <w:pPr>
        <w:pStyle w:val="SingleTxtG"/>
      </w:pPr>
      <w:r w:rsidRPr="00755DE3">
        <w:t xml:space="preserve">In fact, on closer inspection, these arguments are far from being clear cut. There is, for example, the empirical fact that WtE takes place in developed countries where recycling also takes place. In this context, WtE is the only proven alternative to landfilling for materials that cannot be recycled. </w:t>
      </w:r>
    </w:p>
    <w:p w14:paraId="5B7B9885" w14:textId="07AC9556" w:rsidR="005B7D6A" w:rsidRPr="00755DE3" w:rsidRDefault="005B7D6A" w:rsidP="005B7D6A">
      <w:pPr>
        <w:pStyle w:val="SingleTxtG"/>
      </w:pPr>
      <w:r w:rsidRPr="00755DE3">
        <w:t xml:space="preserve">However, the industry needs to re develop itself with a new vision and product line. The </w:t>
      </w:r>
      <w:r w:rsidR="009254B4" w:rsidRPr="009254B4">
        <w:t>best practice options</w:t>
      </w:r>
      <w:r w:rsidRPr="00755DE3">
        <w:t xml:space="preserve"> for this to happen and to make the projects in WtE industry genuinely compatible with ECE’s People-first approach to PPPs are as follows: </w:t>
      </w:r>
    </w:p>
    <w:p w14:paraId="2F97040E" w14:textId="5F6917AF" w:rsidR="005B7D6A" w:rsidRPr="00755DE3" w:rsidRDefault="005B7D6A" w:rsidP="005B7D6A">
      <w:pPr>
        <w:pStyle w:val="SingleTxtG"/>
      </w:pPr>
      <w:r w:rsidRPr="00755DE3">
        <w:rPr>
          <w:u w:val="single"/>
        </w:rPr>
        <w:t>Vision</w:t>
      </w:r>
      <w:r w:rsidRPr="00755DE3">
        <w:t>:</w:t>
      </w:r>
      <w:r w:rsidR="00590E2B">
        <w:t xml:space="preserve"> </w:t>
      </w:r>
      <w:r w:rsidR="00590E2B" w:rsidRPr="00590E2B">
        <w:t>Embed circular economy visions and principles into Government policies</w:t>
      </w:r>
    </w:p>
    <w:p w14:paraId="4F83497A" w14:textId="7B424B7C" w:rsidR="005B7D6A" w:rsidRPr="00755DE3" w:rsidRDefault="00281A8B" w:rsidP="005B7D6A">
      <w:pPr>
        <w:pStyle w:val="SingleTxtG"/>
        <w:numPr>
          <w:ilvl w:val="0"/>
          <w:numId w:val="4"/>
        </w:numPr>
        <w:rPr>
          <w:i/>
          <w:iCs/>
        </w:rPr>
      </w:pPr>
      <w:r w:rsidRPr="00281A8B">
        <w:rPr>
          <w:i/>
          <w:iCs/>
        </w:rPr>
        <w:t>People-first WtE PPPs should turn waste into a resource and operate the enterprise as a purpose-oriented business (with purpose before profit), a client-oriented focus and generating new business and service opportunities. Governments and local authorities need to encourage the WtE industry to operate with contributing to the circular economy as a core objective</w:t>
      </w:r>
      <w:r w:rsidR="005B7D6A" w:rsidRPr="00755DE3">
        <w:rPr>
          <w:i/>
          <w:iCs/>
        </w:rPr>
        <w:t>.</w:t>
      </w:r>
    </w:p>
    <w:p w14:paraId="7AA6B697" w14:textId="79D06287" w:rsidR="005B7D6A" w:rsidRPr="00755DE3" w:rsidRDefault="005B7D6A" w:rsidP="005B7D6A">
      <w:pPr>
        <w:pStyle w:val="SingleTxtG"/>
      </w:pPr>
      <w:r w:rsidRPr="00755DE3">
        <w:rPr>
          <w:u w:val="single"/>
        </w:rPr>
        <w:t>Scope and scale</w:t>
      </w:r>
      <w:r w:rsidRPr="00755DE3">
        <w:t>:</w:t>
      </w:r>
      <w:r w:rsidR="005B3AD7">
        <w:t xml:space="preserve"> </w:t>
      </w:r>
      <w:r w:rsidR="005B3AD7" w:rsidRPr="005B3AD7">
        <w:t>Internalise externalities, gain social acceptance and mobilise investments</w:t>
      </w:r>
    </w:p>
    <w:p w14:paraId="68B7C6EC" w14:textId="3617CF91" w:rsidR="005B7D6A" w:rsidRPr="00755DE3" w:rsidRDefault="00512365" w:rsidP="005B7D6A">
      <w:pPr>
        <w:pStyle w:val="SingleTxtG"/>
        <w:numPr>
          <w:ilvl w:val="0"/>
          <w:numId w:val="4"/>
        </w:numPr>
        <w:rPr>
          <w:i/>
          <w:iCs/>
        </w:rPr>
      </w:pPr>
      <w:r w:rsidRPr="00512365">
        <w:rPr>
          <w:i/>
          <w:iCs/>
        </w:rPr>
        <w:t>The waste hierarchy should encapsulate the circular economy activities as presented in Figure 2. In this context, emphasis should be given on two separate activities: resource management, and waste management. The first requires advocacy of innovations, and strong regulatory environment to enhance the smarter product use and manufacture, as well as to extend the lifespan of product cycles. Waste management should be related to maximum resource and energy recovery, not landfilling or incineration of wastes without energy recovery. Also, People-first PPPs should focus on marginalised and vulnerable groups trying to survive in an ever more dangerous world, such as refugees, first nation, etc</w:t>
      </w:r>
      <w:r w:rsidR="005B7D6A" w:rsidRPr="00755DE3">
        <w:rPr>
          <w:i/>
          <w:iCs/>
        </w:rPr>
        <w:t xml:space="preserve">. </w:t>
      </w:r>
    </w:p>
    <w:p w14:paraId="6D57468A" w14:textId="0E30302B" w:rsidR="005B7D6A" w:rsidRPr="00755DE3" w:rsidRDefault="005B7D6A" w:rsidP="005B7D6A">
      <w:pPr>
        <w:pStyle w:val="SingleTxtG"/>
      </w:pPr>
      <w:r w:rsidRPr="00755DE3">
        <w:rPr>
          <w:u w:val="single"/>
        </w:rPr>
        <w:t>Technology and capacity building</w:t>
      </w:r>
      <w:r w:rsidRPr="00755DE3">
        <w:t>:</w:t>
      </w:r>
      <w:r w:rsidR="005B3AD7">
        <w:t xml:space="preserve"> </w:t>
      </w:r>
      <w:r w:rsidR="005B3AD7" w:rsidRPr="005B3AD7">
        <w:t>Select suitable technologies that are innovative and less polluting</w:t>
      </w:r>
    </w:p>
    <w:p w14:paraId="483A112C" w14:textId="4BEAD49B" w:rsidR="005B7D6A" w:rsidRPr="00755DE3" w:rsidRDefault="00512365" w:rsidP="005B7D6A">
      <w:pPr>
        <w:pStyle w:val="SingleTxtG"/>
        <w:numPr>
          <w:ilvl w:val="0"/>
          <w:numId w:val="4"/>
        </w:numPr>
        <w:rPr>
          <w:i/>
          <w:iCs/>
        </w:rPr>
      </w:pPr>
      <w:r w:rsidRPr="00512365">
        <w:rPr>
          <w:i/>
          <w:iCs/>
        </w:rPr>
        <w:t>People-first WtE PPPs should adopt the right circular economy enhancing technologies including “cleaning” the circular process by removing dangerous harmful substances and helping the local economy with skills development to utilise these technologies.</w:t>
      </w:r>
    </w:p>
    <w:p w14:paraId="76B19455" w14:textId="16DF9B33" w:rsidR="005B7D6A" w:rsidRPr="00755DE3" w:rsidRDefault="005B7D6A" w:rsidP="005B7D6A">
      <w:pPr>
        <w:pStyle w:val="SingleTxtG"/>
      </w:pPr>
      <w:r w:rsidRPr="00755DE3">
        <w:rPr>
          <w:u w:val="single"/>
        </w:rPr>
        <w:t>Fiscal incentives</w:t>
      </w:r>
      <w:r w:rsidRPr="00755DE3">
        <w:t>:</w:t>
      </w:r>
      <w:r w:rsidR="005B3AD7">
        <w:t xml:space="preserve"> </w:t>
      </w:r>
      <w:r w:rsidR="005B3AD7" w:rsidRPr="005B3AD7">
        <w:t>Provide economic incentives and price supports</w:t>
      </w:r>
    </w:p>
    <w:p w14:paraId="1594686F" w14:textId="5DEEC0C8" w:rsidR="005B7D6A" w:rsidRPr="00755DE3" w:rsidRDefault="008F2910" w:rsidP="005B7D6A">
      <w:pPr>
        <w:pStyle w:val="SingleTxtG"/>
        <w:numPr>
          <w:ilvl w:val="0"/>
          <w:numId w:val="4"/>
        </w:numPr>
        <w:rPr>
          <w:i/>
          <w:iCs/>
        </w:rPr>
      </w:pPr>
      <w:r w:rsidRPr="008F2910">
        <w:rPr>
          <w:i/>
          <w:iCs/>
        </w:rPr>
        <w:t>People-first WtE PPPs should benefit from fiscal incentives that encourage such projects to adopt circular economy processes and move upwards in the waste hierarchy</w:t>
      </w:r>
      <w:r w:rsidR="005B7D6A" w:rsidRPr="00755DE3">
        <w:rPr>
          <w:i/>
          <w:iCs/>
        </w:rPr>
        <w:t>.</w:t>
      </w:r>
    </w:p>
    <w:p w14:paraId="79771EFF" w14:textId="6661DFB4" w:rsidR="005B7D6A" w:rsidRPr="00755DE3" w:rsidRDefault="005B7D6A" w:rsidP="005B7D6A">
      <w:pPr>
        <w:pStyle w:val="SingleTxtG"/>
      </w:pPr>
      <w:r w:rsidRPr="00755DE3">
        <w:rPr>
          <w:u w:val="single"/>
        </w:rPr>
        <w:t>Partnering and partnerships</w:t>
      </w:r>
      <w:r w:rsidRPr="00755DE3">
        <w:t>:</w:t>
      </w:r>
      <w:r w:rsidR="005B3AD7">
        <w:t xml:space="preserve"> </w:t>
      </w:r>
      <w:r w:rsidR="005B3AD7" w:rsidRPr="005B3AD7">
        <w:t>Identify good partners and monitor the performance of such partnerships</w:t>
      </w:r>
    </w:p>
    <w:p w14:paraId="69ED1113" w14:textId="294C1708" w:rsidR="005B7D6A" w:rsidRPr="00755DE3" w:rsidRDefault="00FB235C" w:rsidP="005B7D6A">
      <w:pPr>
        <w:pStyle w:val="SingleTxtG"/>
        <w:numPr>
          <w:ilvl w:val="0"/>
          <w:numId w:val="4"/>
        </w:numPr>
        <w:rPr>
          <w:i/>
          <w:iCs/>
        </w:rPr>
      </w:pPr>
      <w:r>
        <w:rPr>
          <w:i/>
          <w:iCs/>
        </w:rPr>
        <w:t>P</w:t>
      </w:r>
      <w:r w:rsidRPr="00FB235C">
        <w:rPr>
          <w:i/>
          <w:iCs/>
        </w:rPr>
        <w:t>eople-first WtE PPPs should partner only with enterprises that display WtE technologies compatible with circular economy processes</w:t>
      </w:r>
      <w:r w:rsidR="005B7D6A" w:rsidRPr="00755DE3">
        <w:rPr>
          <w:i/>
          <w:iCs/>
        </w:rPr>
        <w:t>.</w:t>
      </w:r>
    </w:p>
    <w:p w14:paraId="46B4EA3B" w14:textId="779A394D" w:rsidR="005B7D6A" w:rsidRPr="00755DE3" w:rsidRDefault="005B7D6A" w:rsidP="005B7D6A">
      <w:pPr>
        <w:pStyle w:val="SingleTxtG"/>
      </w:pPr>
      <w:r w:rsidRPr="00755DE3">
        <w:rPr>
          <w:u w:val="single"/>
        </w:rPr>
        <w:t>Public procurements and good governance</w:t>
      </w:r>
      <w:r w:rsidRPr="00755DE3">
        <w:t>:</w:t>
      </w:r>
      <w:r w:rsidR="00A8443F">
        <w:t xml:space="preserve"> </w:t>
      </w:r>
      <w:r w:rsidR="00A8443F" w:rsidRPr="00A8443F">
        <w:t>Establish transparent and open procurement processes and the adoption of a zero-tolerance approach to corruption in public procurement</w:t>
      </w:r>
    </w:p>
    <w:p w14:paraId="258ABB97" w14:textId="704D3ADC" w:rsidR="005B7D6A" w:rsidRPr="00755DE3" w:rsidRDefault="00FB235C" w:rsidP="005B7D6A">
      <w:pPr>
        <w:pStyle w:val="SingleTxtG"/>
        <w:numPr>
          <w:ilvl w:val="0"/>
          <w:numId w:val="4"/>
        </w:numPr>
        <w:rPr>
          <w:i/>
          <w:iCs/>
        </w:rPr>
      </w:pPr>
      <w:r w:rsidRPr="00FB235C">
        <w:rPr>
          <w:i/>
          <w:iCs/>
        </w:rPr>
        <w:t>People-first WtE PPPs should participate in open, competitive procurements and be selected on the basis of their commitment to circular economy values and processes, their track record and their own commitment and rigorous endorsement of a zero-tolerance approach to corruption</w:t>
      </w:r>
      <w:r w:rsidR="005B7D6A" w:rsidRPr="00755DE3">
        <w:rPr>
          <w:i/>
          <w:iCs/>
        </w:rPr>
        <w:t>.</w:t>
      </w:r>
    </w:p>
    <w:p w14:paraId="564B67BF" w14:textId="004404C9" w:rsidR="005B7D6A" w:rsidRPr="00755DE3" w:rsidRDefault="005B7D6A" w:rsidP="005B7D6A">
      <w:pPr>
        <w:pStyle w:val="SingleTxtG"/>
      </w:pPr>
      <w:r w:rsidRPr="00755DE3">
        <w:rPr>
          <w:u w:val="single"/>
        </w:rPr>
        <w:t>Stakeholder and community engagement</w:t>
      </w:r>
      <w:r w:rsidRPr="00755DE3">
        <w:t>:</w:t>
      </w:r>
      <w:r w:rsidR="00A8443F">
        <w:t xml:space="preserve"> </w:t>
      </w:r>
      <w:r w:rsidR="00A8443F" w:rsidRPr="00A8443F">
        <w:t>Enhance local participation in projects that includes women’s empowerment and vulnerable groups and ensure strong stakeholder engagement</w:t>
      </w:r>
    </w:p>
    <w:p w14:paraId="19CB2809" w14:textId="22FCD564" w:rsidR="00856E36" w:rsidRPr="00856E36" w:rsidRDefault="00FB235C" w:rsidP="00856E36">
      <w:pPr>
        <w:pStyle w:val="SingleTxtG"/>
        <w:numPr>
          <w:ilvl w:val="0"/>
          <w:numId w:val="4"/>
        </w:numPr>
        <w:rPr>
          <w:i/>
          <w:iCs/>
        </w:rPr>
      </w:pPr>
      <w:r w:rsidRPr="00FB235C">
        <w:rPr>
          <w:i/>
          <w:iCs/>
        </w:rPr>
        <w:t xml:space="preserve">People-first WtE PPPs should engage with stakeholders in a new “social contract” that regularly consults with communities, providing them regularly with </w:t>
      </w:r>
      <w:r w:rsidRPr="00FB235C">
        <w:rPr>
          <w:i/>
          <w:iCs/>
        </w:rPr>
        <w:lastRenderedPageBreak/>
        <w:t>information and data on their performance and be accountable to regular monitoring and scrutiny by local communities where plants are located</w:t>
      </w:r>
      <w:r w:rsidR="005B7D6A" w:rsidRPr="00755DE3">
        <w:rPr>
          <w:i/>
          <w:iCs/>
        </w:rPr>
        <w:t>.</w:t>
      </w:r>
      <w:r w:rsidR="005B7D6A" w:rsidRPr="00755DE3">
        <w:rPr>
          <w:rStyle w:val="FootnoteReference"/>
          <w:i/>
          <w:iCs/>
        </w:rPr>
        <w:footnoteReference w:id="39"/>
      </w:r>
      <w:r w:rsidR="005B7D6A" w:rsidRPr="00755DE3">
        <w:rPr>
          <w:i/>
          <w:iCs/>
        </w:rPr>
        <w:t xml:space="preserve"> </w:t>
      </w:r>
    </w:p>
    <w:p w14:paraId="6294E61B" w14:textId="77777777" w:rsidR="00856E36" w:rsidRPr="00856E36" w:rsidRDefault="00856E36" w:rsidP="00856E36">
      <w:pPr>
        <w:pStyle w:val="SingleTxtG"/>
      </w:pPr>
      <w:r w:rsidRPr="00856E36">
        <w:t>As a follow up to these Guidelines, the following can be suggested:</w:t>
      </w:r>
    </w:p>
    <w:p w14:paraId="054C83EA" w14:textId="77777777" w:rsidR="00856E36" w:rsidRPr="00856E36" w:rsidRDefault="00856E36" w:rsidP="00856E36">
      <w:pPr>
        <w:pStyle w:val="SingleTxtG"/>
        <w:numPr>
          <w:ilvl w:val="0"/>
          <w:numId w:val="13"/>
        </w:numPr>
      </w:pPr>
      <w:r w:rsidRPr="00856E36">
        <w:rPr>
          <w:b/>
          <w:bCs/>
        </w:rPr>
        <w:t>Promote discussion</w:t>
      </w:r>
      <w:r w:rsidRPr="00856E36">
        <w:t xml:space="preserve"> on the WtE Guidelines and its best practice options by Governments, the business community and civil society. In this regard, </w:t>
      </w:r>
      <w:r w:rsidRPr="00856E36">
        <w:rPr>
          <w:b/>
          <w:bCs/>
        </w:rPr>
        <w:t>consult,</w:t>
      </w:r>
      <w:r w:rsidRPr="00856E36">
        <w:t xml:space="preserve"> among others, with those governments who have ample experience in this regard, as well as those, whose engagement with WtE is still at an emerging stage. </w:t>
      </w:r>
    </w:p>
    <w:p w14:paraId="636D53EA" w14:textId="3AE02EBE" w:rsidR="00856E36" w:rsidRPr="00856E36" w:rsidRDefault="00856E36" w:rsidP="00856E36">
      <w:pPr>
        <w:pStyle w:val="SingleTxtG"/>
        <w:numPr>
          <w:ilvl w:val="0"/>
          <w:numId w:val="13"/>
        </w:numPr>
      </w:pPr>
      <w:r w:rsidRPr="00856E36">
        <w:rPr>
          <w:b/>
          <w:bCs/>
        </w:rPr>
        <w:t>Disseminate</w:t>
      </w:r>
      <w:r w:rsidRPr="00856E36">
        <w:t xml:space="preserve"> the WtE Guidelines to low- and middle-income countries in the ECE region. In this regard, </w:t>
      </w:r>
      <w:r w:rsidRPr="00856E36">
        <w:rPr>
          <w:b/>
          <w:bCs/>
        </w:rPr>
        <w:t>encourage</w:t>
      </w:r>
      <w:r w:rsidRPr="00856E36">
        <w:t xml:space="preserve"> countries to cooperate both bilaterally and multilaterally to disseminate best practise People-first PPPs in the WtE industry, e.g. Switzerland.</w:t>
      </w:r>
    </w:p>
    <w:p w14:paraId="743922C7" w14:textId="253D6E1F" w:rsidR="00856E36" w:rsidRPr="00856E36" w:rsidRDefault="00856E36" w:rsidP="00856E36">
      <w:pPr>
        <w:pStyle w:val="SingleTxtG"/>
        <w:numPr>
          <w:ilvl w:val="0"/>
          <w:numId w:val="13"/>
        </w:numPr>
      </w:pPr>
      <w:r w:rsidRPr="00856E36">
        <w:rPr>
          <w:b/>
          <w:bCs/>
        </w:rPr>
        <w:t>Use the WtE Guidelines as a test case for</w:t>
      </w:r>
      <w:r w:rsidRPr="00856E36">
        <w:t xml:space="preserve"> the ECE People-first PPP Evaluation Methodology</w:t>
      </w:r>
      <w:r>
        <w:t>,</w:t>
      </w:r>
      <w:r w:rsidRPr="00856E36">
        <w:t xml:space="preserve"> when finalised and approved by ECE member States, in some WtE projects to determine their People-first qualities and disseminate the results to stakeholders. </w:t>
      </w:r>
    </w:p>
    <w:p w14:paraId="1BB14291" w14:textId="51177986" w:rsidR="00856E36" w:rsidRDefault="00856E36" w:rsidP="00856E36">
      <w:pPr>
        <w:pStyle w:val="SingleTxtG"/>
        <w:numPr>
          <w:ilvl w:val="0"/>
          <w:numId w:val="13"/>
        </w:numPr>
      </w:pPr>
      <w:r w:rsidRPr="00856E36">
        <w:rPr>
          <w:b/>
          <w:bCs/>
        </w:rPr>
        <w:t>Prepare</w:t>
      </w:r>
      <w:r w:rsidRPr="00856E36">
        <w:t xml:space="preserve"> stepwise guidance on how the WtE industry can maximize its contribution to the transition to a circular economy.</w:t>
      </w:r>
    </w:p>
    <w:p w14:paraId="66BA3279" w14:textId="2231EFA2" w:rsidR="005B7D6A" w:rsidRDefault="005B7D6A" w:rsidP="005B7D6A">
      <w:pPr>
        <w:pStyle w:val="SingleTxtG"/>
      </w:pPr>
      <w:r w:rsidRPr="00755DE3">
        <w:t>Developing effective partnerships to implement these Guidelines is now high on the agenda for moving to a circular economy</w:t>
      </w:r>
      <w:r w:rsidR="00CC7582">
        <w:t xml:space="preserve">. The </w:t>
      </w:r>
      <w:r w:rsidRPr="00755DE3">
        <w:t xml:space="preserve">ECE </w:t>
      </w:r>
      <w:r w:rsidR="00CC7582">
        <w:t xml:space="preserve">secretariat, based on respective mandates and resources, </w:t>
      </w:r>
      <w:r w:rsidRPr="00755DE3">
        <w:t xml:space="preserve">will follow up this work. It is suggested that a survey is conducted to understand and assess the performance of WtE projects with regard to circular economy. </w:t>
      </w:r>
      <w:bookmarkStart w:id="21" w:name="_Hlk52655530"/>
      <w:r w:rsidRPr="00755DE3">
        <w:t xml:space="preserve">As a result, a stepwise guidance on how WtE industry can </w:t>
      </w:r>
      <w:r w:rsidR="006943CF">
        <w:t>maximi</w:t>
      </w:r>
      <w:r w:rsidR="005F1C09">
        <w:t>se</w:t>
      </w:r>
      <w:r w:rsidR="006943CF">
        <w:t xml:space="preserve"> its contribution to </w:t>
      </w:r>
      <w:r w:rsidRPr="00755DE3">
        <w:t xml:space="preserve">the circular economy </w:t>
      </w:r>
      <w:r w:rsidR="006943CF">
        <w:t xml:space="preserve">could also </w:t>
      </w:r>
      <w:r w:rsidRPr="00755DE3">
        <w:t>be developed</w:t>
      </w:r>
      <w:r w:rsidR="006943CF">
        <w:t>.</w:t>
      </w:r>
    </w:p>
    <w:p w14:paraId="26FEF72F" w14:textId="2D338058" w:rsidR="00346172" w:rsidRDefault="00346172">
      <w:pPr>
        <w:suppressAutoHyphens w:val="0"/>
        <w:spacing w:line="240" w:lineRule="auto"/>
      </w:pPr>
      <w:r>
        <w:br w:type="page"/>
      </w:r>
    </w:p>
    <w:p w14:paraId="32BF727B" w14:textId="63C5C579" w:rsidR="00CB4B5C" w:rsidRDefault="00346172" w:rsidP="00CB4B5C">
      <w:pPr>
        <w:pStyle w:val="H1G"/>
        <w:tabs>
          <w:tab w:val="clear" w:pos="1276"/>
          <w:tab w:val="right" w:pos="1134"/>
        </w:tabs>
        <w:ind w:left="1134"/>
      </w:pPr>
      <w:r w:rsidRPr="00755DE3">
        <w:lastRenderedPageBreak/>
        <w:tab/>
      </w:r>
      <w:bookmarkStart w:id="22" w:name="_Toc54086138"/>
      <w:r w:rsidRPr="00755DE3">
        <w:t xml:space="preserve">Annex 2. </w:t>
      </w:r>
      <w:bookmarkEnd w:id="22"/>
      <w:r w:rsidR="009B329B" w:rsidRPr="009B329B">
        <w:t>Chronology of the main actions of the European Union to the circular economy and waste management</w:t>
      </w:r>
      <w:r w:rsidR="00BD6BC3">
        <w:rPr>
          <w:rStyle w:val="FootnoteReference"/>
        </w:rPr>
        <w:footnoteReference w:id="40"/>
      </w:r>
    </w:p>
    <w:p w14:paraId="250544C4" w14:textId="77777777" w:rsidR="009B329B" w:rsidRPr="009B329B" w:rsidRDefault="009B329B" w:rsidP="009B329B">
      <w:pPr>
        <w:pStyle w:val="SingleTxtG"/>
      </w:pPr>
      <w:r w:rsidRPr="009B329B">
        <w:rPr>
          <w:b/>
          <w:bCs/>
        </w:rPr>
        <w:t xml:space="preserve">1975: </w:t>
      </w:r>
      <w:r w:rsidRPr="009B329B">
        <w:t>The European Directive 75/442/EC</w:t>
      </w:r>
      <w:r w:rsidRPr="009B329B">
        <w:rPr>
          <w:vertAlign w:val="superscript"/>
        </w:rPr>
        <w:footnoteReference w:id="41"/>
      </w:r>
      <w:r w:rsidRPr="009B329B">
        <w:t xml:space="preserve"> on wastes, requires European Union (EU) Member States to take measures to prevent or reduce waste production and to recover waste by recycling, re-use, reclamation or any other processes, or to use waste as a source of energy.</w:t>
      </w:r>
    </w:p>
    <w:p w14:paraId="562BCAA6" w14:textId="77777777" w:rsidR="009B329B" w:rsidRPr="009B329B" w:rsidRDefault="009B329B" w:rsidP="009B329B">
      <w:pPr>
        <w:pStyle w:val="SingleTxtG"/>
      </w:pPr>
      <w:r w:rsidRPr="009B329B">
        <w:rPr>
          <w:b/>
          <w:bCs/>
        </w:rPr>
        <w:t>1991:</w:t>
      </w:r>
      <w:r w:rsidRPr="009B329B">
        <w:t xml:space="preserve"> The European Directive 75/442 was amended (91/156/EEC)</w:t>
      </w:r>
      <w:r w:rsidRPr="009B329B">
        <w:rPr>
          <w:vertAlign w:val="superscript"/>
        </w:rPr>
        <w:footnoteReference w:id="42"/>
      </w:r>
      <w:r w:rsidRPr="009B329B">
        <w:t xml:space="preserve"> to put emphasis on the recycling and reuse of waste as raw materials. Also, it included an updated definition of waste materials. </w:t>
      </w:r>
    </w:p>
    <w:p w14:paraId="690A2C07" w14:textId="77777777" w:rsidR="009B329B" w:rsidRPr="009B329B" w:rsidRDefault="009B329B" w:rsidP="009B329B">
      <w:pPr>
        <w:pStyle w:val="SingleTxtG"/>
      </w:pPr>
      <w:r w:rsidRPr="009B329B">
        <w:rPr>
          <w:b/>
          <w:bCs/>
        </w:rPr>
        <w:t>1999:</w:t>
      </w:r>
      <w:r w:rsidRPr="009B329B">
        <w:t xml:space="preserve"> The EU legislation (1999/31/EC)</w:t>
      </w:r>
      <w:r w:rsidRPr="009B329B">
        <w:rPr>
          <w:vertAlign w:val="superscript"/>
        </w:rPr>
        <w:footnoteReference w:id="43"/>
      </w:r>
      <w:r w:rsidRPr="009B329B">
        <w:t xml:space="preserve"> introduces stringent technical requirements for waste and landfills, which is the least preferable option that should be limited to the necessary minimum. </w:t>
      </w:r>
    </w:p>
    <w:p w14:paraId="4647EDB2" w14:textId="77777777" w:rsidR="009B329B" w:rsidRPr="009B329B" w:rsidRDefault="009B329B" w:rsidP="009B329B">
      <w:pPr>
        <w:pStyle w:val="SingleTxtG"/>
      </w:pPr>
      <w:r w:rsidRPr="009B329B">
        <w:rPr>
          <w:b/>
          <w:bCs/>
        </w:rPr>
        <w:t>2000:</w:t>
      </w:r>
      <w:r w:rsidRPr="009B329B">
        <w:t xml:space="preserve"> The Waste Incineration Directive (2000/76/EC)</w:t>
      </w:r>
      <w:r w:rsidRPr="009B329B">
        <w:rPr>
          <w:vertAlign w:val="superscript"/>
        </w:rPr>
        <w:footnoteReference w:id="44"/>
      </w:r>
      <w:r w:rsidRPr="009B329B">
        <w:t xml:space="preserve"> repealed former directives on the incineration of hazardous waste (Directive 94/67/EC) and household waste (Directives 89/369/EEC and 89/429/EEC) and replaced them. The Waste Incineration Directive sets emission limit values and monitoring requirements for pollutants to air and water from waste incineration. The Waste Incineration Directive makes a distinction between incineration plants, e.g. thermal treatment of waste with or without heat recovery, and co-incineration plants, e.g. cement or lime kilns, steel plants or power plants.</w:t>
      </w:r>
    </w:p>
    <w:p w14:paraId="5076A7BF" w14:textId="77777777" w:rsidR="009B329B" w:rsidRPr="009B329B" w:rsidRDefault="009B329B" w:rsidP="009B329B">
      <w:pPr>
        <w:pStyle w:val="SingleTxtG"/>
      </w:pPr>
      <w:r w:rsidRPr="009B329B">
        <w:rPr>
          <w:b/>
          <w:bCs/>
        </w:rPr>
        <w:t>2001:</w:t>
      </w:r>
      <w:r w:rsidRPr="009B329B">
        <w:t xml:space="preserve"> The European Directive 2001/77/EC</w:t>
      </w:r>
      <w:r w:rsidRPr="009B329B">
        <w:rPr>
          <w:vertAlign w:val="superscript"/>
        </w:rPr>
        <w:footnoteReference w:id="45"/>
      </w:r>
      <w:r w:rsidRPr="009B329B">
        <w:t xml:space="preserve"> on renewable energy laws considers Waste-to-Energy (WtE) as a renewable source or energy, but preferably if biodegradable waste is processed. </w:t>
      </w:r>
    </w:p>
    <w:p w14:paraId="730E1B4E" w14:textId="77777777" w:rsidR="009B329B" w:rsidRPr="009B329B" w:rsidRDefault="009B329B" w:rsidP="009B329B">
      <w:pPr>
        <w:pStyle w:val="SingleTxtG"/>
      </w:pPr>
      <w:r w:rsidRPr="009B329B">
        <w:rPr>
          <w:b/>
          <w:bCs/>
        </w:rPr>
        <w:t>2006:</w:t>
      </w:r>
      <w:r w:rsidRPr="009B329B">
        <w:t xml:space="preserve"> The EU legislation (2006/12/EC) repealed Directives 75/442 and 91/156. The European Commission established strict limits for the landfilling of wastes and provided a comprehensive definition of the several waste materials.</w:t>
      </w:r>
      <w:r w:rsidRPr="009B329B">
        <w:rPr>
          <w:vertAlign w:val="superscript"/>
        </w:rPr>
        <w:footnoteReference w:id="46"/>
      </w:r>
    </w:p>
    <w:p w14:paraId="7F3A8621" w14:textId="77777777" w:rsidR="009B329B" w:rsidRPr="009B329B" w:rsidRDefault="009B329B" w:rsidP="009B329B">
      <w:pPr>
        <w:pStyle w:val="SingleTxtG"/>
      </w:pPr>
      <w:r w:rsidRPr="009B329B">
        <w:rPr>
          <w:b/>
          <w:bCs/>
        </w:rPr>
        <w:t>2008:</w:t>
      </w:r>
      <w:r w:rsidRPr="009B329B">
        <w:t xml:space="preserve"> The Waste Framework Directive (2008/98/EC)</w:t>
      </w:r>
      <w:r w:rsidRPr="009B329B">
        <w:rPr>
          <w:vertAlign w:val="superscript"/>
        </w:rPr>
        <w:footnoteReference w:id="47"/>
      </w:r>
      <w:r w:rsidRPr="009B329B">
        <w:t xml:space="preserve"> repealed Directive 2006/12. It set the basic concepts and definitions related to waste management and requires the EU Member States to adopt waste management plans and waste prevention programs, according to the waste management hierarchy. The Directive established the R1 energy efficiency formula for waste incineration.</w:t>
      </w:r>
      <w:r w:rsidRPr="009B329B">
        <w:rPr>
          <w:vertAlign w:val="superscript"/>
        </w:rPr>
        <w:footnoteReference w:id="48"/>
      </w:r>
      <w:r w:rsidRPr="009B329B">
        <w:t xml:space="preserve"> It also introduced the “polluter pays principle” and the “extended producer responsibility”.</w:t>
      </w:r>
    </w:p>
    <w:p w14:paraId="03389781" w14:textId="77777777" w:rsidR="009B329B" w:rsidRPr="009B329B" w:rsidRDefault="009B329B" w:rsidP="009B329B">
      <w:pPr>
        <w:pStyle w:val="SingleTxtG"/>
      </w:pPr>
      <w:r w:rsidRPr="009B329B">
        <w:rPr>
          <w:b/>
          <w:bCs/>
        </w:rPr>
        <w:t>2009:</w:t>
      </w:r>
      <w:r w:rsidRPr="009B329B">
        <w:t xml:space="preserve"> The European Directive (2009/28)</w:t>
      </w:r>
      <w:r w:rsidRPr="009B329B">
        <w:rPr>
          <w:vertAlign w:val="superscript"/>
        </w:rPr>
        <w:footnoteReference w:id="49"/>
      </w:r>
      <w:r w:rsidRPr="009B329B">
        <w:t xml:space="preserve"> on the promotion of the use of energy from renewable sources, amended and subsequently repealed Directives 2001/77/EC and 2003/30. It considers WtE as renewable, but only if the feedstock is biodegradable waste.</w:t>
      </w:r>
    </w:p>
    <w:p w14:paraId="2D18D88D" w14:textId="77777777" w:rsidR="009B329B" w:rsidRPr="009B329B" w:rsidRDefault="009B329B" w:rsidP="009B329B">
      <w:pPr>
        <w:pStyle w:val="SingleTxtG"/>
      </w:pPr>
      <w:r w:rsidRPr="009B329B">
        <w:rPr>
          <w:b/>
          <w:bCs/>
        </w:rPr>
        <w:t>2010:</w:t>
      </w:r>
      <w:r w:rsidRPr="009B329B">
        <w:t xml:space="preserve"> The Industrial Emissions Directive (IED 2010/75/EC)</w:t>
      </w:r>
      <w:r w:rsidRPr="009B329B">
        <w:rPr>
          <w:vertAlign w:val="superscript"/>
        </w:rPr>
        <w:footnoteReference w:id="50"/>
      </w:r>
      <w:r w:rsidRPr="009B329B">
        <w:t xml:space="preserve"> was introduced on the prevention of industrial emissions and repealed the Waste Incineration Directive (2000/76). It focused on five pillars: 1) an integrated approach, 2) use of best available techniques, 3) flexibility, 4) inspections, and 5) public participation.</w:t>
      </w:r>
    </w:p>
    <w:p w14:paraId="2D3864E7" w14:textId="77777777" w:rsidR="009B329B" w:rsidRPr="009B329B" w:rsidRDefault="009B329B" w:rsidP="009B329B">
      <w:pPr>
        <w:pStyle w:val="SingleTxtG"/>
      </w:pPr>
      <w:r w:rsidRPr="009B329B">
        <w:rPr>
          <w:b/>
          <w:bCs/>
        </w:rPr>
        <w:lastRenderedPageBreak/>
        <w:t>2015</w:t>
      </w:r>
      <w:r w:rsidRPr="009B329B">
        <w:t>: The Energy Union Framework Strategy considered WtE as a technology that contributes to the EU strategy for heating and cooling.</w:t>
      </w:r>
      <w:r w:rsidRPr="009B329B">
        <w:rPr>
          <w:vertAlign w:val="superscript"/>
        </w:rPr>
        <w:footnoteReference w:id="51"/>
      </w:r>
    </w:p>
    <w:p w14:paraId="6783CDEE" w14:textId="77777777" w:rsidR="009B329B" w:rsidRPr="009B329B" w:rsidRDefault="009B329B" w:rsidP="009B329B">
      <w:pPr>
        <w:pStyle w:val="SingleTxtG"/>
      </w:pPr>
      <w:r w:rsidRPr="009B329B">
        <w:rPr>
          <w:b/>
          <w:bCs/>
        </w:rPr>
        <w:t>2015</w:t>
      </w:r>
      <w:r w:rsidRPr="009B329B">
        <w:t>: The EU first action plan</w:t>
      </w:r>
      <w:r w:rsidRPr="009B329B">
        <w:rPr>
          <w:vertAlign w:val="superscript"/>
        </w:rPr>
        <w:footnoteReference w:id="52"/>
      </w:r>
      <w:r w:rsidRPr="009B329B">
        <w:t xml:space="preserve"> for the circular economy (COM (2015) 614),</w:t>
      </w:r>
      <w:r w:rsidRPr="009B329B">
        <w:rPr>
          <w:vertAlign w:val="superscript"/>
        </w:rPr>
        <w:footnoteReference w:id="53"/>
      </w:r>
      <w:r w:rsidRPr="009B329B">
        <w:t xml:space="preserve"> proposed specific recycling targets, for several types of wastes, and strengthened separate collection of other streams, such as hazardous wastes and bio-wastes. A binding landfill target to reduce landfill to maximum of 10% of municipal waste by 2035 was established. WtE was encouraged in countries with high rates of landfilling. </w:t>
      </w:r>
    </w:p>
    <w:p w14:paraId="467FFF66" w14:textId="77777777" w:rsidR="009B329B" w:rsidRPr="009B329B" w:rsidRDefault="009B329B" w:rsidP="009B329B">
      <w:pPr>
        <w:pStyle w:val="SingleTxtG"/>
      </w:pPr>
      <w:r w:rsidRPr="009B329B">
        <w:rPr>
          <w:b/>
          <w:bCs/>
        </w:rPr>
        <w:t>2017</w:t>
      </w:r>
      <w:r w:rsidRPr="009B329B">
        <w:t>: The European Commission (COM 2017/0034) advocated the use of WtE for the transition to a circular economy only when it does not prevent higher levels of prevention, reuse and recycling.</w:t>
      </w:r>
      <w:r w:rsidRPr="009B329B">
        <w:rPr>
          <w:vertAlign w:val="superscript"/>
        </w:rPr>
        <w:footnoteReference w:id="54"/>
      </w:r>
    </w:p>
    <w:p w14:paraId="3775C106" w14:textId="77777777" w:rsidR="009B329B" w:rsidRPr="009B329B" w:rsidRDefault="009B329B" w:rsidP="009B329B">
      <w:pPr>
        <w:pStyle w:val="SingleTxtG"/>
      </w:pPr>
      <w:r w:rsidRPr="009B329B">
        <w:rPr>
          <w:b/>
          <w:bCs/>
        </w:rPr>
        <w:t>2017</w:t>
      </w:r>
      <w:r w:rsidRPr="009B329B">
        <w:t>: The European Commission Implementing Decision (2017/1442)</w:t>
      </w:r>
      <w:r w:rsidRPr="009B329B">
        <w:rPr>
          <w:vertAlign w:val="superscript"/>
        </w:rPr>
        <w:footnoteReference w:id="55"/>
      </w:r>
      <w:r w:rsidRPr="009B329B">
        <w:t xml:space="preserve"> established the best available techniques (BAT) for large combustion plants, including WtE, and following the Industrial Emissions Directive of 2010. The Decision set very strict emission limits for WtE operations as compared to the limits of the Waste Incineration Directive of 2000. </w:t>
      </w:r>
    </w:p>
    <w:p w14:paraId="3B7ADC45" w14:textId="77777777" w:rsidR="009B329B" w:rsidRPr="009B329B" w:rsidRDefault="009B329B" w:rsidP="009B329B">
      <w:pPr>
        <w:pStyle w:val="SingleTxtG"/>
      </w:pPr>
      <w:r w:rsidRPr="009B329B">
        <w:rPr>
          <w:b/>
          <w:bCs/>
        </w:rPr>
        <w:t>2018</w:t>
      </w:r>
      <w:r w:rsidRPr="009B329B">
        <w:t>: The proposed EU regulation 2018/0178 on the establishment of a framework to facilitate sustainable investment (also known as “taxonomy”) listed activities like “avoiding incineration and disposal of waste” as sustainable (Art. 9.1.i), while activities that “[lead] to a significant increase in the generation, incineration or disposal of waste” (Art. 12.d) were considered as harming environmental objectives.</w:t>
      </w:r>
      <w:r w:rsidRPr="009B329B">
        <w:rPr>
          <w:vertAlign w:val="superscript"/>
        </w:rPr>
        <w:footnoteReference w:id="56"/>
      </w:r>
    </w:p>
    <w:p w14:paraId="73611BC7" w14:textId="77777777" w:rsidR="009B329B" w:rsidRPr="009B329B" w:rsidRDefault="009B329B" w:rsidP="009B329B">
      <w:pPr>
        <w:pStyle w:val="SingleTxtG"/>
      </w:pPr>
      <w:r w:rsidRPr="009B329B">
        <w:rPr>
          <w:b/>
          <w:bCs/>
        </w:rPr>
        <w:t xml:space="preserve">2018: </w:t>
      </w:r>
      <w:r w:rsidRPr="009B329B">
        <w:t>The Directive 2018/850</w:t>
      </w:r>
      <w:r w:rsidRPr="009B329B">
        <w:rPr>
          <w:vertAlign w:val="superscript"/>
        </w:rPr>
        <w:footnoteReference w:id="57"/>
      </w:r>
      <w:r w:rsidRPr="009B329B">
        <w:t xml:space="preserve"> was introduced, amending Directive 1999/31/EC on the landfill of waste. The Directive made emphasis on the restrictions and gradual reduction on landfilling to all waste that is suitable for recycling or other material or energy recovery. That reduction should avoid the development of excessive capacity for the treatment of residual waste facilities, such as through energy recovery or low grade mechanical biological treatment of untreated municipal waste. </w:t>
      </w:r>
    </w:p>
    <w:p w14:paraId="6F73A3E4" w14:textId="77777777" w:rsidR="009B329B" w:rsidRPr="009B329B" w:rsidRDefault="009B329B" w:rsidP="009B329B">
      <w:pPr>
        <w:pStyle w:val="SingleTxtG"/>
      </w:pPr>
      <w:r w:rsidRPr="009B329B">
        <w:rPr>
          <w:b/>
          <w:bCs/>
        </w:rPr>
        <w:t>2018:</w:t>
      </w:r>
      <w:r w:rsidRPr="009B329B">
        <w:t xml:space="preserve"> The Directive 2018/851</w:t>
      </w:r>
      <w:r w:rsidRPr="009B329B">
        <w:rPr>
          <w:vertAlign w:val="superscript"/>
        </w:rPr>
        <w:footnoteReference w:id="58"/>
      </w:r>
      <w:r w:rsidRPr="009B329B">
        <w:t xml:space="preserve"> was introduced, amending Directive 2008/98. The Directive promoted waste prevention and intensified separate collection schemes, while avoiding support to landfilling and incineration. WtE is desired as long as it delivers the best environmental outcome in accordance with Article 4. In addition, the Directive considers the recovery of metals and minerals from WtE by products, as contribution to recycling, as long as these comply with quality standards. Also, the Directive provided an update on the R1 energy efficiency formula for WtE, by including local climatic conditions. </w:t>
      </w:r>
    </w:p>
    <w:p w14:paraId="426352BF" w14:textId="77777777" w:rsidR="009B329B" w:rsidRPr="009B329B" w:rsidRDefault="009B329B" w:rsidP="009B329B">
      <w:pPr>
        <w:pStyle w:val="SingleTxtG"/>
      </w:pPr>
      <w:r w:rsidRPr="009B329B">
        <w:rPr>
          <w:b/>
          <w:bCs/>
        </w:rPr>
        <w:t>2018:</w:t>
      </w:r>
      <w:r w:rsidRPr="009B329B">
        <w:t xml:space="preserve"> The Directive 2018/2001</w:t>
      </w:r>
      <w:r w:rsidRPr="009B329B">
        <w:rPr>
          <w:vertAlign w:val="superscript"/>
        </w:rPr>
        <w:footnoteReference w:id="59"/>
      </w:r>
      <w:r w:rsidRPr="009B329B">
        <w:t xml:space="preserve"> was introduced on the promotion of the use of energy from renewable sources, and amending and subsequently repealing Directives 2009/28, 2001/77/EC and 2003/30/EC. The Directive considered WtE as a renewable energy source, as long as it does not prevent the reusing and recycling of products, and only processes biodegradable wastes. </w:t>
      </w:r>
    </w:p>
    <w:p w14:paraId="776A3908" w14:textId="77777777" w:rsidR="009B329B" w:rsidRPr="009B329B" w:rsidRDefault="009B329B" w:rsidP="009B329B">
      <w:pPr>
        <w:pStyle w:val="SingleTxtG"/>
      </w:pPr>
      <w:r w:rsidRPr="009B329B">
        <w:rPr>
          <w:b/>
          <w:bCs/>
        </w:rPr>
        <w:lastRenderedPageBreak/>
        <w:t>2019</w:t>
      </w:r>
      <w:r w:rsidRPr="009B329B">
        <w:t>: A common statement</w:t>
      </w:r>
      <w:r w:rsidRPr="009B329B">
        <w:rPr>
          <w:vertAlign w:val="superscript"/>
        </w:rPr>
        <w:footnoteReference w:id="60"/>
      </w:r>
      <w:r w:rsidRPr="009B329B">
        <w:t xml:space="preserve"> was published by major EU stakeholders addressing the importance of WtE in sustainable development, by putting emphasis on Article 4 of the Waste Framework Directive establishing the waste hierarchy.</w:t>
      </w:r>
      <w:r w:rsidRPr="009B329B">
        <w:rPr>
          <w:vertAlign w:val="superscript"/>
        </w:rPr>
        <w:footnoteReference w:id="61"/>
      </w:r>
    </w:p>
    <w:p w14:paraId="2BCF6C5D" w14:textId="58D027D1" w:rsidR="00346172" w:rsidRDefault="009B329B" w:rsidP="009B329B">
      <w:pPr>
        <w:pStyle w:val="SingleTxtG"/>
      </w:pPr>
      <w:r w:rsidRPr="009B329B">
        <w:rPr>
          <w:b/>
          <w:bCs/>
        </w:rPr>
        <w:t>2020</w:t>
      </w:r>
      <w:r w:rsidRPr="009B329B">
        <w:t>: The European Investment Bank (EIB) decided not to finance any WtE activities/projects in its circular economy programme.</w:t>
      </w:r>
      <w:r w:rsidRPr="009B329B">
        <w:rPr>
          <w:vertAlign w:val="superscript"/>
        </w:rPr>
        <w:footnoteReference w:id="62"/>
      </w:r>
    </w:p>
    <w:p w14:paraId="5D7DBF72" w14:textId="7B828C33" w:rsidR="00346172" w:rsidRDefault="00346172">
      <w:pPr>
        <w:suppressAutoHyphens w:val="0"/>
        <w:spacing w:line="240" w:lineRule="auto"/>
      </w:pPr>
      <w:r>
        <w:br w:type="page"/>
      </w:r>
    </w:p>
    <w:bookmarkEnd w:id="21"/>
    <w:p w14:paraId="055F1EFC" w14:textId="2247CB7D" w:rsidR="006412FC" w:rsidRPr="00755DE3" w:rsidRDefault="00B65AAB" w:rsidP="00B65AAB">
      <w:pPr>
        <w:pStyle w:val="H1G"/>
        <w:tabs>
          <w:tab w:val="clear" w:pos="1276"/>
          <w:tab w:val="right" w:pos="1134"/>
        </w:tabs>
      </w:pPr>
      <w:r w:rsidRPr="00755DE3">
        <w:lastRenderedPageBreak/>
        <w:tab/>
      </w:r>
      <w:r w:rsidRPr="00755DE3">
        <w:tab/>
      </w:r>
      <w:bookmarkStart w:id="23" w:name="_Toc54086139"/>
      <w:r w:rsidR="006412FC" w:rsidRPr="00755DE3">
        <w:t>Annex</w:t>
      </w:r>
      <w:r w:rsidR="005B7D6A" w:rsidRPr="00755DE3">
        <w:t xml:space="preserve"> </w:t>
      </w:r>
      <w:r w:rsidR="00346172">
        <w:t>3</w:t>
      </w:r>
      <w:r w:rsidR="006412FC" w:rsidRPr="00755DE3">
        <w:t>. Case studies</w:t>
      </w:r>
      <w:bookmarkEnd w:id="23"/>
      <w:r w:rsidR="00CD6E54">
        <w:rPr>
          <w:rStyle w:val="FootnoteReference"/>
        </w:rPr>
        <w:footnoteReference w:id="63"/>
      </w:r>
    </w:p>
    <w:p w14:paraId="3BD02A7C" w14:textId="50DC2411" w:rsidR="00F570E6" w:rsidRPr="00755DE3" w:rsidRDefault="00A829E4" w:rsidP="001E49E6">
      <w:pPr>
        <w:pStyle w:val="H23G"/>
        <w:numPr>
          <w:ilvl w:val="2"/>
          <w:numId w:val="20"/>
        </w:numPr>
        <w:ind w:left="1701" w:hanging="567"/>
        <w:outlineLvl w:val="9"/>
      </w:pPr>
      <w:r w:rsidRPr="00755DE3">
        <w:t>People-first outcome “</w:t>
      </w:r>
      <w:r w:rsidR="00F570E6" w:rsidRPr="00755DE3">
        <w:t>Increase access and promote equity</w:t>
      </w:r>
      <w:r w:rsidRPr="00755DE3">
        <w:t>”</w:t>
      </w:r>
    </w:p>
    <w:p w14:paraId="2B8AE0B0" w14:textId="054900A5" w:rsidR="006412FC" w:rsidRPr="00755DE3" w:rsidRDefault="00B65AAB" w:rsidP="00B65AAB">
      <w:pPr>
        <w:pStyle w:val="H4G"/>
        <w:rPr>
          <w:b/>
          <w:bCs/>
        </w:rPr>
      </w:pPr>
      <w:r w:rsidRPr="00755DE3">
        <w:tab/>
      </w:r>
      <w:r w:rsidRPr="00755DE3">
        <w:tab/>
      </w:r>
      <w:proofErr w:type="spellStart"/>
      <w:r w:rsidR="006412FC" w:rsidRPr="00755DE3">
        <w:rPr>
          <w:b/>
          <w:bCs/>
        </w:rPr>
        <w:t>Maardu</w:t>
      </w:r>
      <w:proofErr w:type="spellEnd"/>
      <w:r w:rsidR="006412FC" w:rsidRPr="00755DE3">
        <w:rPr>
          <w:b/>
          <w:bCs/>
        </w:rPr>
        <w:t>, Estonia</w:t>
      </w:r>
    </w:p>
    <w:p w14:paraId="09DA8C4B" w14:textId="58B86F6C" w:rsidR="006412FC" w:rsidRPr="00755DE3" w:rsidRDefault="006412FC" w:rsidP="006412FC">
      <w:pPr>
        <w:pStyle w:val="SingleTxtG"/>
        <w:tabs>
          <w:tab w:val="left" w:pos="1504"/>
        </w:tabs>
      </w:pPr>
      <w:r w:rsidRPr="00755DE3">
        <w:rPr>
          <w:u w:val="single"/>
        </w:rPr>
        <w:t>Challenge</w:t>
      </w:r>
      <w:r w:rsidRPr="00755DE3">
        <w:t xml:space="preserve">: About 300,000 </w:t>
      </w:r>
      <w:r w:rsidR="00CB62CD" w:rsidRPr="00755DE3">
        <w:t>tonnes</w:t>
      </w:r>
      <w:r w:rsidRPr="00755DE3">
        <w:t xml:space="preserve"> of mixed municipal waste per year were disposed of in non-sanitary landfills. </w:t>
      </w:r>
    </w:p>
    <w:p w14:paraId="2044D03F" w14:textId="6A437916" w:rsidR="006412FC" w:rsidRPr="00755DE3" w:rsidRDefault="006412FC" w:rsidP="006412FC">
      <w:pPr>
        <w:pStyle w:val="SingleTxtG"/>
        <w:tabs>
          <w:tab w:val="left" w:pos="1504"/>
        </w:tabs>
      </w:pPr>
      <w:r w:rsidRPr="00755DE3">
        <w:rPr>
          <w:u w:val="single"/>
        </w:rPr>
        <w:t xml:space="preserve">Description of </w:t>
      </w:r>
      <w:r w:rsidR="00D010BE" w:rsidRPr="00755DE3">
        <w:rPr>
          <w:u w:val="single"/>
        </w:rPr>
        <w:t xml:space="preserve">the </w:t>
      </w:r>
      <w:r w:rsidRPr="00755DE3">
        <w:rPr>
          <w:u w:val="single"/>
        </w:rPr>
        <w:t>project</w:t>
      </w:r>
      <w:r w:rsidRPr="00755DE3">
        <w:t xml:space="preserve">: The </w:t>
      </w:r>
      <w:r w:rsidR="00474819" w:rsidRPr="00755DE3">
        <w:t>WtE</w:t>
      </w:r>
      <w:r w:rsidRPr="00755DE3">
        <w:t xml:space="preserve"> plant is designed to receive 220,000 </w:t>
      </w:r>
      <w:r w:rsidR="00CB62CD" w:rsidRPr="00755DE3">
        <w:t>tonnes</w:t>
      </w:r>
      <w:r w:rsidRPr="00755DE3">
        <w:t xml:space="preserve"> of municipal waste and produce 17 MW of electricity and 50 MW of heat. </w:t>
      </w:r>
    </w:p>
    <w:p w14:paraId="0AF5C0CE" w14:textId="0F64F5E2" w:rsidR="006412FC" w:rsidRPr="00755DE3" w:rsidRDefault="006412FC" w:rsidP="006412FC">
      <w:pPr>
        <w:pStyle w:val="SingleTxtG"/>
        <w:tabs>
          <w:tab w:val="left" w:pos="1504"/>
        </w:tabs>
      </w:pPr>
      <w:proofErr w:type="spellStart"/>
      <w:proofErr w:type="gramStart"/>
      <w:r w:rsidRPr="00A620ED">
        <w:rPr>
          <w:u w:val="single"/>
          <w:lang w:val="fr-CH"/>
        </w:rPr>
        <w:t>Partners</w:t>
      </w:r>
      <w:proofErr w:type="spellEnd"/>
      <w:r w:rsidRPr="00A620ED">
        <w:rPr>
          <w:lang w:val="fr-CH"/>
        </w:rPr>
        <w:t>:</w:t>
      </w:r>
      <w:proofErr w:type="gramEnd"/>
      <w:r w:rsidRPr="00A620ED">
        <w:rPr>
          <w:lang w:val="fr-CH"/>
        </w:rPr>
        <w:t xml:space="preserve"> </w:t>
      </w:r>
      <w:proofErr w:type="spellStart"/>
      <w:r w:rsidRPr="00A620ED">
        <w:rPr>
          <w:lang w:val="fr-CH"/>
        </w:rPr>
        <w:t>Eesti</w:t>
      </w:r>
      <w:proofErr w:type="spellEnd"/>
      <w:r w:rsidRPr="00A620ED">
        <w:rPr>
          <w:lang w:val="fr-CH"/>
        </w:rPr>
        <w:t xml:space="preserve"> </w:t>
      </w:r>
      <w:proofErr w:type="spellStart"/>
      <w:r w:rsidRPr="00A620ED">
        <w:rPr>
          <w:lang w:val="fr-CH"/>
        </w:rPr>
        <w:t>Energia</w:t>
      </w:r>
      <w:proofErr w:type="spellEnd"/>
      <w:r w:rsidRPr="00A620ED">
        <w:rPr>
          <w:lang w:val="fr-CH"/>
        </w:rPr>
        <w:t xml:space="preserve">, Constructions industrielles de la Méditerranée (CNIM), </w:t>
      </w:r>
      <w:proofErr w:type="spellStart"/>
      <w:r w:rsidRPr="00A620ED">
        <w:rPr>
          <w:lang w:val="fr-CH"/>
        </w:rPr>
        <w:t>Merko</w:t>
      </w:r>
      <w:proofErr w:type="spellEnd"/>
      <w:r w:rsidRPr="00A620ED">
        <w:rPr>
          <w:lang w:val="fr-CH"/>
        </w:rPr>
        <w:t xml:space="preserve"> </w:t>
      </w:r>
      <w:proofErr w:type="spellStart"/>
      <w:r w:rsidRPr="00A620ED">
        <w:rPr>
          <w:lang w:val="fr-CH"/>
        </w:rPr>
        <w:t>Ehitus</w:t>
      </w:r>
      <w:proofErr w:type="spellEnd"/>
      <w:r w:rsidRPr="00A620ED">
        <w:rPr>
          <w:lang w:val="fr-CH"/>
        </w:rPr>
        <w:t xml:space="preserve">, Martin </w:t>
      </w:r>
      <w:proofErr w:type="spellStart"/>
      <w:r w:rsidRPr="00A620ED">
        <w:rPr>
          <w:lang w:val="fr-CH"/>
        </w:rPr>
        <w:t>GmbH</w:t>
      </w:r>
      <w:proofErr w:type="spellEnd"/>
      <w:r w:rsidRPr="00A620ED">
        <w:rPr>
          <w:lang w:val="fr-CH"/>
        </w:rPr>
        <w:t xml:space="preserve">. </w:t>
      </w:r>
      <w:r w:rsidRPr="00755DE3">
        <w:t xml:space="preserve">The capital investment of the PPP was </w:t>
      </w:r>
      <w:r w:rsidR="00502A7B" w:rsidRPr="00755DE3">
        <w:t xml:space="preserve">EUR </w:t>
      </w:r>
      <w:r w:rsidRPr="00755DE3">
        <w:t xml:space="preserve">105M. </w:t>
      </w:r>
    </w:p>
    <w:p w14:paraId="10F24FFE" w14:textId="2E3FD81A" w:rsidR="006412FC" w:rsidRPr="00755DE3" w:rsidRDefault="006412FC" w:rsidP="006412FC">
      <w:pPr>
        <w:pStyle w:val="SingleTxtG"/>
        <w:tabs>
          <w:tab w:val="left" w:pos="1504"/>
        </w:tabs>
      </w:pPr>
      <w:r w:rsidRPr="00755DE3">
        <w:rPr>
          <w:u w:val="single"/>
        </w:rPr>
        <w:t xml:space="preserve">Contribution to </w:t>
      </w:r>
      <w:r w:rsidR="00D010BE" w:rsidRPr="00755DE3">
        <w:rPr>
          <w:u w:val="single"/>
        </w:rPr>
        <w:t xml:space="preserve">the </w:t>
      </w:r>
      <w:r w:rsidR="00C128F6" w:rsidRPr="00755DE3">
        <w:rPr>
          <w:u w:val="single"/>
        </w:rPr>
        <w:t>People-first</w:t>
      </w:r>
      <w:r w:rsidRPr="00755DE3">
        <w:rPr>
          <w:u w:val="single"/>
        </w:rPr>
        <w:t xml:space="preserve"> outcome</w:t>
      </w:r>
      <w:r w:rsidR="009E7D91" w:rsidRPr="00755DE3">
        <w:rPr>
          <w:u w:val="single"/>
        </w:rPr>
        <w:t xml:space="preserve"> “Increase access and promote equity”</w:t>
      </w:r>
      <w:r w:rsidRPr="00755DE3">
        <w:t xml:space="preserve">: </w:t>
      </w:r>
    </w:p>
    <w:p w14:paraId="3AF37CBE" w14:textId="77CDE2DE" w:rsidR="006412FC" w:rsidRPr="00755DE3" w:rsidRDefault="006412FC" w:rsidP="008F5446">
      <w:pPr>
        <w:pStyle w:val="SingleTxtG"/>
        <w:numPr>
          <w:ilvl w:val="0"/>
          <w:numId w:val="6"/>
        </w:numPr>
      </w:pPr>
      <w:r w:rsidRPr="00755DE3">
        <w:t xml:space="preserve">The project contributes to </w:t>
      </w:r>
      <w:r w:rsidR="00640F9C" w:rsidRPr="00755DE3">
        <w:t xml:space="preserve">approximately </w:t>
      </w:r>
      <w:r w:rsidRPr="00755DE3">
        <w:t xml:space="preserve">20% of the heating demand of the local communities of Tallinn and </w:t>
      </w:r>
      <w:proofErr w:type="spellStart"/>
      <w:r w:rsidRPr="00755DE3">
        <w:t>Maardu</w:t>
      </w:r>
      <w:proofErr w:type="spellEnd"/>
      <w:r w:rsidRPr="00755DE3">
        <w:t>, at one-fourth of the price provided by the conventional energy sources.</w:t>
      </w:r>
    </w:p>
    <w:p w14:paraId="2A056B14" w14:textId="77777777" w:rsidR="006412FC" w:rsidRPr="00755DE3" w:rsidRDefault="006412FC" w:rsidP="008F5446">
      <w:pPr>
        <w:pStyle w:val="SingleTxtG"/>
        <w:numPr>
          <w:ilvl w:val="0"/>
          <w:numId w:val="6"/>
        </w:numPr>
      </w:pPr>
      <w:r w:rsidRPr="00755DE3">
        <w:t xml:space="preserve">The electricity production meets the electricity consumption of the town of </w:t>
      </w:r>
      <w:proofErr w:type="spellStart"/>
      <w:r w:rsidRPr="00755DE3">
        <w:t>Paide</w:t>
      </w:r>
      <w:proofErr w:type="spellEnd"/>
      <w:r w:rsidRPr="00755DE3">
        <w:t xml:space="preserve"> and its surroundings.</w:t>
      </w:r>
    </w:p>
    <w:p w14:paraId="03B180C8" w14:textId="7280E3D4" w:rsidR="005808C6" w:rsidRPr="00755DE3" w:rsidRDefault="00B65AAB" w:rsidP="00B65AAB">
      <w:pPr>
        <w:pStyle w:val="H4G"/>
        <w:rPr>
          <w:b/>
          <w:bCs/>
        </w:rPr>
      </w:pPr>
      <w:r w:rsidRPr="00755DE3">
        <w:rPr>
          <w:b/>
          <w:bCs/>
        </w:rPr>
        <w:tab/>
      </w:r>
      <w:r w:rsidRPr="00755DE3">
        <w:rPr>
          <w:b/>
          <w:bCs/>
        </w:rPr>
        <w:tab/>
      </w:r>
      <w:r w:rsidR="005808C6" w:rsidRPr="00755DE3">
        <w:rPr>
          <w:b/>
          <w:bCs/>
        </w:rPr>
        <w:t>Olsztyn, Poland</w:t>
      </w:r>
    </w:p>
    <w:p w14:paraId="4BA62F21" w14:textId="5B0040D8" w:rsidR="005808C6" w:rsidRPr="00755DE3" w:rsidRDefault="005808C6" w:rsidP="005808C6">
      <w:pPr>
        <w:pStyle w:val="SingleTxtG"/>
        <w:tabs>
          <w:tab w:val="left" w:pos="1504"/>
        </w:tabs>
      </w:pPr>
      <w:bookmarkStart w:id="24" w:name="_Hlk51957261"/>
      <w:r w:rsidRPr="00755DE3">
        <w:rPr>
          <w:u w:val="single"/>
        </w:rPr>
        <w:t>Challenge</w:t>
      </w:r>
      <w:r w:rsidRPr="00755DE3">
        <w:t>: The region was heavily rel</w:t>
      </w:r>
      <w:r w:rsidR="00D7195A" w:rsidRPr="00755DE3">
        <w:t>ying</w:t>
      </w:r>
      <w:r w:rsidRPr="00755DE3">
        <w:t xml:space="preserve"> on non-sanitary landfills. </w:t>
      </w:r>
    </w:p>
    <w:p w14:paraId="416AE0DA" w14:textId="5EB14E33" w:rsidR="005808C6" w:rsidRPr="00755DE3" w:rsidRDefault="005808C6" w:rsidP="00474819">
      <w:pPr>
        <w:pStyle w:val="SingleTxtG"/>
        <w:tabs>
          <w:tab w:val="left" w:pos="1170"/>
          <w:tab w:val="left" w:pos="1504"/>
        </w:tabs>
      </w:pPr>
      <w:r w:rsidRPr="00755DE3">
        <w:rPr>
          <w:u w:val="single"/>
        </w:rPr>
        <w:t>Description of the project</w:t>
      </w:r>
      <w:r w:rsidRPr="00755DE3">
        <w:t xml:space="preserve">: The </w:t>
      </w:r>
      <w:r w:rsidR="00474819" w:rsidRPr="00755DE3">
        <w:t>WtE</w:t>
      </w:r>
      <w:r w:rsidRPr="00755DE3">
        <w:t xml:space="preserve"> plant will process 300 </w:t>
      </w:r>
      <w:r w:rsidR="00CB62CD" w:rsidRPr="00755DE3">
        <w:t>tonnes</w:t>
      </w:r>
      <w:r w:rsidRPr="00755DE3">
        <w:t xml:space="preserve"> of waste per day and will produce 12 MW of electricity. The Polish WtE facility will provide electricity and heat to some 270,000 people in Olsztyn. The project created over 100 jobs for local people during the construction phase, and about 30 jobs during the operation.</w:t>
      </w:r>
    </w:p>
    <w:p w14:paraId="3C40D932" w14:textId="77777777" w:rsidR="005808C6" w:rsidRPr="00755DE3" w:rsidRDefault="005808C6" w:rsidP="005808C6">
      <w:pPr>
        <w:pStyle w:val="SingleTxtG"/>
        <w:tabs>
          <w:tab w:val="left" w:pos="1504"/>
        </w:tabs>
      </w:pPr>
      <w:r w:rsidRPr="00755DE3">
        <w:rPr>
          <w:u w:val="single"/>
        </w:rPr>
        <w:t>Partners</w:t>
      </w:r>
      <w:r w:rsidRPr="00755DE3">
        <w:t xml:space="preserve">: The French investment fund </w:t>
      </w:r>
      <w:proofErr w:type="spellStart"/>
      <w:r w:rsidRPr="00755DE3">
        <w:t>Meridiam</w:t>
      </w:r>
      <w:proofErr w:type="spellEnd"/>
      <w:r w:rsidRPr="00755DE3">
        <w:t xml:space="preserve"> has been awarded a PPP contract of 25 years to build and operate the plant. </w:t>
      </w:r>
      <w:proofErr w:type="spellStart"/>
      <w:r w:rsidRPr="00755DE3">
        <w:t>Meridiam</w:t>
      </w:r>
      <w:proofErr w:type="spellEnd"/>
      <w:r w:rsidRPr="00755DE3">
        <w:t xml:space="preserve"> has an 80% share in the project, while the remainder is held by Madrid-based waste management company </w:t>
      </w:r>
      <w:proofErr w:type="spellStart"/>
      <w:r w:rsidRPr="00755DE3">
        <w:t>Urbaser</w:t>
      </w:r>
      <w:proofErr w:type="spellEnd"/>
      <w:r w:rsidRPr="00755DE3">
        <w:t xml:space="preserve"> SA. The capital investment of the plant is EUR 183,276,653, with the EU’s Cohesion Fund contributing EUR 39,608,601 through the “Infrastructure and Environment” Operational Programme for the 2014-2020 programming period. The investment falls under the priority “Environmental protection, including adaptation to climate change”. </w:t>
      </w:r>
    </w:p>
    <w:p w14:paraId="66744363" w14:textId="2F5A86ED" w:rsidR="006412FC" w:rsidRPr="00755DE3" w:rsidRDefault="006412FC" w:rsidP="006412FC">
      <w:pPr>
        <w:pStyle w:val="SingleTxtG"/>
        <w:tabs>
          <w:tab w:val="left" w:pos="1504"/>
        </w:tabs>
      </w:pPr>
      <w:r w:rsidRPr="00755DE3">
        <w:rPr>
          <w:u w:val="single"/>
        </w:rPr>
        <w:t xml:space="preserve">Contribution to the </w:t>
      </w:r>
      <w:r w:rsidR="00C128F6" w:rsidRPr="00755DE3">
        <w:rPr>
          <w:u w:val="single"/>
        </w:rPr>
        <w:t>People-first</w:t>
      </w:r>
      <w:r w:rsidRPr="00755DE3">
        <w:rPr>
          <w:u w:val="single"/>
        </w:rPr>
        <w:t xml:space="preserve"> outcome</w:t>
      </w:r>
      <w:r w:rsidR="009E7D91" w:rsidRPr="00755DE3">
        <w:rPr>
          <w:u w:val="single"/>
        </w:rPr>
        <w:t xml:space="preserve"> “</w:t>
      </w:r>
      <w:r w:rsidR="004F33FF" w:rsidRPr="00755DE3">
        <w:rPr>
          <w:u w:val="single"/>
        </w:rPr>
        <w:t>increase</w:t>
      </w:r>
      <w:r w:rsidR="009E7D91" w:rsidRPr="00755DE3">
        <w:rPr>
          <w:u w:val="single"/>
        </w:rPr>
        <w:t xml:space="preserve"> access and promote equity”</w:t>
      </w:r>
      <w:r w:rsidRPr="00755DE3">
        <w:t>:</w:t>
      </w:r>
    </w:p>
    <w:p w14:paraId="72C56124" w14:textId="6E3FB795" w:rsidR="006412FC" w:rsidRPr="00755DE3" w:rsidRDefault="006412FC" w:rsidP="008F5446">
      <w:pPr>
        <w:pStyle w:val="SingleTxtG"/>
        <w:numPr>
          <w:ilvl w:val="0"/>
          <w:numId w:val="14"/>
        </w:numPr>
      </w:pPr>
      <w:r w:rsidRPr="00755DE3">
        <w:t xml:space="preserve">The </w:t>
      </w:r>
      <w:r w:rsidR="004F33FF" w:rsidRPr="00755DE3">
        <w:t>Olsztyn’s Michelin combined heat</w:t>
      </w:r>
      <w:r w:rsidRPr="00755DE3">
        <w:t xml:space="preserve"> and </w:t>
      </w:r>
      <w:r w:rsidR="004F33FF" w:rsidRPr="00755DE3">
        <w:t xml:space="preserve">power plant is to be closed. </w:t>
      </w:r>
      <w:r w:rsidRPr="00755DE3">
        <w:t xml:space="preserve">The </w:t>
      </w:r>
      <w:r w:rsidR="004F33FF" w:rsidRPr="00755DE3">
        <w:t>W</w:t>
      </w:r>
      <w:r w:rsidR="005210AE" w:rsidRPr="00755DE3">
        <w:t>t</w:t>
      </w:r>
      <w:r w:rsidR="004F33FF" w:rsidRPr="00755DE3">
        <w:t>E plant</w:t>
      </w:r>
      <w:r w:rsidRPr="00755DE3">
        <w:t xml:space="preserve"> will </w:t>
      </w:r>
      <w:r w:rsidR="004F33FF" w:rsidRPr="00755DE3">
        <w:t xml:space="preserve">use residual waste as a new heat source and will also </w:t>
      </w:r>
      <w:r w:rsidRPr="00755DE3">
        <w:t>provide electricity</w:t>
      </w:r>
      <w:r w:rsidR="004F33FF" w:rsidRPr="00755DE3">
        <w:t xml:space="preserve"> to the 270,000 inhabitants of the city. </w:t>
      </w:r>
    </w:p>
    <w:bookmarkEnd w:id="24"/>
    <w:p w14:paraId="513D2B45" w14:textId="3ADFF594" w:rsidR="00B415FC" w:rsidRPr="00755DE3" w:rsidRDefault="00B65AAB" w:rsidP="00B65AAB">
      <w:pPr>
        <w:pStyle w:val="H4G"/>
        <w:rPr>
          <w:b/>
          <w:bCs/>
        </w:rPr>
      </w:pPr>
      <w:r w:rsidRPr="00755DE3">
        <w:rPr>
          <w:b/>
          <w:bCs/>
        </w:rPr>
        <w:tab/>
      </w:r>
      <w:r w:rsidRPr="00755DE3">
        <w:rPr>
          <w:b/>
          <w:bCs/>
        </w:rPr>
        <w:tab/>
      </w:r>
      <w:proofErr w:type="spellStart"/>
      <w:r w:rsidR="00B415FC" w:rsidRPr="00755DE3">
        <w:rPr>
          <w:b/>
          <w:bCs/>
        </w:rPr>
        <w:t>Klaipėda</w:t>
      </w:r>
      <w:proofErr w:type="spellEnd"/>
      <w:r w:rsidR="00B415FC" w:rsidRPr="00755DE3">
        <w:rPr>
          <w:b/>
          <w:bCs/>
        </w:rPr>
        <w:t>, Lithuania</w:t>
      </w:r>
    </w:p>
    <w:p w14:paraId="5826B9DB" w14:textId="0CDCF039" w:rsidR="00B415FC" w:rsidRPr="00755DE3" w:rsidRDefault="00B415FC" w:rsidP="00B415FC">
      <w:pPr>
        <w:pStyle w:val="SingleTxtG"/>
        <w:tabs>
          <w:tab w:val="left" w:pos="1504"/>
        </w:tabs>
      </w:pPr>
      <w:r w:rsidRPr="00755DE3">
        <w:rPr>
          <w:u w:val="single"/>
        </w:rPr>
        <w:t>Challenge</w:t>
      </w:r>
      <w:r w:rsidRPr="00755DE3">
        <w:t>: The region was heavily rel</w:t>
      </w:r>
      <w:r w:rsidR="00D7195A" w:rsidRPr="00755DE3">
        <w:t>ying</w:t>
      </w:r>
      <w:r w:rsidRPr="00755DE3">
        <w:t xml:space="preserve"> on imports of gas for the production of energy, and on landfills for the disposition of their waste materials.</w:t>
      </w:r>
    </w:p>
    <w:p w14:paraId="5E90949D" w14:textId="54E28BBB" w:rsidR="00FC73CE" w:rsidRPr="00755DE3" w:rsidRDefault="00B415FC" w:rsidP="00B415FC">
      <w:pPr>
        <w:pStyle w:val="SingleTxtG"/>
        <w:tabs>
          <w:tab w:val="left" w:pos="1170"/>
          <w:tab w:val="left" w:pos="1504"/>
        </w:tabs>
      </w:pPr>
      <w:r w:rsidRPr="00755DE3">
        <w:rPr>
          <w:u w:val="single"/>
        </w:rPr>
        <w:t>Description of the project</w:t>
      </w:r>
      <w:r w:rsidRPr="00755DE3">
        <w:t xml:space="preserve">: </w:t>
      </w:r>
      <w:r w:rsidR="00DC2FD1" w:rsidRPr="00755DE3">
        <w:t xml:space="preserve">The Fortum </w:t>
      </w:r>
      <w:proofErr w:type="spellStart"/>
      <w:r w:rsidR="00DC2FD1" w:rsidRPr="00755DE3">
        <w:t>Klaipėda</w:t>
      </w:r>
      <w:proofErr w:type="spellEnd"/>
      <w:r w:rsidR="00DC2FD1" w:rsidRPr="00755DE3">
        <w:t xml:space="preserve"> combined heat and power plant (CHP) is situated in Klaipeda Free Economic Zone. The plant</w:t>
      </w:r>
      <w:r w:rsidR="00FC73CE" w:rsidRPr="00755DE3">
        <w:t xml:space="preserve"> process</w:t>
      </w:r>
      <w:r w:rsidR="00DC2FD1" w:rsidRPr="00755DE3">
        <w:t>es</w:t>
      </w:r>
      <w:r w:rsidR="00FC73CE" w:rsidRPr="00755DE3">
        <w:t xml:space="preserve"> 272,000 </w:t>
      </w:r>
      <w:r w:rsidR="00CB62CD" w:rsidRPr="00755DE3">
        <w:t>tonnes</w:t>
      </w:r>
      <w:r w:rsidR="00FC73CE" w:rsidRPr="00755DE3">
        <w:t xml:space="preserve"> of waste per year to produce 380 GWh of heat and 120 GWh of electricity</w:t>
      </w:r>
      <w:r w:rsidR="00DC2FD1" w:rsidRPr="00755DE3">
        <w:t xml:space="preserve">. It covers </w:t>
      </w:r>
      <w:r w:rsidR="001A7C0D" w:rsidRPr="00755DE3">
        <w:t>about</w:t>
      </w:r>
      <w:r w:rsidR="00DC2FD1" w:rsidRPr="00755DE3">
        <w:t xml:space="preserve"> 40% of the city’s heat requirements.</w:t>
      </w:r>
      <w:r w:rsidR="00E36E2A" w:rsidRPr="00755DE3">
        <w:t xml:space="preserve"> The project was commissioned in spring </w:t>
      </w:r>
      <w:r w:rsidR="001A7C0D" w:rsidRPr="00755DE3">
        <w:t>2013, and</w:t>
      </w:r>
      <w:r w:rsidR="00E36E2A" w:rsidRPr="00755DE3">
        <w:t xml:space="preserve"> it is the first </w:t>
      </w:r>
      <w:r w:rsidR="005210AE" w:rsidRPr="00755DE3">
        <w:t>WtE</w:t>
      </w:r>
      <w:r w:rsidR="00E36E2A" w:rsidRPr="00755DE3">
        <w:t xml:space="preserve"> in Lithuania and all the Baltic countries.</w:t>
      </w:r>
    </w:p>
    <w:p w14:paraId="1A614911" w14:textId="22998E64" w:rsidR="00B415FC" w:rsidRPr="00755DE3" w:rsidRDefault="00B415FC" w:rsidP="00D7768A">
      <w:pPr>
        <w:pStyle w:val="SingleTxtG"/>
        <w:tabs>
          <w:tab w:val="left" w:pos="1504"/>
        </w:tabs>
      </w:pPr>
      <w:r w:rsidRPr="00755DE3">
        <w:rPr>
          <w:u w:val="single"/>
        </w:rPr>
        <w:t>Partners</w:t>
      </w:r>
      <w:r w:rsidRPr="00755DE3">
        <w:t xml:space="preserve">: </w:t>
      </w:r>
      <w:r w:rsidR="00E36E2A" w:rsidRPr="00755DE3">
        <w:t xml:space="preserve">The plant is a part of the Finnish energy company Fortum and 5% of the shares are owned by the heat distributor AB </w:t>
      </w:r>
      <w:proofErr w:type="spellStart"/>
      <w:r w:rsidR="00E36E2A" w:rsidRPr="00755DE3">
        <w:t>Klaipėdos</w:t>
      </w:r>
      <w:proofErr w:type="spellEnd"/>
      <w:r w:rsidR="00E36E2A" w:rsidRPr="00755DE3">
        <w:t xml:space="preserve"> </w:t>
      </w:r>
      <w:proofErr w:type="spellStart"/>
      <w:r w:rsidR="00E36E2A" w:rsidRPr="00755DE3">
        <w:t>energija</w:t>
      </w:r>
      <w:proofErr w:type="spellEnd"/>
      <w:r w:rsidR="00E36E2A" w:rsidRPr="00755DE3">
        <w:t xml:space="preserve">. </w:t>
      </w:r>
      <w:r w:rsidR="00DC2FD1" w:rsidRPr="00755DE3">
        <w:t xml:space="preserve">The total amount of Fortum’s </w:t>
      </w:r>
      <w:r w:rsidR="00DC2FD1" w:rsidRPr="00755DE3">
        <w:lastRenderedPageBreak/>
        <w:t xml:space="preserve">investment in the plant in Klaipeda is EUR 140 million, of which EUR 70 million is covered by a seven-year loan from </w:t>
      </w:r>
      <w:r w:rsidR="00CB52A9" w:rsidRPr="00755DE3">
        <w:t>Nordic Investment Bank (</w:t>
      </w:r>
      <w:r w:rsidR="00DC2FD1" w:rsidRPr="00755DE3">
        <w:t>NIB</w:t>
      </w:r>
      <w:r w:rsidR="00CB52A9" w:rsidRPr="00755DE3">
        <w:t>)</w:t>
      </w:r>
      <w:r w:rsidR="00DC2FD1" w:rsidRPr="00755DE3">
        <w:t>.</w:t>
      </w:r>
      <w:r w:rsidR="00D7768A" w:rsidRPr="00755DE3">
        <w:t xml:space="preserve"> The flue gas treatment and heat recovery system </w:t>
      </w:r>
      <w:r w:rsidR="00171FA7" w:rsidRPr="00755DE3">
        <w:t>were</w:t>
      </w:r>
      <w:r w:rsidR="00D7768A" w:rsidRPr="00755DE3">
        <w:t xml:space="preserve"> supplied by Alstom. </w:t>
      </w:r>
      <w:proofErr w:type="spellStart"/>
      <w:r w:rsidR="00D7768A" w:rsidRPr="00755DE3">
        <w:t>Fisia</w:t>
      </w:r>
      <w:proofErr w:type="spellEnd"/>
      <w:r w:rsidR="00D7768A" w:rsidRPr="00755DE3">
        <w:t xml:space="preserve"> Babcock was responsible for the design, </w:t>
      </w:r>
      <w:r w:rsidR="00171FA7" w:rsidRPr="00755DE3">
        <w:t>development,</w:t>
      </w:r>
      <w:r w:rsidR="00D7768A" w:rsidRPr="00755DE3">
        <w:t xml:space="preserve"> and erection of the boilers, as well as commissioning and trial operation. Honeywell provided the </w:t>
      </w:r>
      <w:proofErr w:type="spellStart"/>
      <w:r w:rsidR="00D7768A" w:rsidRPr="00755DE3">
        <w:t>Experion</w:t>
      </w:r>
      <w:proofErr w:type="spellEnd"/>
      <w:r w:rsidR="00D7768A" w:rsidRPr="00755DE3">
        <w:t xml:space="preserve"> Process Knowledge System (Human Machine Interface) and safety manager emergency shutdown. </w:t>
      </w:r>
    </w:p>
    <w:p w14:paraId="213CE0FA" w14:textId="77777777" w:rsidR="00B415FC" w:rsidRPr="00755DE3" w:rsidRDefault="00B415FC" w:rsidP="00B415FC">
      <w:pPr>
        <w:pStyle w:val="SingleTxtG"/>
        <w:tabs>
          <w:tab w:val="left" w:pos="1504"/>
        </w:tabs>
      </w:pPr>
      <w:r w:rsidRPr="00755DE3">
        <w:rPr>
          <w:u w:val="single"/>
        </w:rPr>
        <w:t>Contribution to the People-first outcome “increase access and promote equity”</w:t>
      </w:r>
      <w:r w:rsidRPr="00755DE3">
        <w:t>:</w:t>
      </w:r>
    </w:p>
    <w:p w14:paraId="7CB5A283" w14:textId="0EF9E36B" w:rsidR="004F33FF" w:rsidRPr="00755DE3" w:rsidRDefault="00B415FC" w:rsidP="008F5446">
      <w:pPr>
        <w:pStyle w:val="SingleTxtG"/>
        <w:numPr>
          <w:ilvl w:val="0"/>
          <w:numId w:val="14"/>
        </w:numPr>
      </w:pPr>
      <w:r w:rsidRPr="00755DE3">
        <w:t xml:space="preserve">The </w:t>
      </w:r>
      <w:r w:rsidR="00D7195A" w:rsidRPr="00755DE3">
        <w:t xml:space="preserve">project covers about 40% of the city’s heat </w:t>
      </w:r>
      <w:r w:rsidR="00DD493A" w:rsidRPr="00755DE3">
        <w:t>requirements and</w:t>
      </w:r>
      <w:r w:rsidR="00D7195A" w:rsidRPr="00755DE3">
        <w:t xml:space="preserve"> </w:t>
      </w:r>
      <w:r w:rsidR="00610248">
        <w:t>helps</w:t>
      </w:r>
      <w:r w:rsidR="00D7195A" w:rsidRPr="00755DE3">
        <w:t xml:space="preserve"> the country to reduce imports</w:t>
      </w:r>
      <w:r w:rsidR="00171FA7" w:rsidRPr="00755DE3">
        <w:t xml:space="preserve"> of gas for energy production. </w:t>
      </w:r>
    </w:p>
    <w:p w14:paraId="386B54A9" w14:textId="77D53096" w:rsidR="00245222" w:rsidRPr="00755DE3" w:rsidRDefault="00A23D08" w:rsidP="001E49E6">
      <w:pPr>
        <w:pStyle w:val="H23G"/>
        <w:numPr>
          <w:ilvl w:val="2"/>
          <w:numId w:val="20"/>
        </w:numPr>
        <w:ind w:left="1701" w:hanging="567"/>
        <w:outlineLvl w:val="9"/>
      </w:pPr>
      <w:r w:rsidRPr="00755DE3">
        <w:t>People-first outcome “</w:t>
      </w:r>
      <w:r w:rsidR="00245222" w:rsidRPr="00755DE3">
        <w:t>Improve projects economic effectiveness and fiscal sustainability</w:t>
      </w:r>
      <w:r w:rsidRPr="00755DE3">
        <w:t>”</w:t>
      </w:r>
    </w:p>
    <w:p w14:paraId="51829F24" w14:textId="2EB598CC" w:rsidR="003F0A49" w:rsidRPr="00755DE3" w:rsidRDefault="008F5446" w:rsidP="008F5446">
      <w:pPr>
        <w:pStyle w:val="H4G"/>
        <w:rPr>
          <w:b/>
          <w:bCs/>
        </w:rPr>
      </w:pPr>
      <w:bookmarkStart w:id="25" w:name="_Hlk50477046"/>
      <w:r w:rsidRPr="00755DE3">
        <w:rPr>
          <w:b/>
          <w:bCs/>
        </w:rPr>
        <w:tab/>
      </w:r>
      <w:r w:rsidRPr="00755DE3">
        <w:rPr>
          <w:b/>
          <w:bCs/>
        </w:rPr>
        <w:tab/>
      </w:r>
      <w:r w:rsidR="003F0A49" w:rsidRPr="00755DE3">
        <w:rPr>
          <w:b/>
          <w:bCs/>
        </w:rPr>
        <w:t>Refugee’s camps in Cox’s Bazar, Bangladesh</w:t>
      </w:r>
    </w:p>
    <w:p w14:paraId="1B200824" w14:textId="6B82EF8E" w:rsidR="003F0A49" w:rsidRPr="00755DE3" w:rsidRDefault="003F0A49" w:rsidP="003F0A49">
      <w:pPr>
        <w:pStyle w:val="SingleTxtG"/>
        <w:tabs>
          <w:tab w:val="left" w:pos="1504"/>
        </w:tabs>
      </w:pPr>
      <w:r w:rsidRPr="00755DE3">
        <w:rPr>
          <w:u w:val="single"/>
        </w:rPr>
        <w:t>Challenge</w:t>
      </w:r>
      <w:r w:rsidRPr="00755DE3">
        <w:t xml:space="preserve">: The camp was using an open dump for the disposition of approximately 40 cubic meters of waste a day, creating significant public health effects. For example, more than 200,000 cases of acute </w:t>
      </w:r>
      <w:r w:rsidR="00747F1F" w:rsidRPr="00755DE3">
        <w:t>diarrhoea</w:t>
      </w:r>
      <w:r w:rsidRPr="00755DE3">
        <w:t xml:space="preserve"> were reported in the Rohingya camps in 2018, as well as respiratory infections and skin diseases.</w:t>
      </w:r>
    </w:p>
    <w:p w14:paraId="36E4FB4F" w14:textId="0BC0888B" w:rsidR="003F0A49" w:rsidRPr="00755DE3" w:rsidRDefault="003F0A49" w:rsidP="003F0A49">
      <w:pPr>
        <w:pStyle w:val="SingleTxtG"/>
        <w:tabs>
          <w:tab w:val="left" w:pos="1504"/>
        </w:tabs>
      </w:pPr>
      <w:r w:rsidRPr="00755DE3">
        <w:rPr>
          <w:u w:val="single"/>
        </w:rPr>
        <w:t>Description of the project</w:t>
      </w:r>
      <w:r w:rsidRPr="00755DE3">
        <w:t>: Transform the open dump into an engineered landfill to process the waste of 150,000 people</w:t>
      </w:r>
      <w:r w:rsidR="00747F1F" w:rsidRPr="00755DE3">
        <w:t xml:space="preserve"> –</w:t>
      </w:r>
      <w:r w:rsidRPr="00755DE3">
        <w:t xml:space="preserve"> equivalent to the population of Abuja, as a first step towards sustainable waste management.</w:t>
      </w:r>
    </w:p>
    <w:p w14:paraId="0989E250" w14:textId="746B7EAB" w:rsidR="003F0A49" w:rsidRPr="00755DE3" w:rsidRDefault="003F0A49" w:rsidP="003F0A49">
      <w:pPr>
        <w:pStyle w:val="SingleTxtG"/>
        <w:tabs>
          <w:tab w:val="left" w:pos="1504"/>
        </w:tabs>
      </w:pPr>
      <w:r w:rsidRPr="00755DE3">
        <w:rPr>
          <w:u w:val="single"/>
        </w:rPr>
        <w:t>Partners</w:t>
      </w:r>
      <w:r w:rsidRPr="00755DE3">
        <w:t>: The development funded by the United Nations High Commissioner for Refugees (UNHCR). A suitable site was provided by the Government of Bangladesh and the project was delivered in collaboration with the Refugee Relief and Repatriation Commissioner's Office in Cox’s Bazar. Oxfam engineers and Rohingya refugees have built and operated the system.</w:t>
      </w:r>
      <w:r w:rsidRPr="00755DE3">
        <w:rPr>
          <w:vertAlign w:val="superscript"/>
        </w:rPr>
        <w:footnoteReference w:id="64"/>
      </w:r>
      <w:r w:rsidRPr="00755DE3">
        <w:t xml:space="preserve"> The initial investment of developing the site and installing the equipment was approximately </w:t>
      </w:r>
      <w:r w:rsidR="004F712D" w:rsidRPr="00755DE3">
        <w:t>USD</w:t>
      </w:r>
      <w:r w:rsidR="00502A7B" w:rsidRPr="00755DE3">
        <w:t xml:space="preserve"> </w:t>
      </w:r>
      <w:r w:rsidRPr="00755DE3">
        <w:t>400,000.</w:t>
      </w:r>
    </w:p>
    <w:p w14:paraId="09BBDE06" w14:textId="40411D5F" w:rsidR="003F0A49" w:rsidRPr="00755DE3" w:rsidRDefault="003F0A49" w:rsidP="003F0A49">
      <w:pPr>
        <w:pStyle w:val="SingleTxtG"/>
        <w:tabs>
          <w:tab w:val="left" w:pos="1504"/>
        </w:tabs>
      </w:pPr>
      <w:r w:rsidRPr="00755DE3">
        <w:rPr>
          <w:u w:val="single"/>
        </w:rPr>
        <w:t>Contribution to the People-first outcome “</w:t>
      </w:r>
      <w:r w:rsidR="00B53D74" w:rsidRPr="00755DE3">
        <w:rPr>
          <w:u w:val="single"/>
        </w:rPr>
        <w:t>Improve projects economic effectiveness and fiscal sustainability</w:t>
      </w:r>
      <w:r w:rsidRPr="00755DE3">
        <w:rPr>
          <w:u w:val="single"/>
        </w:rPr>
        <w:t>”</w:t>
      </w:r>
      <w:r w:rsidRPr="00755DE3">
        <w:t>:</w:t>
      </w:r>
    </w:p>
    <w:p w14:paraId="092AFEEE" w14:textId="63EC76F1" w:rsidR="003F0A49" w:rsidRPr="00755DE3" w:rsidRDefault="003F0A49" w:rsidP="008F5446">
      <w:pPr>
        <w:pStyle w:val="SingleTxtG"/>
        <w:numPr>
          <w:ilvl w:val="0"/>
          <w:numId w:val="6"/>
        </w:numPr>
      </w:pPr>
      <w:r w:rsidRPr="00755DE3">
        <w:t xml:space="preserve">The project considered the refugees for the construction and operation of the landfill. </w:t>
      </w:r>
    </w:p>
    <w:p w14:paraId="019BE787" w14:textId="42EB9117" w:rsidR="003100FC" w:rsidRPr="00755DE3" w:rsidRDefault="003100FC" w:rsidP="008F5446">
      <w:pPr>
        <w:pStyle w:val="SingleTxtG"/>
        <w:numPr>
          <w:ilvl w:val="0"/>
          <w:numId w:val="6"/>
        </w:numPr>
      </w:pPr>
      <w:r w:rsidRPr="00755DE3">
        <w:t>The project significantly reduces health risks for refugees and host communities and the likelihood of diseases outbreak.</w:t>
      </w:r>
    </w:p>
    <w:p w14:paraId="64F1935B" w14:textId="76C6AE9F" w:rsidR="001C5875" w:rsidRPr="00755DE3" w:rsidRDefault="008F5446" w:rsidP="008F5446">
      <w:pPr>
        <w:pStyle w:val="H4G"/>
        <w:rPr>
          <w:b/>
          <w:bCs/>
        </w:rPr>
      </w:pPr>
      <w:r w:rsidRPr="00755DE3">
        <w:rPr>
          <w:b/>
          <w:bCs/>
        </w:rPr>
        <w:tab/>
      </w:r>
      <w:r w:rsidRPr="00755DE3">
        <w:rPr>
          <w:b/>
          <w:bCs/>
        </w:rPr>
        <w:tab/>
      </w:r>
      <w:r w:rsidR="001C5875" w:rsidRPr="00755DE3">
        <w:rPr>
          <w:b/>
          <w:bCs/>
        </w:rPr>
        <w:t xml:space="preserve">Belgrade, Serbia </w:t>
      </w:r>
    </w:p>
    <w:p w14:paraId="22AF070B" w14:textId="77777777" w:rsidR="001C5875" w:rsidRPr="00755DE3" w:rsidRDefault="001C5875" w:rsidP="001C5875">
      <w:pPr>
        <w:pStyle w:val="SingleTxtG"/>
        <w:tabs>
          <w:tab w:val="left" w:pos="1504"/>
        </w:tabs>
      </w:pPr>
      <w:r w:rsidRPr="00755DE3">
        <w:rPr>
          <w:u w:val="single"/>
        </w:rPr>
        <w:t>Challenge</w:t>
      </w:r>
      <w:r w:rsidRPr="00755DE3">
        <w:t xml:space="preserve">: A landfill has been operated for more than 40 years at the </w:t>
      </w:r>
      <w:proofErr w:type="spellStart"/>
      <w:r w:rsidRPr="00755DE3">
        <w:t>Vinča</w:t>
      </w:r>
      <w:proofErr w:type="spellEnd"/>
      <w:r w:rsidRPr="00755DE3">
        <w:t xml:space="preserve"> locality, located approximately 12 km of Belgrade. This landfill does not meet Serbian or EU standards for Sanitary Landfills and poses a source of pollution of groundwaters and surrounding soil. The landfill received about 90% of the waste produced by thirteen municipalities in the greater city of Belgrade and occupied about 40 hectares of land near the bank of Danube river. </w:t>
      </w:r>
    </w:p>
    <w:p w14:paraId="2FADE393" w14:textId="2837BC5E" w:rsidR="001C5875" w:rsidRPr="00755DE3" w:rsidRDefault="001C5875" w:rsidP="001C5875">
      <w:pPr>
        <w:pStyle w:val="SingleTxtG"/>
        <w:tabs>
          <w:tab w:val="left" w:pos="1504"/>
        </w:tabs>
      </w:pPr>
      <w:r w:rsidRPr="00755DE3">
        <w:rPr>
          <w:u w:val="single"/>
        </w:rPr>
        <w:t>Description of the project</w:t>
      </w:r>
      <w:r w:rsidRPr="00755DE3">
        <w:t xml:space="preserve">: The PPP contract involves the construction and operation of the </w:t>
      </w:r>
      <w:proofErr w:type="spellStart"/>
      <w:r w:rsidRPr="00755DE3">
        <w:t>Vinča</w:t>
      </w:r>
      <w:proofErr w:type="spellEnd"/>
      <w:r w:rsidRPr="00755DE3">
        <w:t xml:space="preserve"> WtE plant, the construction of a landfill, and a recycling facility for construction and demolition wastes. Also, the </w:t>
      </w:r>
      <w:r w:rsidR="00906445" w:rsidRPr="00755DE3">
        <w:t xml:space="preserve">project sponsors </w:t>
      </w:r>
      <w:r w:rsidRPr="00755DE3">
        <w:t xml:space="preserve">will be responsible for the closure and remediation of the </w:t>
      </w:r>
      <w:proofErr w:type="spellStart"/>
      <w:r w:rsidRPr="00755DE3">
        <w:t>Vinca</w:t>
      </w:r>
      <w:proofErr w:type="spellEnd"/>
      <w:r w:rsidRPr="00755DE3">
        <w:t xml:space="preserve"> non-sanitary landfill. The 103MW </w:t>
      </w:r>
      <w:r w:rsidR="00393EC9" w:rsidRPr="00755DE3">
        <w:t xml:space="preserve">WtE </w:t>
      </w:r>
      <w:r w:rsidRPr="00755DE3">
        <w:t xml:space="preserve">facility will have capacity for a volume of approximately 340,000 </w:t>
      </w:r>
      <w:r w:rsidR="00CB62CD" w:rsidRPr="00755DE3">
        <w:t>tonnes</w:t>
      </w:r>
      <w:r w:rsidRPr="00755DE3">
        <w:t xml:space="preserve"> of household waste every year. </w:t>
      </w:r>
    </w:p>
    <w:p w14:paraId="3D00492E" w14:textId="06AF13DC" w:rsidR="001C5875" w:rsidRPr="00755DE3" w:rsidRDefault="001C5875" w:rsidP="001C5875">
      <w:pPr>
        <w:pStyle w:val="SingleTxtG"/>
        <w:tabs>
          <w:tab w:val="left" w:pos="1504"/>
        </w:tabs>
      </w:pPr>
      <w:r w:rsidRPr="00755DE3">
        <w:rPr>
          <w:u w:val="single"/>
        </w:rPr>
        <w:t>Partners</w:t>
      </w:r>
      <w:r w:rsidRPr="00755DE3">
        <w:t xml:space="preserve">: The </w:t>
      </w:r>
      <w:r w:rsidR="00393EC9" w:rsidRPr="00755DE3">
        <w:t xml:space="preserve">WtE </w:t>
      </w:r>
      <w:r w:rsidRPr="00755DE3">
        <w:t xml:space="preserve">facility is being developed by </w:t>
      </w:r>
      <w:proofErr w:type="spellStart"/>
      <w:r w:rsidRPr="00755DE3">
        <w:t>Beo</w:t>
      </w:r>
      <w:proofErr w:type="spellEnd"/>
      <w:r w:rsidRPr="00755DE3">
        <w:t xml:space="preserve"> </w:t>
      </w:r>
      <w:proofErr w:type="spellStart"/>
      <w:r w:rsidRPr="00755DE3">
        <w:t>Čista</w:t>
      </w:r>
      <w:proofErr w:type="spellEnd"/>
      <w:r w:rsidRPr="00755DE3">
        <w:t xml:space="preserve"> </w:t>
      </w:r>
      <w:proofErr w:type="spellStart"/>
      <w:r w:rsidRPr="00755DE3">
        <w:t>Energija</w:t>
      </w:r>
      <w:proofErr w:type="spellEnd"/>
      <w:r w:rsidRPr="00755DE3">
        <w:t xml:space="preserve"> (BCE), a special purpose company formed by French utility company Suez, Japanese conglomerate Itochu, and pan-European equity fund Marguerite II. The capital investment is </w:t>
      </w:r>
      <w:r w:rsidR="00502A7B" w:rsidRPr="00755DE3">
        <w:t xml:space="preserve">EUR </w:t>
      </w:r>
      <w:r w:rsidRPr="00755DE3">
        <w:t xml:space="preserve">370m. IFC and MIGA, members of the World Bank Group, are providing a </w:t>
      </w:r>
      <w:r w:rsidR="00502A7B" w:rsidRPr="00755DE3">
        <w:t xml:space="preserve">EUR </w:t>
      </w:r>
      <w:r w:rsidRPr="00755DE3">
        <w:t xml:space="preserve">259.57 million financing and guarantees package to </w:t>
      </w:r>
      <w:proofErr w:type="spellStart"/>
      <w:r w:rsidRPr="00755DE3">
        <w:t>Beo</w:t>
      </w:r>
      <w:proofErr w:type="spellEnd"/>
      <w:r w:rsidRPr="00755DE3">
        <w:t xml:space="preserve"> </w:t>
      </w:r>
      <w:proofErr w:type="spellStart"/>
      <w:r w:rsidRPr="00755DE3">
        <w:t>Čista</w:t>
      </w:r>
      <w:proofErr w:type="spellEnd"/>
      <w:r w:rsidRPr="00755DE3">
        <w:t xml:space="preserve"> </w:t>
      </w:r>
      <w:proofErr w:type="spellStart"/>
      <w:r w:rsidRPr="00755DE3">
        <w:t>Energija</w:t>
      </w:r>
      <w:proofErr w:type="spellEnd"/>
      <w:r w:rsidRPr="00755DE3">
        <w:t xml:space="preserve">. IFC’s PPP transaction advisory department acted </w:t>
      </w:r>
      <w:r w:rsidRPr="00755DE3">
        <w:lastRenderedPageBreak/>
        <w:t xml:space="preserve">as the City of Belgrade’s lead transaction advisor from 2014 to structure and tender the project. </w:t>
      </w:r>
    </w:p>
    <w:p w14:paraId="4F044E30" w14:textId="7202E015" w:rsidR="001C5875" w:rsidRPr="00755DE3" w:rsidRDefault="001C5875" w:rsidP="001C5875">
      <w:pPr>
        <w:pStyle w:val="SingleTxtG"/>
        <w:tabs>
          <w:tab w:val="left" w:pos="1504"/>
        </w:tabs>
      </w:pPr>
      <w:r w:rsidRPr="00755DE3">
        <w:rPr>
          <w:u w:val="single"/>
        </w:rPr>
        <w:t xml:space="preserve">Contribution to the People-first outcome </w:t>
      </w:r>
      <w:r w:rsidR="00B53D74" w:rsidRPr="00755DE3">
        <w:rPr>
          <w:u w:val="single"/>
        </w:rPr>
        <w:t>“Improve projects economic effectiveness and fiscal sustainability”</w:t>
      </w:r>
      <w:r w:rsidRPr="00755DE3">
        <w:t xml:space="preserve">: </w:t>
      </w:r>
    </w:p>
    <w:p w14:paraId="43951DDB" w14:textId="0E6E208D" w:rsidR="00057399" w:rsidRPr="00755DE3" w:rsidRDefault="00057399" w:rsidP="008F5446">
      <w:pPr>
        <w:pStyle w:val="SingleTxtG"/>
        <w:numPr>
          <w:ilvl w:val="0"/>
          <w:numId w:val="18"/>
        </w:numPr>
      </w:pPr>
      <w:r w:rsidRPr="00755DE3">
        <w:t xml:space="preserve">17 Roma families were living on the site and working informally as waste-pickers. The city relocated the families and helped them find new apartments and jobs. </w:t>
      </w:r>
    </w:p>
    <w:p w14:paraId="735B768B" w14:textId="634CE9DD" w:rsidR="00057399" w:rsidRPr="00755DE3" w:rsidRDefault="00057399" w:rsidP="008F5446">
      <w:pPr>
        <w:pStyle w:val="SingleTxtG"/>
        <w:numPr>
          <w:ilvl w:val="0"/>
          <w:numId w:val="18"/>
        </w:numPr>
      </w:pPr>
      <w:r w:rsidRPr="00755DE3">
        <w:t xml:space="preserve">One of the biggest non-sanitary landfills in Europe will be redeveloped into a </w:t>
      </w:r>
      <w:r w:rsidR="00244C51" w:rsidRPr="00755DE3">
        <w:t>“</w:t>
      </w:r>
      <w:r w:rsidRPr="00755DE3">
        <w:t>green</w:t>
      </w:r>
      <w:r w:rsidR="00244C51" w:rsidRPr="00755DE3">
        <w:t>”</w:t>
      </w:r>
      <w:r w:rsidRPr="00755DE3">
        <w:t xml:space="preserve"> area.</w:t>
      </w:r>
    </w:p>
    <w:p w14:paraId="20FAF677" w14:textId="74C2157F" w:rsidR="001C5875" w:rsidRPr="00755DE3" w:rsidRDefault="008F5446" w:rsidP="008F5446">
      <w:pPr>
        <w:pStyle w:val="H4G"/>
        <w:rPr>
          <w:b/>
          <w:bCs/>
        </w:rPr>
      </w:pPr>
      <w:r w:rsidRPr="00755DE3">
        <w:rPr>
          <w:b/>
          <w:bCs/>
        </w:rPr>
        <w:tab/>
      </w:r>
      <w:r w:rsidRPr="00755DE3">
        <w:rPr>
          <w:b/>
          <w:bCs/>
        </w:rPr>
        <w:tab/>
      </w:r>
      <w:r w:rsidR="001C5875" w:rsidRPr="00755DE3">
        <w:rPr>
          <w:b/>
          <w:bCs/>
        </w:rPr>
        <w:t>Dublin, Ireland</w:t>
      </w:r>
    </w:p>
    <w:p w14:paraId="56CE08B9" w14:textId="760C27A8" w:rsidR="001C5875" w:rsidRPr="00755DE3" w:rsidRDefault="001C5875" w:rsidP="001C5875">
      <w:pPr>
        <w:pStyle w:val="SingleTxtG"/>
        <w:tabs>
          <w:tab w:val="left" w:pos="1504"/>
        </w:tabs>
      </w:pPr>
      <w:r w:rsidRPr="00755DE3">
        <w:rPr>
          <w:u w:val="single"/>
        </w:rPr>
        <w:t>Challenge</w:t>
      </w:r>
      <w:r w:rsidRPr="00755DE3">
        <w:t xml:space="preserve">: The project faced significant opposition, associated mainly with concerns on the traffic and emissions, but construction work finally started in 2014, and completed in 2018. This was about 20 years after the commissioning of the </w:t>
      </w:r>
      <w:r w:rsidR="002E5667" w:rsidRPr="00755DE3">
        <w:t>plant and</w:t>
      </w:r>
      <w:r w:rsidRPr="00755DE3">
        <w:t xml:space="preserve"> was related to a significant increase in the capital investment required for the project. </w:t>
      </w:r>
    </w:p>
    <w:p w14:paraId="393184B6" w14:textId="2268AEC3" w:rsidR="001C5875" w:rsidRPr="00755DE3" w:rsidRDefault="001C5875" w:rsidP="001C5875">
      <w:pPr>
        <w:pStyle w:val="SingleTxtG"/>
        <w:tabs>
          <w:tab w:val="left" w:pos="1504"/>
        </w:tabs>
      </w:pPr>
      <w:r w:rsidRPr="00755DE3">
        <w:rPr>
          <w:u w:val="single"/>
        </w:rPr>
        <w:t>Description of the project</w:t>
      </w:r>
      <w:r w:rsidRPr="00755DE3">
        <w:t xml:space="preserve">: The plant is located in </w:t>
      </w:r>
      <w:proofErr w:type="spellStart"/>
      <w:r w:rsidRPr="00755DE3">
        <w:t>Poolbeg</w:t>
      </w:r>
      <w:proofErr w:type="spellEnd"/>
      <w:r w:rsidRPr="00755DE3">
        <w:t xml:space="preserve">, Dublin Port, and has a treatment capacity of about 1,600 </w:t>
      </w:r>
      <w:r w:rsidR="00CB62CD" w:rsidRPr="00755DE3">
        <w:t>tonnes</w:t>
      </w:r>
      <w:r w:rsidRPr="00755DE3">
        <w:t xml:space="preserve"> of waste per day to generate electricity for up to 80,000 homes annually, and district heating for a further 50,000 homes. The designed capacity of the plant is up to 61 megawatts of energy. The operation of the plant substitutes about 250,000 </w:t>
      </w:r>
      <w:r w:rsidR="00CB62CD" w:rsidRPr="00755DE3">
        <w:t>tonnes</w:t>
      </w:r>
      <w:r w:rsidRPr="00755DE3">
        <w:t xml:space="preserve"> of fossil fuels per year.</w:t>
      </w:r>
    </w:p>
    <w:p w14:paraId="3BBD1C59" w14:textId="05925245" w:rsidR="001C5875" w:rsidRPr="00755DE3" w:rsidRDefault="001C5875" w:rsidP="001C5875">
      <w:pPr>
        <w:pStyle w:val="SingleTxtG"/>
        <w:tabs>
          <w:tab w:val="left" w:pos="1504"/>
        </w:tabs>
      </w:pPr>
      <w:r w:rsidRPr="00755DE3">
        <w:rPr>
          <w:u w:val="single"/>
        </w:rPr>
        <w:t>Partners</w:t>
      </w:r>
      <w:r w:rsidRPr="00755DE3">
        <w:t xml:space="preserve">: The Dublin </w:t>
      </w:r>
      <w:r w:rsidR="00393EC9" w:rsidRPr="00755DE3">
        <w:t xml:space="preserve">WtE </w:t>
      </w:r>
      <w:r w:rsidRPr="00755DE3">
        <w:t>project is a PPP between Dublin City Council (acting on behalf of the four Dublin Local Authorities) and Covanta</w:t>
      </w:r>
      <w:r w:rsidR="002E5667" w:rsidRPr="00755DE3">
        <w:t xml:space="preserve"> Energy</w:t>
      </w:r>
      <w:r w:rsidRPr="00755DE3">
        <w:t>, as part of the Dublin Regional Waste Management Plan. CDM Smith was the representative of Dublin City Council for the successful completion of the project.</w:t>
      </w:r>
    </w:p>
    <w:p w14:paraId="60F56131" w14:textId="784F744B" w:rsidR="001C5875" w:rsidRPr="00755DE3" w:rsidRDefault="001C5875" w:rsidP="001C5875">
      <w:pPr>
        <w:pStyle w:val="SingleTxtG"/>
        <w:tabs>
          <w:tab w:val="left" w:pos="1504"/>
        </w:tabs>
      </w:pPr>
      <w:r w:rsidRPr="00755DE3">
        <w:rPr>
          <w:u w:val="single"/>
        </w:rPr>
        <w:t xml:space="preserve">Contribution to the People-first outcome </w:t>
      </w:r>
      <w:r w:rsidR="00B53D74" w:rsidRPr="00755DE3">
        <w:rPr>
          <w:u w:val="single"/>
        </w:rPr>
        <w:t>“Improve projects economic effectiveness and fiscal sustainability”</w:t>
      </w:r>
      <w:r w:rsidRPr="00755DE3">
        <w:t>:</w:t>
      </w:r>
    </w:p>
    <w:p w14:paraId="387A6550" w14:textId="46896014" w:rsidR="00385F58" w:rsidRPr="00755DE3" w:rsidRDefault="00306EE0" w:rsidP="008F5446">
      <w:pPr>
        <w:pStyle w:val="SingleTxtG"/>
        <w:numPr>
          <w:ilvl w:val="0"/>
          <w:numId w:val="6"/>
        </w:numPr>
      </w:pPr>
      <w:r w:rsidRPr="00755DE3">
        <w:t>Covanta Energy</w:t>
      </w:r>
      <w:r w:rsidR="001C5875" w:rsidRPr="00755DE3">
        <w:t xml:space="preserve"> provided about 100 jobs, 60 of which are full time at the facility, and 35-40 full-time contractor and service support roles. </w:t>
      </w:r>
    </w:p>
    <w:p w14:paraId="4C9F72BC" w14:textId="58E085D0" w:rsidR="001C5875" w:rsidRPr="00755DE3" w:rsidRDefault="001C5875" w:rsidP="008F5446">
      <w:pPr>
        <w:pStyle w:val="SingleTxtG"/>
        <w:numPr>
          <w:ilvl w:val="0"/>
          <w:numId w:val="6"/>
        </w:numPr>
      </w:pPr>
      <w:r w:rsidRPr="00755DE3">
        <w:t xml:space="preserve">More than 300 jobs were created during construction, of which more than 50 jobs were given to local people. Many have secured permanent employment at the facility. </w:t>
      </w:r>
    </w:p>
    <w:p w14:paraId="5BEBBAC3" w14:textId="00C1A2FD" w:rsidR="0051723B" w:rsidRPr="00755DE3" w:rsidRDefault="00306EE0" w:rsidP="008F5446">
      <w:pPr>
        <w:pStyle w:val="SingleTxtG"/>
        <w:numPr>
          <w:ilvl w:val="0"/>
          <w:numId w:val="6"/>
        </w:numPr>
      </w:pPr>
      <w:r w:rsidRPr="00755DE3">
        <w:t>Covanta Energy has allocated m</w:t>
      </w:r>
      <w:r w:rsidR="001C5875" w:rsidRPr="00755DE3">
        <w:t xml:space="preserve">ore than </w:t>
      </w:r>
      <w:r w:rsidR="00502A7B" w:rsidRPr="00755DE3">
        <w:t xml:space="preserve">EUR </w:t>
      </w:r>
      <w:r w:rsidR="001C5875" w:rsidRPr="00755DE3">
        <w:t xml:space="preserve">10 million </w:t>
      </w:r>
      <w:r w:rsidRPr="00755DE3">
        <w:t>for</w:t>
      </w:r>
      <w:r w:rsidR="001C5875" w:rsidRPr="00755DE3">
        <w:t xml:space="preserve"> the community to date, with an additional future annual contribution of </w:t>
      </w:r>
      <w:r w:rsidR="00502A7B" w:rsidRPr="00755DE3">
        <w:t xml:space="preserve">EUR </w:t>
      </w:r>
      <w:r w:rsidR="001C5875" w:rsidRPr="00755DE3">
        <w:t>600,000 based on the annual throughput of waste.</w:t>
      </w:r>
      <w:bookmarkEnd w:id="25"/>
    </w:p>
    <w:p w14:paraId="38C5AD27" w14:textId="416A5BC1" w:rsidR="00CD705A" w:rsidRPr="00755DE3" w:rsidRDefault="008F5446" w:rsidP="008F5446">
      <w:pPr>
        <w:pStyle w:val="H4G"/>
        <w:rPr>
          <w:b/>
          <w:bCs/>
        </w:rPr>
      </w:pPr>
      <w:r w:rsidRPr="00755DE3">
        <w:rPr>
          <w:b/>
          <w:bCs/>
        </w:rPr>
        <w:tab/>
      </w:r>
      <w:r w:rsidRPr="00755DE3">
        <w:rPr>
          <w:b/>
          <w:bCs/>
        </w:rPr>
        <w:tab/>
      </w:r>
      <w:r w:rsidR="00CD705A" w:rsidRPr="00755DE3">
        <w:rPr>
          <w:b/>
          <w:bCs/>
        </w:rPr>
        <w:t>Baku, Azerbaijan</w:t>
      </w:r>
    </w:p>
    <w:p w14:paraId="12907954" w14:textId="77777777" w:rsidR="00CD705A" w:rsidRPr="00755DE3" w:rsidRDefault="00CD705A" w:rsidP="00CD705A">
      <w:pPr>
        <w:pStyle w:val="SingleTxtG"/>
        <w:tabs>
          <w:tab w:val="left" w:pos="1504"/>
        </w:tabs>
      </w:pPr>
      <w:r w:rsidRPr="00755DE3">
        <w:rPr>
          <w:u w:val="single"/>
        </w:rPr>
        <w:t>Challenge</w:t>
      </w:r>
      <w:r w:rsidRPr="00755DE3">
        <w:t xml:space="preserve">: Baku was using non-sanitary landfills for the deposition of the waste materials, which was associated with significant methane emissions. The country aims to reduce GHG emissions by 35% by 2030. </w:t>
      </w:r>
    </w:p>
    <w:p w14:paraId="4B8B3BEB" w14:textId="1E734EC8" w:rsidR="00CD705A" w:rsidRPr="00755DE3" w:rsidRDefault="00CD705A" w:rsidP="00CD705A">
      <w:pPr>
        <w:pStyle w:val="SingleTxtG"/>
        <w:tabs>
          <w:tab w:val="left" w:pos="1504"/>
        </w:tabs>
      </w:pPr>
      <w:r w:rsidRPr="00755DE3">
        <w:rPr>
          <w:u w:val="single"/>
        </w:rPr>
        <w:t>Description of the project</w:t>
      </w:r>
      <w:r w:rsidRPr="00755DE3">
        <w:t>:</w:t>
      </w:r>
      <w:r w:rsidRPr="00755DE3">
        <w:rPr>
          <w:i/>
          <w:iCs/>
        </w:rPr>
        <w:t xml:space="preserve"> </w:t>
      </w:r>
      <w:r w:rsidRPr="00755DE3">
        <w:t xml:space="preserve">The WtE plant processes 500,000 </w:t>
      </w:r>
      <w:r w:rsidR="00CB62CD" w:rsidRPr="00755DE3">
        <w:t>tonnes</w:t>
      </w:r>
      <w:r w:rsidRPr="00755DE3">
        <w:t xml:space="preserve"> of municipal waste per year and 10,000 </w:t>
      </w:r>
      <w:r w:rsidR="00CB62CD" w:rsidRPr="00755DE3">
        <w:t>tonnes</w:t>
      </w:r>
      <w:r w:rsidRPr="00755DE3">
        <w:t xml:space="preserve"> of hospital waste to produce over 230 million kWh of electricity/year. The project covers 10 hectares of land and it is one of the largest facilities in Europe.</w:t>
      </w:r>
    </w:p>
    <w:p w14:paraId="37868D40" w14:textId="16753BBE" w:rsidR="00CD705A" w:rsidRPr="00755DE3" w:rsidRDefault="00CD705A" w:rsidP="00CD705A">
      <w:pPr>
        <w:pStyle w:val="SingleTxtG"/>
        <w:tabs>
          <w:tab w:val="left" w:pos="1504"/>
        </w:tabs>
      </w:pPr>
      <w:r w:rsidRPr="00755DE3">
        <w:rPr>
          <w:u w:val="single"/>
        </w:rPr>
        <w:t>Partners</w:t>
      </w:r>
      <w:r w:rsidRPr="00755DE3">
        <w:t>: "</w:t>
      </w:r>
      <w:proofErr w:type="spellStart"/>
      <w:r w:rsidRPr="00755DE3">
        <w:t>Tamiz</w:t>
      </w:r>
      <w:proofErr w:type="spellEnd"/>
      <w:r w:rsidRPr="00755DE3">
        <w:t xml:space="preserve"> Shahar" JSC, a joint stock company 100% owned by the state of Baku, was created to manage the municipal solid waste of the region. The company awarded CNIM the design, construction and operation (DBO) for 20 years of an energy recovery facility. The capital investment was 377.5 million euro, of which 277.6 million euro were provided by the </w:t>
      </w:r>
      <w:r w:rsidR="00531B15" w:rsidRPr="00755DE3">
        <w:t>G</w:t>
      </w:r>
      <w:r w:rsidRPr="00755DE3">
        <w:t>overnment of Azerbaijan and 149.9 million euro by the Islamic Development Bank.</w:t>
      </w:r>
      <w:r w:rsidRPr="00755DE3">
        <w:rPr>
          <w:vertAlign w:val="superscript"/>
        </w:rPr>
        <w:footnoteReference w:id="65"/>
      </w:r>
    </w:p>
    <w:p w14:paraId="3FE592C9" w14:textId="515C2BD5" w:rsidR="00CD705A" w:rsidRPr="00755DE3" w:rsidRDefault="00CD705A" w:rsidP="00CD705A">
      <w:pPr>
        <w:pStyle w:val="SingleTxtG"/>
        <w:tabs>
          <w:tab w:val="left" w:pos="1504"/>
        </w:tabs>
      </w:pPr>
      <w:r w:rsidRPr="00755DE3">
        <w:rPr>
          <w:u w:val="single"/>
        </w:rPr>
        <w:t>Contribution to the People-first outcome “</w:t>
      </w:r>
      <w:r w:rsidR="00B53D74" w:rsidRPr="00755DE3">
        <w:rPr>
          <w:u w:val="single"/>
        </w:rPr>
        <w:t>“Improve projects economic effectiveness and fiscal sustainability”</w:t>
      </w:r>
      <w:r w:rsidRPr="00755DE3">
        <w:t>:</w:t>
      </w:r>
    </w:p>
    <w:p w14:paraId="0D157B80" w14:textId="165869D3" w:rsidR="00385F58" w:rsidRPr="00755DE3" w:rsidRDefault="00385F58" w:rsidP="008F5446">
      <w:pPr>
        <w:pStyle w:val="SingleTxtG"/>
        <w:numPr>
          <w:ilvl w:val="0"/>
          <w:numId w:val="17"/>
        </w:numPr>
        <w:tabs>
          <w:tab w:val="left" w:pos="1504"/>
        </w:tabs>
      </w:pPr>
      <w:r w:rsidRPr="00755DE3">
        <w:t xml:space="preserve">CNIM hired up to 900 people for the construction of the plant. </w:t>
      </w:r>
    </w:p>
    <w:p w14:paraId="580A7201" w14:textId="6114B332" w:rsidR="00385F58" w:rsidRDefault="00385F58" w:rsidP="008F5446">
      <w:pPr>
        <w:pStyle w:val="SingleTxtG"/>
        <w:numPr>
          <w:ilvl w:val="0"/>
          <w:numId w:val="17"/>
        </w:numPr>
        <w:tabs>
          <w:tab w:val="left" w:pos="1504"/>
        </w:tabs>
      </w:pPr>
      <w:r w:rsidRPr="00755DE3">
        <w:lastRenderedPageBreak/>
        <w:t>For the operation, the plant employs 90 local staff.</w:t>
      </w:r>
    </w:p>
    <w:p w14:paraId="053337AD" w14:textId="77777777" w:rsidR="00A958EF" w:rsidRPr="00755DE3" w:rsidRDefault="00A958EF" w:rsidP="00A958EF">
      <w:pPr>
        <w:pStyle w:val="H23G"/>
        <w:numPr>
          <w:ilvl w:val="2"/>
          <w:numId w:val="20"/>
        </w:numPr>
        <w:ind w:left="1701" w:hanging="567"/>
        <w:outlineLvl w:val="9"/>
      </w:pPr>
      <w:r w:rsidRPr="00755DE3">
        <w:t>People-first outcome “Improve environmental sustainability and resilience”</w:t>
      </w:r>
    </w:p>
    <w:p w14:paraId="18EBA2D2" w14:textId="77777777" w:rsidR="00A958EF" w:rsidRPr="00755DE3" w:rsidRDefault="00A958EF" w:rsidP="00A958EF">
      <w:pPr>
        <w:pStyle w:val="H4G"/>
        <w:rPr>
          <w:b/>
          <w:bCs/>
        </w:rPr>
      </w:pPr>
      <w:r w:rsidRPr="00755DE3">
        <w:rPr>
          <w:b/>
          <w:bCs/>
        </w:rPr>
        <w:tab/>
      </w:r>
      <w:r w:rsidRPr="00755DE3">
        <w:rPr>
          <w:b/>
          <w:bCs/>
        </w:rPr>
        <w:tab/>
        <w:t>Barcelona, Spain</w:t>
      </w:r>
    </w:p>
    <w:p w14:paraId="22D203E5" w14:textId="77777777" w:rsidR="00A958EF" w:rsidRPr="00755DE3" w:rsidRDefault="00A958EF" w:rsidP="00A958EF">
      <w:pPr>
        <w:pStyle w:val="SingleTxtG"/>
        <w:tabs>
          <w:tab w:val="left" w:pos="1504"/>
        </w:tabs>
      </w:pPr>
      <w:r w:rsidRPr="00755DE3">
        <w:rPr>
          <w:u w:val="single"/>
        </w:rPr>
        <w:t>Challenge</w:t>
      </w:r>
      <w:r w:rsidRPr="00755DE3">
        <w:t xml:space="preserve">: Barcelona was using fossil fuels to provide steam to the 16.8 km long district heating and cooling network. </w:t>
      </w:r>
    </w:p>
    <w:p w14:paraId="6DEC251B" w14:textId="77777777" w:rsidR="00A958EF" w:rsidRPr="00755DE3" w:rsidRDefault="00A958EF" w:rsidP="00A958EF">
      <w:pPr>
        <w:pStyle w:val="SingleTxtG"/>
        <w:tabs>
          <w:tab w:val="left" w:pos="1504"/>
        </w:tabs>
      </w:pPr>
      <w:r w:rsidRPr="00755DE3">
        <w:rPr>
          <w:u w:val="single"/>
        </w:rPr>
        <w:t>Description of the project</w:t>
      </w:r>
      <w:r w:rsidRPr="00755DE3">
        <w:t xml:space="preserve">: The Integrated Waste Management Plant (PIVR) of Sant </w:t>
      </w:r>
      <w:proofErr w:type="spellStart"/>
      <w:r w:rsidRPr="00755DE3">
        <w:t>Adrià</w:t>
      </w:r>
      <w:proofErr w:type="spellEnd"/>
      <w:r w:rsidRPr="00755DE3">
        <w:t xml:space="preserve"> de </w:t>
      </w:r>
      <w:proofErr w:type="spellStart"/>
      <w:r w:rsidRPr="00755DE3">
        <w:t>Besòs</w:t>
      </w:r>
      <w:proofErr w:type="spellEnd"/>
      <w:r w:rsidRPr="00755DE3">
        <w:t xml:space="preserve"> includes two plants: The WtE Plant, managed by TERSA, and the Mechanical-Biological Treatment (MBT) Plant, managed by </w:t>
      </w:r>
      <w:proofErr w:type="spellStart"/>
      <w:r w:rsidRPr="00755DE3">
        <w:t>Ecoparc</w:t>
      </w:r>
      <w:proofErr w:type="spellEnd"/>
      <w:r w:rsidRPr="00755DE3">
        <w:t xml:space="preserve"> del </w:t>
      </w:r>
      <w:proofErr w:type="spellStart"/>
      <w:r w:rsidRPr="00755DE3">
        <w:t>Mediterrani</w:t>
      </w:r>
      <w:proofErr w:type="spellEnd"/>
      <w:r w:rsidRPr="00755DE3">
        <w:t xml:space="preserve">. The MBT plant processes unsorted wastes for recycling, and organic materials for composting, and for the production of a small fraction of energy through anaerobic digestion (AD). The residues of the MBT are mixed with non-recyclable municipal solid waste and are processed in the WtE plant. The WtE plant processes 360,000 tonnes of municipal waste per year to produce about 195 GWh of electricity, and over 125,000 tonnes of steam that is used for district heating and cooling. </w:t>
      </w:r>
    </w:p>
    <w:p w14:paraId="17587080" w14:textId="77777777" w:rsidR="00A958EF" w:rsidRPr="00755DE3" w:rsidRDefault="00A958EF" w:rsidP="00A958EF">
      <w:pPr>
        <w:pStyle w:val="SingleTxtG"/>
        <w:tabs>
          <w:tab w:val="left" w:pos="1504"/>
        </w:tabs>
      </w:pPr>
      <w:r w:rsidRPr="00755DE3">
        <w:rPr>
          <w:u w:val="single"/>
        </w:rPr>
        <w:t>Partners</w:t>
      </w:r>
      <w:r w:rsidRPr="00755DE3">
        <w:t>: The city of Barcelona, is responsible for the collection and treatment of municipal solid waste. The construction project was awarded to Ros Roca SA, Hitachi Zosen Inova’s partner in Spain. Ros Roca then commissioned the design, supply, and test operation of incinerators and peripheral equipment to Hitachi Zosen Inova.</w:t>
      </w:r>
    </w:p>
    <w:p w14:paraId="36E0A35C" w14:textId="77777777" w:rsidR="00A958EF" w:rsidRPr="00755DE3" w:rsidRDefault="00A958EF" w:rsidP="00A958EF">
      <w:pPr>
        <w:pStyle w:val="SingleTxtG"/>
        <w:tabs>
          <w:tab w:val="left" w:pos="1504"/>
        </w:tabs>
      </w:pPr>
      <w:r w:rsidRPr="00755DE3">
        <w:rPr>
          <w:u w:val="single"/>
        </w:rPr>
        <w:t>Contribution to the People-first outcome “Improve environmental sustainability and resilience”</w:t>
      </w:r>
      <w:r w:rsidRPr="00755DE3">
        <w:t>:</w:t>
      </w:r>
    </w:p>
    <w:p w14:paraId="62E7D77D" w14:textId="77777777" w:rsidR="00A958EF" w:rsidRPr="00755DE3" w:rsidRDefault="00A958EF" w:rsidP="00A958EF">
      <w:pPr>
        <w:pStyle w:val="SingleTxtG"/>
        <w:numPr>
          <w:ilvl w:val="0"/>
          <w:numId w:val="6"/>
        </w:numPr>
      </w:pPr>
      <w:r w:rsidRPr="00755DE3">
        <w:t>The city reduced its fossil fuel consumption by 58%.</w:t>
      </w:r>
    </w:p>
    <w:p w14:paraId="7342B2CB" w14:textId="77777777" w:rsidR="00A958EF" w:rsidRPr="00755DE3" w:rsidRDefault="00A958EF" w:rsidP="00A958EF">
      <w:pPr>
        <w:pStyle w:val="SingleTxtG"/>
        <w:numPr>
          <w:ilvl w:val="0"/>
          <w:numId w:val="6"/>
        </w:numPr>
      </w:pPr>
      <w:r w:rsidRPr="00755DE3">
        <w:t>The project saves about 19,000 tonnes of CO</w:t>
      </w:r>
      <w:r w:rsidRPr="00755DE3">
        <w:rPr>
          <w:vertAlign w:val="subscript"/>
        </w:rPr>
        <w:t>2</w:t>
      </w:r>
      <w:r w:rsidRPr="00755DE3">
        <w:t xml:space="preserve"> equivalent</w:t>
      </w:r>
      <w:r w:rsidRPr="00755DE3">
        <w:rPr>
          <w:vertAlign w:val="subscript"/>
        </w:rPr>
        <w:t xml:space="preserve"> </w:t>
      </w:r>
      <w:r w:rsidRPr="00755DE3">
        <w:t>per year.</w:t>
      </w:r>
    </w:p>
    <w:p w14:paraId="60D21486" w14:textId="77777777" w:rsidR="00A958EF" w:rsidRPr="00755DE3" w:rsidRDefault="00A958EF" w:rsidP="00A958EF">
      <w:pPr>
        <w:pStyle w:val="SingleTxtG"/>
        <w:numPr>
          <w:ilvl w:val="0"/>
          <w:numId w:val="6"/>
        </w:numPr>
      </w:pPr>
      <w:r w:rsidRPr="00755DE3">
        <w:t>The energy performance of the buildings served by the network improved from 99.83 kgCO</w:t>
      </w:r>
      <w:r w:rsidRPr="00755DE3">
        <w:rPr>
          <w:vertAlign w:val="subscript"/>
        </w:rPr>
        <w:t>2</w:t>
      </w:r>
      <w:r w:rsidRPr="00755DE3">
        <w:t>/m² (E-label) to 55.14 kg CO</w:t>
      </w:r>
      <w:r w:rsidRPr="00755DE3">
        <w:rPr>
          <w:vertAlign w:val="subscript"/>
        </w:rPr>
        <w:t>2</w:t>
      </w:r>
      <w:r w:rsidRPr="00755DE3">
        <w:t>/m² (C-label).</w:t>
      </w:r>
    </w:p>
    <w:p w14:paraId="766A3F67" w14:textId="77777777" w:rsidR="00A958EF" w:rsidRPr="00755DE3" w:rsidRDefault="00A958EF" w:rsidP="00A958EF">
      <w:pPr>
        <w:pStyle w:val="SingleTxtG"/>
        <w:numPr>
          <w:ilvl w:val="0"/>
          <w:numId w:val="6"/>
        </w:numPr>
      </w:pPr>
      <w:r w:rsidRPr="00755DE3">
        <w:t xml:space="preserve">The project recovers about 30,000 tonnes of dry recyclable material, e.g. paper, plastics, etc., and about 35,000 tonnes of compost. </w:t>
      </w:r>
    </w:p>
    <w:p w14:paraId="650F53BE" w14:textId="77777777" w:rsidR="00A958EF" w:rsidRPr="00755DE3" w:rsidRDefault="00A958EF" w:rsidP="00A958EF">
      <w:pPr>
        <w:pStyle w:val="H4G"/>
        <w:rPr>
          <w:b/>
          <w:bCs/>
        </w:rPr>
      </w:pPr>
      <w:r w:rsidRPr="00755DE3">
        <w:rPr>
          <w:b/>
          <w:bCs/>
        </w:rPr>
        <w:tab/>
      </w:r>
      <w:r w:rsidRPr="00755DE3">
        <w:rPr>
          <w:b/>
          <w:bCs/>
        </w:rPr>
        <w:tab/>
        <w:t xml:space="preserve">Singapore </w:t>
      </w:r>
    </w:p>
    <w:p w14:paraId="180C8DA5" w14:textId="77777777" w:rsidR="00A958EF" w:rsidRPr="00755DE3" w:rsidRDefault="00A958EF" w:rsidP="00A958EF">
      <w:pPr>
        <w:pStyle w:val="SingleTxtG"/>
        <w:tabs>
          <w:tab w:val="left" w:pos="1504"/>
        </w:tabs>
      </w:pPr>
      <w:r w:rsidRPr="00755DE3">
        <w:rPr>
          <w:u w:val="single"/>
        </w:rPr>
        <w:t>Challenge</w:t>
      </w:r>
      <w:r w:rsidRPr="00755DE3">
        <w:t xml:space="preserve">: With just 700 km2 and a high population density Singapore needed to find an alternative to the land-intensive method of landfilling waste. </w:t>
      </w:r>
    </w:p>
    <w:p w14:paraId="34A2C2D1" w14:textId="77777777" w:rsidR="00A958EF" w:rsidRPr="00755DE3" w:rsidRDefault="00A958EF" w:rsidP="00A958EF">
      <w:pPr>
        <w:pStyle w:val="SingleTxtG"/>
        <w:tabs>
          <w:tab w:val="left" w:pos="1504"/>
        </w:tabs>
      </w:pPr>
      <w:r w:rsidRPr="00755DE3">
        <w:rPr>
          <w:u w:val="single"/>
        </w:rPr>
        <w:t>Description of the project</w:t>
      </w:r>
      <w:r w:rsidRPr="00755DE3">
        <w:t xml:space="preserve">: Singapore’s new Integrated Waste Management Facility (IWMF) will be the world’s largest energy recovery facility. IWMF will consist of a recycling facility with a capacity of 250 tonnes per day, and a WtE plant with a capacity of 2,900 tonnes per day. With 2x4 combustion lines, the IWMF will be able to treat more than 2.5 million tonnes of solid waste annually. In IWMF, it will also operate a food waste facility for treatment by anaerobic digestion, and a sludge incineration plant with two fluidised bed combustion systems. The total site area equals 68 acres of land. The capital investment for the construction of the IWMF is USD 1.5 billion. The facility is located next to a new water reclamation plant (Tuas WRP), combining the food-energy-water nexus in one site. </w:t>
      </w:r>
    </w:p>
    <w:p w14:paraId="63189787" w14:textId="77777777" w:rsidR="00A958EF" w:rsidRPr="00755DE3" w:rsidRDefault="00A958EF" w:rsidP="00A958EF">
      <w:pPr>
        <w:pStyle w:val="SingleTxtG"/>
        <w:tabs>
          <w:tab w:val="left" w:pos="1504"/>
        </w:tabs>
      </w:pPr>
      <w:r w:rsidRPr="00755DE3">
        <w:rPr>
          <w:u w:val="single"/>
        </w:rPr>
        <w:t>Partners</w:t>
      </w:r>
      <w:r w:rsidRPr="00755DE3">
        <w:t xml:space="preserve">: The project sponsors for the recycling facility and the WtE plant, comprise Keppel </w:t>
      </w:r>
      <w:proofErr w:type="spellStart"/>
      <w:r w:rsidRPr="00755DE3">
        <w:t>Seghers</w:t>
      </w:r>
      <w:proofErr w:type="spellEnd"/>
      <w:r w:rsidRPr="00755DE3">
        <w:t xml:space="preserve"> Engineering Singapore (the environmental engineering arm of Keppel Infrastructure), China Harbour (Singapore) Engineering and ST Engineering Marine, part of Singapore Technologies Engineering. The project sponsors will work closely with the National Environmental Agency (NEA), and Singapore’s National Water Agency (PUB) as well as their consultants – a multi-disciplinary consultancy team led by Black &amp; Veatch and AECOM, in association with Ramboll, for the design, construction and commissioning of this project.</w:t>
      </w:r>
    </w:p>
    <w:p w14:paraId="4179FA72" w14:textId="77777777" w:rsidR="00A958EF" w:rsidRPr="00755DE3" w:rsidRDefault="00A958EF" w:rsidP="00A958EF">
      <w:pPr>
        <w:pStyle w:val="SingleTxtG"/>
        <w:tabs>
          <w:tab w:val="left" w:pos="1504"/>
        </w:tabs>
      </w:pPr>
      <w:r w:rsidRPr="00755DE3">
        <w:t xml:space="preserve"> </w:t>
      </w:r>
      <w:r w:rsidRPr="00755DE3">
        <w:rPr>
          <w:u w:val="single"/>
        </w:rPr>
        <w:t>Contribution to the People-first outcome “Improve environmental sustainability and resilience”</w:t>
      </w:r>
      <w:r w:rsidRPr="00755DE3">
        <w:t>:</w:t>
      </w:r>
    </w:p>
    <w:p w14:paraId="7F89D089" w14:textId="77777777" w:rsidR="00A958EF" w:rsidRPr="00755DE3" w:rsidRDefault="00A958EF" w:rsidP="00A958EF">
      <w:pPr>
        <w:pStyle w:val="SingleTxtG"/>
        <w:numPr>
          <w:ilvl w:val="0"/>
          <w:numId w:val="6"/>
        </w:numPr>
      </w:pPr>
      <w:r w:rsidRPr="00755DE3">
        <w:lastRenderedPageBreak/>
        <w:t>The integrated facility aims to minimise land use while at the same time ensuring environmental protection and maximising energy output.</w:t>
      </w:r>
    </w:p>
    <w:p w14:paraId="651211E7" w14:textId="77777777" w:rsidR="00A958EF" w:rsidRPr="00755DE3" w:rsidRDefault="00A958EF" w:rsidP="00A958EF">
      <w:pPr>
        <w:pStyle w:val="SingleTxtG"/>
        <w:numPr>
          <w:ilvl w:val="0"/>
          <w:numId w:val="6"/>
        </w:numPr>
      </w:pPr>
      <w:r w:rsidRPr="00755DE3">
        <w:t>After the completion of IWMF, Singapore will achieve “zero waste” targets, with no need for landfilling of waste.</w:t>
      </w:r>
    </w:p>
    <w:p w14:paraId="0145A7C2" w14:textId="77777777" w:rsidR="00A958EF" w:rsidRPr="00755DE3" w:rsidRDefault="00A958EF" w:rsidP="00A958EF">
      <w:pPr>
        <w:pStyle w:val="SingleTxtG"/>
        <w:numPr>
          <w:ilvl w:val="0"/>
          <w:numId w:val="6"/>
        </w:numPr>
      </w:pPr>
      <w:r w:rsidRPr="00755DE3">
        <w:t>The IWMF along with the water treatment facility, provide a sustainable solution for the energy-water-food nexus.</w:t>
      </w:r>
    </w:p>
    <w:p w14:paraId="684172F9" w14:textId="77777777" w:rsidR="00A958EF" w:rsidRPr="00755DE3" w:rsidRDefault="00A958EF" w:rsidP="00A958EF">
      <w:pPr>
        <w:pStyle w:val="H4G"/>
        <w:rPr>
          <w:b/>
          <w:bCs/>
        </w:rPr>
      </w:pPr>
      <w:r w:rsidRPr="00755DE3">
        <w:rPr>
          <w:b/>
          <w:bCs/>
        </w:rPr>
        <w:tab/>
      </w:r>
      <w:r w:rsidRPr="00755DE3">
        <w:rPr>
          <w:b/>
          <w:bCs/>
        </w:rPr>
        <w:tab/>
        <w:t>Glasgow, Scotland</w:t>
      </w:r>
    </w:p>
    <w:p w14:paraId="31E4AED3" w14:textId="77777777" w:rsidR="00A958EF" w:rsidRPr="00755DE3" w:rsidRDefault="00A958EF" w:rsidP="00A958EF">
      <w:pPr>
        <w:pStyle w:val="SingleTxtG"/>
        <w:tabs>
          <w:tab w:val="left" w:pos="1504"/>
        </w:tabs>
      </w:pPr>
      <w:r w:rsidRPr="00755DE3">
        <w:rPr>
          <w:u w:val="single"/>
        </w:rPr>
        <w:t>Challenge</w:t>
      </w:r>
      <w:r w:rsidRPr="00755DE3">
        <w:t>: The city was sending 72% of their wastes to landfills. As landfill tax continues to rise alongside ambitious Scottish Government zero waste targets, the council has been planning for change, by focusing on waste reduction, re-use, enhanced recycling rates, and recovering renewable energy from residual waste</w:t>
      </w:r>
    </w:p>
    <w:p w14:paraId="2D1396F7" w14:textId="77777777" w:rsidR="00A958EF" w:rsidRPr="00755DE3" w:rsidRDefault="00A958EF" w:rsidP="00A958EF">
      <w:pPr>
        <w:pStyle w:val="SingleTxtG"/>
        <w:tabs>
          <w:tab w:val="left" w:pos="1504"/>
        </w:tabs>
      </w:pPr>
      <w:r w:rsidRPr="00755DE3">
        <w:rPr>
          <w:u w:val="single"/>
        </w:rPr>
        <w:t>Description of the project</w:t>
      </w:r>
      <w:r w:rsidRPr="00755DE3">
        <w:t xml:space="preserve">: The Glasgow Recycling and Renewable Energy Centre (GRREC) in Polmadie has a designed capacity of 200,000 tonnes of waste every year. GRREC produce materials that have a value in the market through the recycling facility, energy from the organic fraction through Anaerobic Digestion, and 97GWh of energy through the processing of the residual fraction in the WtE plant, which is enough power to supply 26,500 households with electricity, and 8,000 homes with heat. The project created 18 new apprenticeships and over 250 jobs. </w:t>
      </w:r>
    </w:p>
    <w:p w14:paraId="6393520D" w14:textId="77777777" w:rsidR="00A958EF" w:rsidRPr="00755DE3" w:rsidRDefault="00A958EF" w:rsidP="00A958EF">
      <w:pPr>
        <w:pStyle w:val="SingleTxtG"/>
        <w:tabs>
          <w:tab w:val="left" w:pos="1504"/>
        </w:tabs>
      </w:pPr>
      <w:r w:rsidRPr="00755DE3">
        <w:rPr>
          <w:u w:val="single"/>
        </w:rPr>
        <w:t>Partners</w:t>
      </w:r>
      <w:r w:rsidRPr="00755DE3">
        <w:t>: The project is a 25-year partnership between Glasgow City Council and Viridor. The capital investment was GBP254 million.</w:t>
      </w:r>
    </w:p>
    <w:p w14:paraId="25BFB223" w14:textId="77777777" w:rsidR="00A958EF" w:rsidRPr="00755DE3" w:rsidRDefault="00A958EF" w:rsidP="00A958EF">
      <w:pPr>
        <w:pStyle w:val="SingleTxtG"/>
        <w:tabs>
          <w:tab w:val="left" w:pos="1504"/>
        </w:tabs>
      </w:pPr>
      <w:r w:rsidRPr="00755DE3">
        <w:rPr>
          <w:u w:val="single"/>
        </w:rPr>
        <w:t>Contribution to the People-first outcome “Improve environmental sustainability and resilience”</w:t>
      </w:r>
      <w:r w:rsidRPr="00755DE3">
        <w:t>:</w:t>
      </w:r>
    </w:p>
    <w:p w14:paraId="4621B464" w14:textId="77777777" w:rsidR="00A958EF" w:rsidRPr="00755DE3" w:rsidRDefault="00A958EF" w:rsidP="00A958EF">
      <w:pPr>
        <w:pStyle w:val="SingleTxtG"/>
        <w:numPr>
          <w:ilvl w:val="0"/>
          <w:numId w:val="14"/>
        </w:numPr>
      </w:pPr>
      <w:r w:rsidRPr="00755DE3">
        <w:t>Delivering a saving to Glasgow of 90,000 tonnes of CO</w:t>
      </w:r>
      <w:r w:rsidRPr="00755DE3">
        <w:rPr>
          <w:vertAlign w:val="subscript"/>
        </w:rPr>
        <w:t>2</w:t>
      </w:r>
      <w:r w:rsidRPr="00755DE3">
        <w:t xml:space="preserve"> every year.</w:t>
      </w:r>
    </w:p>
    <w:p w14:paraId="16124BB4" w14:textId="77777777" w:rsidR="00A958EF" w:rsidRPr="00755DE3" w:rsidRDefault="00A958EF" w:rsidP="00A958EF">
      <w:pPr>
        <w:pStyle w:val="SingleTxtG"/>
        <w:numPr>
          <w:ilvl w:val="0"/>
          <w:numId w:val="14"/>
        </w:numPr>
      </w:pPr>
      <w:r w:rsidRPr="00755DE3">
        <w:t>Diverts 90% of green bin residual waste away from landfill.</w:t>
      </w:r>
    </w:p>
    <w:p w14:paraId="56EEF708" w14:textId="77777777" w:rsidR="00A958EF" w:rsidRPr="00755DE3" w:rsidRDefault="00A958EF" w:rsidP="00A958EF">
      <w:pPr>
        <w:pStyle w:val="SingleTxtG"/>
        <w:numPr>
          <w:ilvl w:val="0"/>
          <w:numId w:val="14"/>
        </w:numPr>
      </w:pPr>
      <w:r w:rsidRPr="00755DE3">
        <w:t>Regenerated the existing Glasgow City Council waste facility at Polmadie, on the South side of the city.</w:t>
      </w:r>
    </w:p>
    <w:p w14:paraId="2887C20D" w14:textId="77777777" w:rsidR="00A958EF" w:rsidRPr="00755DE3" w:rsidRDefault="00A958EF" w:rsidP="00A958EF">
      <w:pPr>
        <w:pStyle w:val="H4G"/>
        <w:rPr>
          <w:b/>
          <w:bCs/>
        </w:rPr>
      </w:pPr>
      <w:r w:rsidRPr="00755DE3">
        <w:rPr>
          <w:b/>
          <w:bCs/>
        </w:rPr>
        <w:tab/>
      </w:r>
      <w:r w:rsidRPr="00755DE3">
        <w:rPr>
          <w:b/>
          <w:bCs/>
        </w:rPr>
        <w:tab/>
        <w:t>Doel, Belgium</w:t>
      </w:r>
    </w:p>
    <w:p w14:paraId="7B2C45E2" w14:textId="77777777" w:rsidR="00A958EF" w:rsidRPr="00755DE3" w:rsidRDefault="00A958EF" w:rsidP="00A958EF">
      <w:pPr>
        <w:pStyle w:val="SingleTxtG"/>
        <w:tabs>
          <w:tab w:val="left" w:pos="1504"/>
        </w:tabs>
      </w:pPr>
      <w:r w:rsidRPr="00755DE3">
        <w:rPr>
          <w:u w:val="single"/>
        </w:rPr>
        <w:t>Challenge</w:t>
      </w:r>
      <w:r w:rsidRPr="00755DE3">
        <w:t>: The city was using gas-fired boilers to produce energy for the chemical companies operating in the region.</w:t>
      </w:r>
    </w:p>
    <w:p w14:paraId="6C81F525" w14:textId="77777777" w:rsidR="00A958EF" w:rsidRPr="00755DE3" w:rsidRDefault="00A958EF" w:rsidP="00A958EF">
      <w:pPr>
        <w:pStyle w:val="SingleTxtG"/>
        <w:tabs>
          <w:tab w:val="left" w:pos="1504"/>
        </w:tabs>
      </w:pPr>
      <w:r w:rsidRPr="00755DE3">
        <w:rPr>
          <w:u w:val="single"/>
        </w:rPr>
        <w:t>Description of the project</w:t>
      </w:r>
      <w:r w:rsidRPr="00755DE3">
        <w:t xml:space="preserve">: The project operates two WtE plants: </w:t>
      </w:r>
      <w:proofErr w:type="spellStart"/>
      <w:r w:rsidRPr="00755DE3">
        <w:t>Indaver’s</w:t>
      </w:r>
      <w:proofErr w:type="spellEnd"/>
      <w:r w:rsidRPr="00755DE3">
        <w:t xml:space="preserve"> three grate incinerators and SLECO’s three fluidised bed incinerators, with a total capacity of 1 million tonnes of non-hazardous household, industrial, and sludge waste per year, to produce 250 MW of heat. The energy is fed primarily into the ECLUSE-steam network to meet the demand of six industrial companies in </w:t>
      </w:r>
      <w:proofErr w:type="spellStart"/>
      <w:r w:rsidRPr="00755DE3">
        <w:t>Waasland</w:t>
      </w:r>
      <w:proofErr w:type="spellEnd"/>
      <w:r w:rsidRPr="00755DE3">
        <w:t xml:space="preserve"> Port. The remainder is converted into electricity. The process recovers recyclables from the bottom ash fraction: metals: ferrous and non-ferrous metals; aggregates: used in the construction industry, including for road sub-bases and other structures; sand fractions: used for construction or stability applications at landfill sites.</w:t>
      </w:r>
    </w:p>
    <w:p w14:paraId="50A68AFF" w14:textId="77777777" w:rsidR="00A958EF" w:rsidRPr="00755DE3" w:rsidRDefault="00A958EF" w:rsidP="00A958EF">
      <w:pPr>
        <w:pStyle w:val="SingleTxtG"/>
        <w:tabs>
          <w:tab w:val="left" w:pos="1504"/>
        </w:tabs>
      </w:pPr>
      <w:r w:rsidRPr="00755DE3">
        <w:rPr>
          <w:u w:val="single"/>
        </w:rPr>
        <w:t>Partners</w:t>
      </w:r>
      <w:r w:rsidRPr="00755DE3">
        <w:t xml:space="preserve">: SVEX (a joint venture of </w:t>
      </w:r>
      <w:proofErr w:type="spellStart"/>
      <w:r w:rsidRPr="00755DE3">
        <w:t>Indaver</w:t>
      </w:r>
      <w:proofErr w:type="spellEnd"/>
      <w:r w:rsidRPr="00755DE3">
        <w:t xml:space="preserve"> and SITA) were responsible for the construction and operation of the plants. The project received EUR 10 million in financial support from the Flemish Government.</w:t>
      </w:r>
    </w:p>
    <w:p w14:paraId="202F2A89" w14:textId="77777777" w:rsidR="00A958EF" w:rsidRPr="00755DE3" w:rsidRDefault="00A958EF" w:rsidP="00A958EF">
      <w:pPr>
        <w:pStyle w:val="SingleTxtG"/>
        <w:tabs>
          <w:tab w:val="left" w:pos="1504"/>
        </w:tabs>
      </w:pPr>
      <w:r w:rsidRPr="00755DE3">
        <w:rPr>
          <w:u w:val="single"/>
        </w:rPr>
        <w:t>Contribution to the People-first outcome “Improve environmental sustainability and resilience”</w:t>
      </w:r>
      <w:r w:rsidRPr="00755DE3">
        <w:t>:</w:t>
      </w:r>
    </w:p>
    <w:p w14:paraId="4C7F91B3" w14:textId="77777777" w:rsidR="00A958EF" w:rsidRPr="00755DE3" w:rsidRDefault="00A958EF" w:rsidP="00A958EF">
      <w:pPr>
        <w:pStyle w:val="SingleTxtG"/>
        <w:numPr>
          <w:ilvl w:val="0"/>
          <w:numId w:val="15"/>
        </w:numPr>
      </w:pPr>
      <w:r w:rsidRPr="00755DE3">
        <w:t>Decommissioning the current individual gas-fired boilers lead to a yearly saving of 200,000 tonnes of CO</w:t>
      </w:r>
      <w:r w:rsidRPr="00755DE3">
        <w:rPr>
          <w:vertAlign w:val="subscript"/>
        </w:rPr>
        <w:t xml:space="preserve">2 </w:t>
      </w:r>
      <w:r w:rsidRPr="00755DE3">
        <w:t>emissions, equivalent to the savings brought by 100 wind turbines.</w:t>
      </w:r>
    </w:p>
    <w:p w14:paraId="55056840" w14:textId="77777777" w:rsidR="00A958EF" w:rsidRPr="00755DE3" w:rsidRDefault="00A958EF" w:rsidP="00A958EF">
      <w:pPr>
        <w:pStyle w:val="SingleTxtG"/>
        <w:numPr>
          <w:ilvl w:val="0"/>
          <w:numId w:val="15"/>
        </w:numPr>
      </w:pPr>
      <w:r w:rsidRPr="00755DE3">
        <w:t>The process recovers metals and minerals, and thus contributing to recycling.</w:t>
      </w:r>
    </w:p>
    <w:p w14:paraId="4B7D527D" w14:textId="77777777" w:rsidR="00A958EF" w:rsidRPr="00755DE3" w:rsidRDefault="00A958EF" w:rsidP="00A958EF">
      <w:pPr>
        <w:pStyle w:val="H4G"/>
        <w:rPr>
          <w:b/>
          <w:bCs/>
        </w:rPr>
      </w:pPr>
      <w:r w:rsidRPr="00755DE3">
        <w:rPr>
          <w:b/>
          <w:bCs/>
        </w:rPr>
        <w:lastRenderedPageBreak/>
        <w:tab/>
      </w:r>
      <w:r w:rsidRPr="00755DE3">
        <w:rPr>
          <w:b/>
          <w:bCs/>
        </w:rPr>
        <w:tab/>
        <w:t>Surrey, British Columbia, Canada</w:t>
      </w:r>
    </w:p>
    <w:p w14:paraId="21D26D30" w14:textId="77777777" w:rsidR="00A958EF" w:rsidRPr="00755DE3" w:rsidRDefault="00A958EF" w:rsidP="00A958EF">
      <w:pPr>
        <w:pStyle w:val="SingleTxtG"/>
        <w:tabs>
          <w:tab w:val="left" w:pos="1504"/>
        </w:tabs>
      </w:pPr>
      <w:r w:rsidRPr="00755DE3">
        <w:rPr>
          <w:u w:val="single"/>
        </w:rPr>
        <w:t>Challenge</w:t>
      </w:r>
      <w:r w:rsidRPr="00755DE3">
        <w:t xml:space="preserve">: The city was sending all the organics to a landfill. </w:t>
      </w:r>
    </w:p>
    <w:p w14:paraId="20B393DF" w14:textId="77777777" w:rsidR="00A958EF" w:rsidRPr="00755DE3" w:rsidRDefault="00A958EF" w:rsidP="00A958EF">
      <w:pPr>
        <w:pStyle w:val="SingleTxtG"/>
        <w:tabs>
          <w:tab w:val="left" w:pos="1504"/>
        </w:tabs>
      </w:pPr>
      <w:r w:rsidRPr="00755DE3">
        <w:rPr>
          <w:u w:val="single"/>
        </w:rPr>
        <w:t>Description of the project</w:t>
      </w:r>
      <w:r w:rsidRPr="00755DE3">
        <w:t xml:space="preserve">: The Surrey Biofuel Processing Facility is in Port </w:t>
      </w:r>
      <w:proofErr w:type="spellStart"/>
      <w:r w:rsidRPr="00755DE3">
        <w:t>Kells</w:t>
      </w:r>
      <w:proofErr w:type="spellEnd"/>
      <w:r w:rsidRPr="00755DE3">
        <w:t xml:space="preserve"> industrial area, and it is designed to receive and process all the organic waste of the city, or 115,000 tonnes of organic waste annually. The process converts source separated organic wastes, into 120,000 gigajoules of renewable natural gas and 45,000 metric tonnes of compost, which is produced “in vessel”. The natural gas is used to fuel the City’s waste collection trucks. The plant occupies 14,323 square metre of area. The biofuel facility creates more than 15 new, full-time, and long-term jobs.</w:t>
      </w:r>
    </w:p>
    <w:p w14:paraId="243C85CA" w14:textId="77777777" w:rsidR="00A958EF" w:rsidRPr="00755DE3" w:rsidRDefault="00A958EF" w:rsidP="00A958EF">
      <w:pPr>
        <w:pStyle w:val="SingleTxtG"/>
        <w:tabs>
          <w:tab w:val="left" w:pos="1504"/>
        </w:tabs>
      </w:pPr>
      <w:r w:rsidRPr="00755DE3">
        <w:rPr>
          <w:u w:val="single"/>
        </w:rPr>
        <w:t>Partners</w:t>
      </w:r>
      <w:r w:rsidRPr="00755DE3">
        <w:t xml:space="preserve">: The project is a PPP with </w:t>
      </w:r>
      <w:proofErr w:type="spellStart"/>
      <w:r w:rsidRPr="00755DE3">
        <w:t>Orgaworld</w:t>
      </w:r>
      <w:proofErr w:type="spellEnd"/>
      <w:r w:rsidRPr="00755DE3">
        <w:t xml:space="preserve"> Canada (a leading organics waste treatment company), Smith Bros &amp; Wilson Ltd. (construction), and the City of Surrey over the 25-year contract term. The capital investment was USD 68 million. Twenty-five percent of the cost of the facility was funded by the Government of Canada and the remaining 75 percent was funded by </w:t>
      </w:r>
      <w:proofErr w:type="spellStart"/>
      <w:r w:rsidRPr="00755DE3">
        <w:t>Renewi</w:t>
      </w:r>
      <w:proofErr w:type="spellEnd"/>
      <w:r w:rsidRPr="00755DE3">
        <w:t xml:space="preserve"> plc., which is also responsible for the operation and maintenance of the facility. </w:t>
      </w:r>
    </w:p>
    <w:p w14:paraId="40E55D91" w14:textId="77777777" w:rsidR="00A958EF" w:rsidRPr="00755DE3" w:rsidRDefault="00A958EF" w:rsidP="00A958EF">
      <w:pPr>
        <w:pStyle w:val="SingleTxtG"/>
        <w:tabs>
          <w:tab w:val="left" w:pos="1504"/>
        </w:tabs>
      </w:pPr>
      <w:r w:rsidRPr="00755DE3">
        <w:rPr>
          <w:u w:val="single"/>
        </w:rPr>
        <w:t>Contribution to the People-first outcome “Replicability”</w:t>
      </w:r>
      <w:r w:rsidRPr="00755DE3">
        <w:t>:</w:t>
      </w:r>
    </w:p>
    <w:p w14:paraId="722B60F3" w14:textId="4380613D" w:rsidR="00A958EF" w:rsidRPr="00755DE3" w:rsidRDefault="00A958EF" w:rsidP="00A958EF">
      <w:pPr>
        <w:pStyle w:val="SingleTxtG"/>
        <w:numPr>
          <w:ilvl w:val="0"/>
          <w:numId w:val="16"/>
        </w:numPr>
        <w:tabs>
          <w:tab w:val="left" w:pos="1504"/>
        </w:tabs>
      </w:pPr>
      <w:r w:rsidRPr="00755DE3">
        <w:t>It is estimated that this diversion of waste from the landfill will amount to approximately 25,000 tonnes of CO</w:t>
      </w:r>
      <w:r w:rsidRPr="00755DE3">
        <w:rPr>
          <w:vertAlign w:val="subscript"/>
        </w:rPr>
        <w:t xml:space="preserve">2 </w:t>
      </w:r>
      <w:r w:rsidRPr="00755DE3">
        <w:t>reduction per year.</w:t>
      </w:r>
    </w:p>
    <w:p w14:paraId="754EE75C" w14:textId="7A793C94" w:rsidR="005808C6" w:rsidRPr="00755DE3" w:rsidRDefault="00747F1F" w:rsidP="001E49E6">
      <w:pPr>
        <w:pStyle w:val="H23G"/>
        <w:numPr>
          <w:ilvl w:val="2"/>
          <w:numId w:val="20"/>
        </w:numPr>
        <w:ind w:left="1701" w:hanging="567"/>
        <w:outlineLvl w:val="9"/>
      </w:pPr>
      <w:r w:rsidRPr="00755DE3">
        <w:t>People-first outcome “</w:t>
      </w:r>
      <w:r w:rsidR="00481975">
        <w:t>Encourage the r</w:t>
      </w:r>
      <w:r w:rsidR="002903DA" w:rsidRPr="00755DE3">
        <w:t>eplicability</w:t>
      </w:r>
      <w:r w:rsidR="00481975">
        <w:t xml:space="preserve"> of projects</w:t>
      </w:r>
      <w:r w:rsidRPr="00755DE3">
        <w:t>”</w:t>
      </w:r>
    </w:p>
    <w:p w14:paraId="7747269D" w14:textId="57F2BECD" w:rsidR="000E4E71" w:rsidRPr="00755DE3" w:rsidRDefault="008F5446" w:rsidP="008F5446">
      <w:pPr>
        <w:pStyle w:val="H4G"/>
        <w:rPr>
          <w:b/>
          <w:bCs/>
        </w:rPr>
      </w:pPr>
      <w:r w:rsidRPr="00755DE3">
        <w:rPr>
          <w:b/>
          <w:bCs/>
        </w:rPr>
        <w:tab/>
      </w:r>
      <w:r w:rsidRPr="00755DE3">
        <w:rPr>
          <w:b/>
          <w:bCs/>
        </w:rPr>
        <w:tab/>
      </w:r>
      <w:proofErr w:type="spellStart"/>
      <w:r w:rsidR="000E4E71" w:rsidRPr="00755DE3">
        <w:rPr>
          <w:b/>
          <w:bCs/>
        </w:rPr>
        <w:t>Cần</w:t>
      </w:r>
      <w:proofErr w:type="spellEnd"/>
      <w:r w:rsidR="000E4E71" w:rsidRPr="00755DE3">
        <w:rPr>
          <w:b/>
          <w:bCs/>
        </w:rPr>
        <w:t xml:space="preserve"> </w:t>
      </w:r>
      <w:proofErr w:type="spellStart"/>
      <w:r w:rsidR="000E4E71" w:rsidRPr="00755DE3">
        <w:rPr>
          <w:b/>
          <w:bCs/>
        </w:rPr>
        <w:t>Thơ</w:t>
      </w:r>
      <w:proofErr w:type="spellEnd"/>
      <w:r w:rsidR="000E4E71" w:rsidRPr="00755DE3">
        <w:rPr>
          <w:b/>
          <w:bCs/>
        </w:rPr>
        <w:t>, Mekong Delta</w:t>
      </w:r>
      <w:r w:rsidR="00AB4954" w:rsidRPr="00755DE3">
        <w:rPr>
          <w:b/>
          <w:bCs/>
        </w:rPr>
        <w:t>,</w:t>
      </w:r>
      <w:r w:rsidR="000E4E71" w:rsidRPr="00755DE3">
        <w:rPr>
          <w:b/>
          <w:bCs/>
        </w:rPr>
        <w:t xml:space="preserve"> Vietnam </w:t>
      </w:r>
    </w:p>
    <w:p w14:paraId="7FA13CBB" w14:textId="77777777" w:rsidR="000E4E71" w:rsidRPr="00755DE3" w:rsidRDefault="000E4E71" w:rsidP="000E4E71">
      <w:pPr>
        <w:pStyle w:val="SingleTxtG"/>
        <w:tabs>
          <w:tab w:val="left" w:pos="1504"/>
        </w:tabs>
      </w:pPr>
      <w:r w:rsidRPr="00755DE3">
        <w:rPr>
          <w:u w:val="single"/>
        </w:rPr>
        <w:t>Challenge</w:t>
      </w:r>
      <w:r w:rsidRPr="00755DE3">
        <w:t xml:space="preserve">: Can </w:t>
      </w:r>
      <w:proofErr w:type="spellStart"/>
      <w:r w:rsidRPr="00755DE3">
        <w:t>Tho</w:t>
      </w:r>
      <w:proofErr w:type="spellEnd"/>
      <w:r w:rsidRPr="00755DE3">
        <w:t xml:space="preserve"> is the largest city in the Mekong Delta with a population of around 1.2 million. It is also an important tourist destination and one of the most economically advanced cities in the country. Currently, household waste in the city is primarily incinerated without energy recovery or is disposed of in landfills.</w:t>
      </w:r>
    </w:p>
    <w:p w14:paraId="67A3E11F" w14:textId="3FFFE6DB" w:rsidR="000E4E71" w:rsidRPr="00755DE3" w:rsidRDefault="000E4E71" w:rsidP="000E4E71">
      <w:pPr>
        <w:pStyle w:val="SingleTxtG"/>
        <w:tabs>
          <w:tab w:val="left" w:pos="1504"/>
        </w:tabs>
      </w:pPr>
      <w:r w:rsidRPr="00755DE3">
        <w:rPr>
          <w:u w:val="single"/>
        </w:rPr>
        <w:t xml:space="preserve">Description of </w:t>
      </w:r>
      <w:r w:rsidR="00D010BE" w:rsidRPr="00755DE3">
        <w:rPr>
          <w:u w:val="single"/>
        </w:rPr>
        <w:t xml:space="preserve">the </w:t>
      </w:r>
      <w:r w:rsidRPr="00755DE3">
        <w:rPr>
          <w:u w:val="single"/>
        </w:rPr>
        <w:t>project</w:t>
      </w:r>
      <w:r w:rsidRPr="00755DE3">
        <w:t xml:space="preserve">: The project is designed to have a daily household waste processing capacity of 400 </w:t>
      </w:r>
      <w:r w:rsidR="00CB62CD" w:rsidRPr="00755DE3">
        <w:t>tonnes</w:t>
      </w:r>
      <w:r w:rsidRPr="00755DE3">
        <w:t xml:space="preserve"> and will be equipped with a 7.5MW generator able to produce around 60,000 GWh of electricity annually. It will be built on an area of 53ha in </w:t>
      </w:r>
      <w:proofErr w:type="spellStart"/>
      <w:r w:rsidRPr="00755DE3">
        <w:t>Trường</w:t>
      </w:r>
      <w:proofErr w:type="spellEnd"/>
      <w:r w:rsidRPr="00755DE3">
        <w:t xml:space="preserve"> </w:t>
      </w:r>
      <w:proofErr w:type="spellStart"/>
      <w:r w:rsidRPr="00755DE3">
        <w:t>Xuân</w:t>
      </w:r>
      <w:proofErr w:type="spellEnd"/>
      <w:r w:rsidRPr="00755DE3">
        <w:t xml:space="preserve"> Commune, </w:t>
      </w:r>
      <w:proofErr w:type="spellStart"/>
      <w:r w:rsidRPr="00755DE3">
        <w:t>Thới</w:t>
      </w:r>
      <w:proofErr w:type="spellEnd"/>
      <w:r w:rsidRPr="00755DE3">
        <w:t xml:space="preserve"> Lai District. The project setup the emission control target to comply with the EU standards. The capital investment is </w:t>
      </w:r>
      <w:r w:rsidR="004F712D" w:rsidRPr="00755DE3">
        <w:t xml:space="preserve">USD </w:t>
      </w:r>
      <w:r w:rsidRPr="00755DE3">
        <w:t>47 million.</w:t>
      </w:r>
    </w:p>
    <w:p w14:paraId="15004099" w14:textId="57482325" w:rsidR="000E4E71" w:rsidRPr="00755DE3" w:rsidRDefault="000E4E71" w:rsidP="000E4E71">
      <w:pPr>
        <w:pStyle w:val="SingleTxtG"/>
        <w:tabs>
          <w:tab w:val="left" w:pos="1504"/>
        </w:tabs>
      </w:pPr>
      <w:r w:rsidRPr="00755DE3">
        <w:rPr>
          <w:u w:val="single"/>
        </w:rPr>
        <w:t>Partners</w:t>
      </w:r>
      <w:r w:rsidRPr="00755DE3">
        <w:t xml:space="preserve">: The project is a PPP with a BOT structure for 22 years. The constructor and operator </w:t>
      </w:r>
      <w:proofErr w:type="gramStart"/>
      <w:r w:rsidRPr="00755DE3">
        <w:t>is</w:t>
      </w:r>
      <w:proofErr w:type="gramEnd"/>
      <w:r w:rsidRPr="00755DE3">
        <w:t xml:space="preserve"> Everbright </w:t>
      </w:r>
      <w:r w:rsidR="001A55BA" w:rsidRPr="00755DE3">
        <w:t>Environment</w:t>
      </w:r>
      <w:r w:rsidRPr="00755DE3">
        <w:t xml:space="preserve">, which has secured a </w:t>
      </w:r>
      <w:r w:rsidR="004F712D" w:rsidRPr="00755DE3">
        <w:t xml:space="preserve">USD </w:t>
      </w:r>
      <w:r w:rsidRPr="00755DE3">
        <w:t xml:space="preserve">100 million loan from the Asian Development Bank to develop a series of </w:t>
      </w:r>
      <w:r w:rsidR="00E84254" w:rsidRPr="00755DE3">
        <w:t>WtE</w:t>
      </w:r>
      <w:r w:rsidRPr="00755DE3">
        <w:t xml:space="preserve"> plants in the Mekong Delta, Vietnam.</w:t>
      </w:r>
    </w:p>
    <w:p w14:paraId="45BAFB5C" w14:textId="3B19CCDD" w:rsidR="000E4E71" w:rsidRPr="00755DE3" w:rsidRDefault="000E4E71" w:rsidP="000E4E71">
      <w:pPr>
        <w:pStyle w:val="SingleTxtG"/>
        <w:tabs>
          <w:tab w:val="left" w:pos="1504"/>
        </w:tabs>
      </w:pPr>
      <w:r w:rsidRPr="00755DE3">
        <w:rPr>
          <w:u w:val="single"/>
        </w:rPr>
        <w:t xml:space="preserve">Contribution to </w:t>
      </w:r>
      <w:r w:rsidR="00D010BE" w:rsidRPr="00755DE3">
        <w:rPr>
          <w:u w:val="single"/>
        </w:rPr>
        <w:t xml:space="preserve">the </w:t>
      </w:r>
      <w:r w:rsidR="00C128F6" w:rsidRPr="00755DE3">
        <w:rPr>
          <w:u w:val="single"/>
        </w:rPr>
        <w:t>People-first</w:t>
      </w:r>
      <w:r w:rsidRPr="00755DE3">
        <w:rPr>
          <w:u w:val="single"/>
        </w:rPr>
        <w:t xml:space="preserve"> outcome</w:t>
      </w:r>
      <w:r w:rsidR="00486628" w:rsidRPr="00755DE3">
        <w:rPr>
          <w:u w:val="single"/>
        </w:rPr>
        <w:t xml:space="preserve"> “Replicability”</w:t>
      </w:r>
      <w:r w:rsidRPr="00755DE3">
        <w:t>:</w:t>
      </w:r>
    </w:p>
    <w:p w14:paraId="3149C0BB" w14:textId="12D7F17E" w:rsidR="000E4E71" w:rsidRPr="00755DE3" w:rsidRDefault="00815E16" w:rsidP="008F5446">
      <w:pPr>
        <w:pStyle w:val="SingleTxtG"/>
        <w:numPr>
          <w:ilvl w:val="0"/>
          <w:numId w:val="6"/>
        </w:numPr>
      </w:pPr>
      <w:r w:rsidRPr="00755DE3">
        <w:t>Everbright Environment</w:t>
      </w:r>
      <w:r w:rsidR="000E4E71" w:rsidRPr="00755DE3">
        <w:t xml:space="preserve"> organi</w:t>
      </w:r>
      <w:r w:rsidR="00B4647F" w:rsidRPr="00755DE3">
        <w:t>s</w:t>
      </w:r>
      <w:r w:rsidR="000E4E71" w:rsidRPr="00755DE3">
        <w:t xml:space="preserve">ed training programme to more than 20 local staff become professional operators, opening 1 day per month to the public for visiting and learning the project. </w:t>
      </w:r>
    </w:p>
    <w:p w14:paraId="75738445" w14:textId="305CDDF0" w:rsidR="000E4E71" w:rsidRPr="00755DE3" w:rsidRDefault="000E4E71" w:rsidP="008F5446">
      <w:pPr>
        <w:pStyle w:val="SingleTxtG"/>
        <w:numPr>
          <w:ilvl w:val="0"/>
          <w:numId w:val="6"/>
        </w:numPr>
      </w:pPr>
      <w:r w:rsidRPr="00755DE3">
        <w:t>The well-organi</w:t>
      </w:r>
      <w:r w:rsidR="00B4647F" w:rsidRPr="00755DE3">
        <w:t>s</w:t>
      </w:r>
      <w:r w:rsidRPr="00755DE3">
        <w:t xml:space="preserve">ed clean environment and transparency approaches has helped </w:t>
      </w:r>
      <w:r w:rsidR="00815E16" w:rsidRPr="00755DE3">
        <w:t>Everbright Environment</w:t>
      </w:r>
      <w:r w:rsidRPr="00755DE3">
        <w:t xml:space="preserve"> built trust with the local authorities and citizens, win the satisfaction from the public will leads more projects and more jobs will be created for the local communities in the future. </w:t>
      </w:r>
    </w:p>
    <w:p w14:paraId="3CE17A1C" w14:textId="0534B0FB" w:rsidR="007C186E" w:rsidRPr="00755DE3" w:rsidRDefault="008F5446" w:rsidP="008F5446">
      <w:pPr>
        <w:pStyle w:val="H4G"/>
        <w:rPr>
          <w:b/>
          <w:bCs/>
        </w:rPr>
      </w:pPr>
      <w:r w:rsidRPr="00755DE3">
        <w:rPr>
          <w:b/>
          <w:bCs/>
        </w:rPr>
        <w:tab/>
      </w:r>
      <w:r w:rsidRPr="00755DE3">
        <w:rPr>
          <w:b/>
          <w:bCs/>
        </w:rPr>
        <w:tab/>
      </w:r>
      <w:r w:rsidR="007C186E" w:rsidRPr="00755DE3">
        <w:rPr>
          <w:b/>
          <w:bCs/>
        </w:rPr>
        <w:t>Tees valley, United Kingdom</w:t>
      </w:r>
    </w:p>
    <w:p w14:paraId="311657DE" w14:textId="4B47BE02" w:rsidR="007C186E" w:rsidRPr="00755DE3" w:rsidRDefault="007C186E" w:rsidP="007C186E">
      <w:pPr>
        <w:pStyle w:val="SingleTxtG"/>
        <w:tabs>
          <w:tab w:val="left" w:pos="1504"/>
        </w:tabs>
      </w:pPr>
      <w:r w:rsidRPr="00755DE3">
        <w:rPr>
          <w:u w:val="single"/>
        </w:rPr>
        <w:t>Challenge</w:t>
      </w:r>
      <w:r w:rsidRPr="00755DE3">
        <w:t xml:space="preserve">: The </w:t>
      </w:r>
      <w:r w:rsidR="00906445" w:rsidRPr="00755DE3">
        <w:t xml:space="preserve">project sponsors </w:t>
      </w:r>
      <w:r w:rsidRPr="00755DE3">
        <w:t xml:space="preserve">wanted to build the first plasma gasification plant in the world, and thus advance WtE technology and the industry. </w:t>
      </w:r>
    </w:p>
    <w:p w14:paraId="4135B55E" w14:textId="55B0CFD9" w:rsidR="007C186E" w:rsidRPr="00755DE3" w:rsidRDefault="007C186E" w:rsidP="007C186E">
      <w:pPr>
        <w:pStyle w:val="SingleTxtG"/>
        <w:tabs>
          <w:tab w:val="left" w:pos="1504"/>
        </w:tabs>
      </w:pPr>
      <w:r w:rsidRPr="00755DE3">
        <w:rPr>
          <w:u w:val="single"/>
        </w:rPr>
        <w:t>Description of the project</w:t>
      </w:r>
      <w:r w:rsidRPr="00755DE3">
        <w:t xml:space="preserve">: Located at the New Energy and Technology Business Park, Teesside, North East England. The plant had a designed capacity of 300,000 </w:t>
      </w:r>
      <w:r w:rsidR="00CB62CD" w:rsidRPr="00755DE3">
        <w:t>tonnes</w:t>
      </w:r>
      <w:r w:rsidRPr="00755DE3">
        <w:t xml:space="preserve"> of waste. Production of 49MW of electricity (approximately 50,000 homes). Westinghouse plasma to vitrify the residues. Create 700 and 50 jobs during construction and operation, accordingly. </w:t>
      </w:r>
    </w:p>
    <w:p w14:paraId="447BA932" w14:textId="77777777" w:rsidR="007C186E" w:rsidRPr="00755DE3" w:rsidRDefault="007C186E" w:rsidP="007C186E">
      <w:pPr>
        <w:pStyle w:val="SingleTxtG"/>
        <w:tabs>
          <w:tab w:val="left" w:pos="1504"/>
        </w:tabs>
      </w:pPr>
      <w:r w:rsidRPr="00755DE3">
        <w:rPr>
          <w:u w:val="single"/>
        </w:rPr>
        <w:t>Partners</w:t>
      </w:r>
      <w:r w:rsidRPr="00755DE3">
        <w:t xml:space="preserve">: Air Products, Westinghouse, and the Stockton Borough Council. Stockton Borough Council approved the plan in 2011, to start operating in 2014. The environmental permitting </w:t>
      </w:r>
      <w:r w:rsidRPr="00755DE3">
        <w:lastRenderedPageBreak/>
        <w:t>was consented from the Environment Agency. The project had a significant support from all the stakeholders, including NGOs, MPs, etc.</w:t>
      </w:r>
    </w:p>
    <w:p w14:paraId="5716B908" w14:textId="77777777" w:rsidR="007C186E" w:rsidRPr="00755DE3" w:rsidRDefault="007C186E" w:rsidP="007C186E">
      <w:pPr>
        <w:pStyle w:val="SingleTxtG"/>
        <w:tabs>
          <w:tab w:val="left" w:pos="1504"/>
        </w:tabs>
      </w:pPr>
      <w:r w:rsidRPr="00755DE3">
        <w:rPr>
          <w:u w:val="single"/>
        </w:rPr>
        <w:t>Negative contribution to the People-first outcome “Replicability”</w:t>
      </w:r>
      <w:r w:rsidRPr="00755DE3">
        <w:t>:</w:t>
      </w:r>
    </w:p>
    <w:p w14:paraId="1DC547E4" w14:textId="77777777" w:rsidR="007C186E" w:rsidRPr="00755DE3" w:rsidRDefault="007C186E" w:rsidP="008F5446">
      <w:pPr>
        <w:pStyle w:val="SingleTxtG"/>
        <w:numPr>
          <w:ilvl w:val="0"/>
          <w:numId w:val="6"/>
        </w:numPr>
      </w:pPr>
      <w:r w:rsidRPr="00755DE3">
        <w:t xml:space="preserve">Due to technical difficulties the project did not finish and resulted in the loss of about 700 jobs. </w:t>
      </w:r>
    </w:p>
    <w:p w14:paraId="5FEA5C3D" w14:textId="1BB6D726" w:rsidR="007C186E" w:rsidRPr="00755DE3" w:rsidRDefault="007C186E" w:rsidP="008F5446">
      <w:pPr>
        <w:pStyle w:val="SingleTxtG"/>
        <w:numPr>
          <w:ilvl w:val="0"/>
          <w:numId w:val="6"/>
        </w:numPr>
      </w:pPr>
      <w:r w:rsidRPr="00755DE3">
        <w:t xml:space="preserve">The estimated losses were between </w:t>
      </w:r>
      <w:r w:rsidR="004F712D" w:rsidRPr="00755DE3">
        <w:t>USD</w:t>
      </w:r>
      <w:r w:rsidR="00502A7B" w:rsidRPr="00755DE3">
        <w:t xml:space="preserve"> </w:t>
      </w:r>
      <w:r w:rsidRPr="00755DE3">
        <w:t>900</w:t>
      </w:r>
      <w:r w:rsidR="00502A7B" w:rsidRPr="00755DE3">
        <w:t xml:space="preserve"> million to </w:t>
      </w:r>
      <w:r w:rsidR="004F712D" w:rsidRPr="00755DE3">
        <w:t>USD</w:t>
      </w:r>
      <w:r w:rsidR="00502A7B" w:rsidRPr="00755DE3">
        <w:t xml:space="preserve"> </w:t>
      </w:r>
      <w:r w:rsidRPr="00755DE3">
        <w:t>1</w:t>
      </w:r>
      <w:r w:rsidR="00502A7B" w:rsidRPr="00755DE3">
        <w:t xml:space="preserve"> billion</w:t>
      </w:r>
      <w:r w:rsidRPr="00755DE3">
        <w:t xml:space="preserve"> of its assets, and the company discontinued its WtE business segment.</w:t>
      </w:r>
    </w:p>
    <w:p w14:paraId="7CB599E7" w14:textId="18160463" w:rsidR="00B87AA4" w:rsidRPr="00755DE3" w:rsidRDefault="00502A7B" w:rsidP="001E49E6">
      <w:pPr>
        <w:pStyle w:val="H23G"/>
        <w:numPr>
          <w:ilvl w:val="2"/>
          <w:numId w:val="20"/>
        </w:numPr>
        <w:ind w:left="1701" w:hanging="567"/>
        <w:outlineLvl w:val="9"/>
      </w:pPr>
      <w:r w:rsidRPr="00755DE3">
        <w:t>People-first outcome “</w:t>
      </w:r>
      <w:r w:rsidR="00481975">
        <w:t>Ensure s</w:t>
      </w:r>
      <w:r w:rsidR="00B87AA4" w:rsidRPr="00755DE3">
        <w:t>takeholder</w:t>
      </w:r>
      <w:r w:rsidR="00486628" w:rsidRPr="00755DE3">
        <w:t xml:space="preserve"> engagement</w:t>
      </w:r>
      <w:r w:rsidR="00481975">
        <w:t xml:space="preserve"> in projects</w:t>
      </w:r>
      <w:r w:rsidRPr="00755DE3">
        <w:t>”</w:t>
      </w:r>
    </w:p>
    <w:p w14:paraId="4048D844" w14:textId="06A37822" w:rsidR="00ED747A" w:rsidRPr="00755DE3" w:rsidRDefault="008F5446" w:rsidP="008F5446">
      <w:pPr>
        <w:pStyle w:val="H4G"/>
        <w:rPr>
          <w:b/>
          <w:bCs/>
        </w:rPr>
      </w:pPr>
      <w:r w:rsidRPr="00755DE3">
        <w:rPr>
          <w:b/>
          <w:bCs/>
        </w:rPr>
        <w:tab/>
      </w:r>
      <w:r w:rsidRPr="00755DE3">
        <w:rPr>
          <w:b/>
          <w:bCs/>
        </w:rPr>
        <w:tab/>
      </w:r>
      <w:proofErr w:type="spellStart"/>
      <w:r w:rsidR="00ED747A" w:rsidRPr="00755DE3">
        <w:rPr>
          <w:b/>
          <w:bCs/>
        </w:rPr>
        <w:t>Araucania</w:t>
      </w:r>
      <w:proofErr w:type="spellEnd"/>
      <w:r w:rsidR="00ED747A" w:rsidRPr="00755DE3">
        <w:rPr>
          <w:b/>
          <w:bCs/>
        </w:rPr>
        <w:t>, Chile</w:t>
      </w:r>
    </w:p>
    <w:p w14:paraId="579F8391" w14:textId="164C6E2D" w:rsidR="00B26171" w:rsidRPr="00755DE3" w:rsidRDefault="00B26171" w:rsidP="00B26171">
      <w:pPr>
        <w:pStyle w:val="SingleTxtG"/>
        <w:tabs>
          <w:tab w:val="left" w:pos="1504"/>
        </w:tabs>
      </w:pPr>
      <w:r w:rsidRPr="00755DE3">
        <w:rPr>
          <w:u w:val="single"/>
        </w:rPr>
        <w:t>Challenge</w:t>
      </w:r>
      <w:r w:rsidRPr="00755DE3">
        <w:t xml:space="preserve">: </w:t>
      </w:r>
      <w:r w:rsidR="006828C0" w:rsidRPr="00755DE3">
        <w:t xml:space="preserve">15 out of the 32 communes in </w:t>
      </w:r>
      <w:proofErr w:type="spellStart"/>
      <w:r w:rsidR="006828C0" w:rsidRPr="00755DE3">
        <w:t>Araucania</w:t>
      </w:r>
      <w:proofErr w:type="spellEnd"/>
      <w:r w:rsidR="006828C0" w:rsidRPr="00755DE3">
        <w:t xml:space="preserve"> do not have disposal sites and of the existing 18 landfills, 15 are non-sanitary, 2 are controlled and 1 is sanitary landfill. The sites currently operating for most of the waste disposal are close to collapse.</w:t>
      </w:r>
      <w:r w:rsidR="00E35187" w:rsidRPr="00755DE3">
        <w:t xml:space="preserve"> A significant challenge was reported in a non-sanitary landfill in </w:t>
      </w:r>
      <w:proofErr w:type="spellStart"/>
      <w:r w:rsidR="00E35187" w:rsidRPr="00755DE3">
        <w:t>Boyeco</w:t>
      </w:r>
      <w:proofErr w:type="spellEnd"/>
      <w:r w:rsidR="00E35187" w:rsidRPr="00755DE3">
        <w:t xml:space="preserve">, which was receiving 160,000 </w:t>
      </w:r>
      <w:r w:rsidR="00CB62CD" w:rsidRPr="00755DE3">
        <w:t>tonnes</w:t>
      </w:r>
      <w:r w:rsidR="00E35187" w:rsidRPr="00755DE3">
        <w:t xml:space="preserve"> of waste materials per year. It has been reported that this landfill received about 1.6 million </w:t>
      </w:r>
      <w:r w:rsidR="00CB62CD" w:rsidRPr="00755DE3">
        <w:t>tonnes</w:t>
      </w:r>
      <w:r w:rsidR="00E35187" w:rsidRPr="00755DE3">
        <w:t xml:space="preserve"> of waste since its opening in 1992. The landfill reached its maximum capacity in 2014 and it closed.</w:t>
      </w:r>
    </w:p>
    <w:p w14:paraId="1D872DB1" w14:textId="7B658A17" w:rsidR="00B26171" w:rsidRPr="00755DE3" w:rsidRDefault="00B26171" w:rsidP="00B26171">
      <w:pPr>
        <w:pStyle w:val="SingleTxtG"/>
        <w:tabs>
          <w:tab w:val="left" w:pos="1504"/>
        </w:tabs>
      </w:pPr>
      <w:r w:rsidRPr="00755DE3">
        <w:rPr>
          <w:u w:val="single"/>
        </w:rPr>
        <w:t>Description of the project</w:t>
      </w:r>
      <w:r w:rsidRPr="00755DE3">
        <w:t xml:space="preserve">: The annually treatment capacity </w:t>
      </w:r>
      <w:r w:rsidR="00EB79A1" w:rsidRPr="00755DE3">
        <w:t>of the project would have been</w:t>
      </w:r>
      <w:r w:rsidRPr="00755DE3">
        <w:t xml:space="preserve"> about 1</w:t>
      </w:r>
      <w:r w:rsidR="00EB79A1" w:rsidRPr="00755DE3">
        <w:t>9</w:t>
      </w:r>
      <w:r w:rsidRPr="00755DE3">
        <w:t xml:space="preserve">0,000 </w:t>
      </w:r>
      <w:r w:rsidR="00CB62CD" w:rsidRPr="00755DE3">
        <w:t>tonnes</w:t>
      </w:r>
      <w:r w:rsidR="00EB79A1" w:rsidRPr="00755DE3">
        <w:t xml:space="preserve"> per year to produce 98.8 GWh of electricity</w:t>
      </w:r>
      <w:r w:rsidRPr="00755DE3">
        <w:t xml:space="preserve">. </w:t>
      </w:r>
      <w:r w:rsidR="000339A5" w:rsidRPr="00755DE3">
        <w:t xml:space="preserve">The capital investment required was estimated at about </w:t>
      </w:r>
      <w:r w:rsidR="004F712D" w:rsidRPr="00755DE3">
        <w:t>USD</w:t>
      </w:r>
      <w:r w:rsidR="00502A7B" w:rsidRPr="00755DE3">
        <w:t xml:space="preserve"> </w:t>
      </w:r>
      <w:r w:rsidR="000339A5" w:rsidRPr="00755DE3">
        <w:t>80 million.</w:t>
      </w:r>
      <w:r w:rsidR="002C77DF" w:rsidRPr="00755DE3">
        <w:t xml:space="preserve"> However, because of significant public opposition the project did not start the construction, after many years of efforts, and discussions. </w:t>
      </w:r>
    </w:p>
    <w:p w14:paraId="65F094DF" w14:textId="09B7FF8A" w:rsidR="00B26171" w:rsidRPr="00755DE3" w:rsidRDefault="00B26171" w:rsidP="00B26171">
      <w:pPr>
        <w:pStyle w:val="SingleTxtG"/>
        <w:tabs>
          <w:tab w:val="left" w:pos="1504"/>
        </w:tabs>
      </w:pPr>
      <w:r w:rsidRPr="00755DE3">
        <w:rPr>
          <w:u w:val="single"/>
        </w:rPr>
        <w:t>Partners</w:t>
      </w:r>
      <w:r w:rsidRPr="00755DE3">
        <w:t xml:space="preserve">: </w:t>
      </w:r>
      <w:r w:rsidR="005210AE" w:rsidRPr="00755DE3">
        <w:t>WtE</w:t>
      </w:r>
      <w:r w:rsidR="000339A5" w:rsidRPr="00755DE3">
        <w:t>-</w:t>
      </w:r>
      <w:proofErr w:type="spellStart"/>
      <w:r w:rsidR="000339A5" w:rsidRPr="00755DE3">
        <w:t>Araucania</w:t>
      </w:r>
      <w:proofErr w:type="spellEnd"/>
      <w:r w:rsidR="000339A5" w:rsidRPr="00755DE3">
        <w:t xml:space="preserve">, a consortium of entrepreneurs from the Araucanía region of Chile, in collaboration with the municipality of Temuco. </w:t>
      </w:r>
    </w:p>
    <w:p w14:paraId="598C2A58" w14:textId="36655ABF" w:rsidR="00B26171" w:rsidRPr="00755DE3" w:rsidRDefault="00B26171" w:rsidP="00B26171">
      <w:pPr>
        <w:pStyle w:val="SingleTxtG"/>
        <w:tabs>
          <w:tab w:val="left" w:pos="1504"/>
        </w:tabs>
      </w:pPr>
      <w:r w:rsidRPr="00755DE3">
        <w:rPr>
          <w:u w:val="single"/>
        </w:rPr>
        <w:t>Contribution to the People-first outcome “</w:t>
      </w:r>
      <w:r w:rsidR="00B53D74" w:rsidRPr="00755DE3">
        <w:rPr>
          <w:u w:val="single"/>
        </w:rPr>
        <w:t>Stakeholder engagement</w:t>
      </w:r>
      <w:r w:rsidRPr="00755DE3">
        <w:rPr>
          <w:u w:val="single"/>
        </w:rPr>
        <w:t>”</w:t>
      </w:r>
      <w:r w:rsidRPr="00755DE3">
        <w:t>:</w:t>
      </w:r>
    </w:p>
    <w:p w14:paraId="1286F2F4" w14:textId="67F1F4BF" w:rsidR="002C77DF" w:rsidRPr="00755DE3" w:rsidRDefault="002C77DF" w:rsidP="008F5446">
      <w:pPr>
        <w:pStyle w:val="SingleTxtG"/>
        <w:numPr>
          <w:ilvl w:val="0"/>
          <w:numId w:val="16"/>
        </w:numPr>
        <w:tabs>
          <w:tab w:val="left" w:pos="1504"/>
        </w:tabs>
      </w:pPr>
      <w:r w:rsidRPr="00755DE3">
        <w:t xml:space="preserve">The project didn’t assess the several needs of the </w:t>
      </w:r>
      <w:r w:rsidR="00B53D74" w:rsidRPr="00755DE3">
        <w:t>stakeholders and</w:t>
      </w:r>
      <w:r w:rsidRPr="00755DE3">
        <w:t xml:space="preserve"> didn’t progress.</w:t>
      </w:r>
    </w:p>
    <w:p w14:paraId="06AC3F3B" w14:textId="031EAB77" w:rsidR="002C77DF" w:rsidRPr="00755DE3" w:rsidRDefault="002C77DF" w:rsidP="008F5446">
      <w:pPr>
        <w:pStyle w:val="SingleTxtG"/>
        <w:numPr>
          <w:ilvl w:val="0"/>
          <w:numId w:val="16"/>
        </w:numPr>
        <w:tabs>
          <w:tab w:val="left" w:pos="1504"/>
        </w:tabs>
      </w:pPr>
      <w:r w:rsidRPr="00755DE3">
        <w:t>Stakeholders were not well informed about the technology, and strongly opposed the project.</w:t>
      </w:r>
    </w:p>
    <w:p w14:paraId="4AA49F2A" w14:textId="0E5D72FA" w:rsidR="002C77DF" w:rsidRPr="00755DE3" w:rsidRDefault="002C77DF" w:rsidP="008F5446">
      <w:pPr>
        <w:pStyle w:val="SingleTxtG"/>
        <w:numPr>
          <w:ilvl w:val="0"/>
          <w:numId w:val="16"/>
        </w:numPr>
        <w:tabs>
          <w:tab w:val="left" w:pos="1504"/>
        </w:tabs>
      </w:pPr>
      <w:r w:rsidRPr="00755DE3">
        <w:t xml:space="preserve">Significant concerns were reported on the vulnerable groups that live nearby the landfills and were securing income from informal activities. </w:t>
      </w:r>
    </w:p>
    <w:p w14:paraId="3E993BCE" w14:textId="0BDADF19" w:rsidR="001C5875" w:rsidRPr="00755DE3" w:rsidRDefault="008F5446" w:rsidP="008F5446">
      <w:pPr>
        <w:pStyle w:val="H4G"/>
        <w:rPr>
          <w:b/>
          <w:bCs/>
        </w:rPr>
      </w:pPr>
      <w:r w:rsidRPr="00755DE3">
        <w:rPr>
          <w:b/>
          <w:bCs/>
        </w:rPr>
        <w:tab/>
      </w:r>
      <w:r w:rsidRPr="00755DE3">
        <w:rPr>
          <w:b/>
          <w:bCs/>
        </w:rPr>
        <w:tab/>
      </w:r>
      <w:proofErr w:type="spellStart"/>
      <w:r w:rsidR="001C5875" w:rsidRPr="00755DE3">
        <w:rPr>
          <w:b/>
          <w:bCs/>
        </w:rPr>
        <w:t>Trimmis</w:t>
      </w:r>
      <w:proofErr w:type="spellEnd"/>
      <w:r w:rsidR="001C5875" w:rsidRPr="00755DE3">
        <w:rPr>
          <w:b/>
          <w:bCs/>
        </w:rPr>
        <w:t>, Switzerland</w:t>
      </w:r>
    </w:p>
    <w:p w14:paraId="0608FC89" w14:textId="4CD4E587" w:rsidR="002A1735" w:rsidRPr="00755DE3" w:rsidRDefault="002A1735" w:rsidP="002A1735">
      <w:pPr>
        <w:pStyle w:val="SingleTxtG"/>
        <w:tabs>
          <w:tab w:val="left" w:pos="1504"/>
        </w:tabs>
      </w:pPr>
      <w:r w:rsidRPr="00755DE3">
        <w:rPr>
          <w:u w:val="single"/>
        </w:rPr>
        <w:t>Challenge</w:t>
      </w:r>
      <w:r w:rsidRPr="00755DE3">
        <w:t xml:space="preserve">: To preserve its natural resources, the </w:t>
      </w:r>
      <w:r w:rsidR="00531B15" w:rsidRPr="00755DE3">
        <w:t>G</w:t>
      </w:r>
      <w:r w:rsidRPr="00755DE3">
        <w:t xml:space="preserve">overnment of Switzerland put emphasis on the advancement of recycling, and energy recovery, to eliminate landfilling of waste materials. </w:t>
      </w:r>
    </w:p>
    <w:p w14:paraId="21CCD290" w14:textId="1ECE2798" w:rsidR="002A1735" w:rsidRPr="00755DE3" w:rsidRDefault="002A1735" w:rsidP="002A1735">
      <w:pPr>
        <w:pStyle w:val="SingleTxtG"/>
        <w:tabs>
          <w:tab w:val="left" w:pos="1504"/>
        </w:tabs>
      </w:pPr>
      <w:r w:rsidRPr="00755DE3">
        <w:rPr>
          <w:u w:val="single"/>
        </w:rPr>
        <w:t>Description of the project</w:t>
      </w:r>
      <w:r w:rsidRPr="00755DE3">
        <w:t xml:space="preserve">: The annually treatment capacity is about 100,000 </w:t>
      </w:r>
      <w:r w:rsidR="00CB62CD" w:rsidRPr="00755DE3">
        <w:t>tonnes</w:t>
      </w:r>
      <w:r w:rsidRPr="00755DE3">
        <w:t xml:space="preserve">. The total electricity production amounted to 64,103 MWh in 2018 in a 24/7 operation scheme. The supply of building heating energy saved 9 million </w:t>
      </w:r>
      <w:r w:rsidR="00502A7B" w:rsidRPr="00755DE3">
        <w:t>litters</w:t>
      </w:r>
      <w:r w:rsidRPr="00755DE3">
        <w:t xml:space="preserve"> heating oil in the same year.</w:t>
      </w:r>
    </w:p>
    <w:p w14:paraId="49B69A08" w14:textId="5E1357A6" w:rsidR="002A1735" w:rsidRPr="00755DE3" w:rsidRDefault="002A1735" w:rsidP="002A1735">
      <w:pPr>
        <w:pStyle w:val="SingleTxtG"/>
        <w:tabs>
          <w:tab w:val="left" w:pos="1504"/>
        </w:tabs>
      </w:pPr>
      <w:r w:rsidRPr="00755DE3">
        <w:rPr>
          <w:u w:val="single"/>
        </w:rPr>
        <w:t>Partners</w:t>
      </w:r>
      <w:r w:rsidRPr="00755DE3">
        <w:t>: It is a standard example out of 30 plants in Switzerland. Operated by a non-profit organi</w:t>
      </w:r>
      <w:r w:rsidR="00B4647F" w:rsidRPr="00755DE3">
        <w:t>s</w:t>
      </w:r>
      <w:r w:rsidRPr="00755DE3">
        <w:t>ation - the Association of Municipalities for Waste Management Graubünden, Chur (the south-east of Switzerland) who represents the Public / Citizens since 1975 - the plant has been evolved from a straightforward waste incinerator plant to a sustainable energy supply and natural resources recycling facility in the region. The plant operator is an SPV under the supervision of 7 board members elected by the 25 communities participating to the organi</w:t>
      </w:r>
      <w:r w:rsidR="00B4647F" w:rsidRPr="00755DE3">
        <w:t>s</w:t>
      </w:r>
      <w:r w:rsidRPr="00755DE3">
        <w:t>ation, thus representing the citizens. In 2020, the Association responsible for the operation of the plant changed the entity to a Public company, namely Community Association for Waste Disposal in Graubünden (GEVAG),</w:t>
      </w:r>
      <w:r w:rsidR="001A6361" w:rsidRPr="00755DE3">
        <w:t xml:space="preserve"> </w:t>
      </w:r>
      <w:r w:rsidRPr="00755DE3">
        <w:t xml:space="preserve">putting a lot of emphasis on gender equality, and securing opportunities and benefits with regard to the public interests. </w:t>
      </w:r>
    </w:p>
    <w:p w14:paraId="7D3FF5D3" w14:textId="77777777" w:rsidR="002A1735" w:rsidRPr="00755DE3" w:rsidRDefault="002A1735" w:rsidP="002A1735">
      <w:pPr>
        <w:pStyle w:val="SingleTxtG"/>
        <w:tabs>
          <w:tab w:val="left" w:pos="1504"/>
        </w:tabs>
      </w:pPr>
      <w:r w:rsidRPr="00755DE3">
        <w:rPr>
          <w:u w:val="single"/>
        </w:rPr>
        <w:t>Contribution to the People-first outcome “Stakeholder engagement”</w:t>
      </w:r>
      <w:r w:rsidRPr="00755DE3">
        <w:t>:</w:t>
      </w:r>
    </w:p>
    <w:p w14:paraId="19C6A673" w14:textId="77777777" w:rsidR="002A1735" w:rsidRPr="00755DE3" w:rsidRDefault="002A1735" w:rsidP="008F5446">
      <w:pPr>
        <w:pStyle w:val="SingleTxtG"/>
        <w:numPr>
          <w:ilvl w:val="0"/>
          <w:numId w:val="6"/>
        </w:numPr>
      </w:pPr>
      <w:r w:rsidRPr="00755DE3">
        <w:lastRenderedPageBreak/>
        <w:t xml:space="preserve">The financial budget must be agreed by the public representatives through a voting system, ensuring the viability, affordability, and sustainability of the investment. </w:t>
      </w:r>
    </w:p>
    <w:p w14:paraId="74EC5AEC" w14:textId="4010A077" w:rsidR="002A1735" w:rsidRPr="00755DE3" w:rsidRDefault="002A1735" w:rsidP="008F5446">
      <w:pPr>
        <w:pStyle w:val="SingleTxtG"/>
        <w:numPr>
          <w:ilvl w:val="0"/>
          <w:numId w:val="6"/>
        </w:numPr>
      </w:pPr>
      <w:r w:rsidRPr="00755DE3">
        <w:t xml:space="preserve">The operation team works closely with the public and the private sector to create additional jobs and to boost innovation. </w:t>
      </w:r>
    </w:p>
    <w:p w14:paraId="2A690513" w14:textId="1F57435F" w:rsidR="002A1735" w:rsidRPr="00755DE3" w:rsidRDefault="002A1735" w:rsidP="008F5446">
      <w:pPr>
        <w:pStyle w:val="SingleTxtG"/>
        <w:numPr>
          <w:ilvl w:val="0"/>
          <w:numId w:val="6"/>
        </w:numPr>
      </w:pPr>
      <w:r w:rsidRPr="00755DE3">
        <w:t>The project equipment and management are locali</w:t>
      </w:r>
      <w:r w:rsidR="00B4647F" w:rsidRPr="00755DE3">
        <w:t>s</w:t>
      </w:r>
      <w:r w:rsidRPr="00755DE3">
        <w:t xml:space="preserve">ed, and it creates indirect jobs that support the economy, but also builds trust among the stakeholders. </w:t>
      </w:r>
    </w:p>
    <w:p w14:paraId="427BE4F6" w14:textId="28E270D8" w:rsidR="00606E49" w:rsidRPr="00755DE3" w:rsidRDefault="008F5446" w:rsidP="008F5446">
      <w:pPr>
        <w:pStyle w:val="H4G"/>
        <w:rPr>
          <w:b/>
          <w:bCs/>
        </w:rPr>
      </w:pPr>
      <w:r w:rsidRPr="00755DE3">
        <w:rPr>
          <w:b/>
          <w:bCs/>
        </w:rPr>
        <w:tab/>
      </w:r>
      <w:r w:rsidRPr="00755DE3">
        <w:rPr>
          <w:b/>
          <w:bCs/>
        </w:rPr>
        <w:tab/>
      </w:r>
      <w:r w:rsidR="00606E49" w:rsidRPr="00755DE3">
        <w:rPr>
          <w:b/>
          <w:bCs/>
        </w:rPr>
        <w:t>Nanning</w:t>
      </w:r>
      <w:r w:rsidR="00FC0FB9" w:rsidRPr="00755DE3">
        <w:rPr>
          <w:b/>
          <w:bCs/>
        </w:rPr>
        <w:t>, China</w:t>
      </w:r>
    </w:p>
    <w:p w14:paraId="260B80B8" w14:textId="31B624ED" w:rsidR="00606E49" w:rsidRPr="00755DE3" w:rsidRDefault="00606E49" w:rsidP="00606E49">
      <w:pPr>
        <w:pStyle w:val="SingleTxtG"/>
        <w:tabs>
          <w:tab w:val="left" w:pos="1504"/>
        </w:tabs>
      </w:pPr>
      <w:r w:rsidRPr="00755DE3">
        <w:rPr>
          <w:u w:val="single"/>
        </w:rPr>
        <w:t>Challenge</w:t>
      </w:r>
      <w:r w:rsidRPr="00755DE3">
        <w:t xml:space="preserve">: The land occupied in the Project of Nanning was considered as the “Geomantic and Treasured Land” by local villagers. Landing of the Project thus meant to destroy local “Feng </w:t>
      </w:r>
      <w:proofErr w:type="spellStart"/>
      <w:r w:rsidRPr="00755DE3">
        <w:t>Shui</w:t>
      </w:r>
      <w:proofErr w:type="spellEnd"/>
      <w:r w:rsidRPr="00755DE3">
        <w:t>” (Chinese geomancy), and significant opposition was associated with the project.</w:t>
      </w:r>
      <w:r w:rsidR="00E55197" w:rsidRPr="00755DE3">
        <w:t xml:space="preserve"> </w:t>
      </w:r>
    </w:p>
    <w:p w14:paraId="2255D409" w14:textId="0C5BB895" w:rsidR="00606E49" w:rsidRPr="00755DE3" w:rsidRDefault="00606E49" w:rsidP="00606E49">
      <w:pPr>
        <w:pStyle w:val="SingleTxtG"/>
        <w:tabs>
          <w:tab w:val="left" w:pos="1504"/>
        </w:tabs>
      </w:pPr>
      <w:r w:rsidRPr="00755DE3">
        <w:rPr>
          <w:u w:val="single"/>
        </w:rPr>
        <w:t xml:space="preserve">Description of </w:t>
      </w:r>
      <w:r w:rsidR="00EB1C4F" w:rsidRPr="00755DE3">
        <w:rPr>
          <w:u w:val="single"/>
        </w:rPr>
        <w:t xml:space="preserve">the </w:t>
      </w:r>
      <w:r w:rsidRPr="00755DE3">
        <w:rPr>
          <w:u w:val="single"/>
        </w:rPr>
        <w:t>project</w:t>
      </w:r>
      <w:r w:rsidRPr="00755DE3">
        <w:t xml:space="preserve">: The plant processes 2,000 </w:t>
      </w:r>
      <w:r w:rsidR="00CB62CD" w:rsidRPr="00755DE3">
        <w:t>tonnes</w:t>
      </w:r>
      <w:r w:rsidRPr="00755DE3">
        <w:t xml:space="preserve"> of waste per day. </w:t>
      </w:r>
    </w:p>
    <w:p w14:paraId="51B411CB" w14:textId="77777777" w:rsidR="00606E49" w:rsidRPr="00755DE3" w:rsidRDefault="00606E49" w:rsidP="00606E49">
      <w:pPr>
        <w:pStyle w:val="SingleTxtG"/>
        <w:tabs>
          <w:tab w:val="left" w:pos="1504"/>
        </w:tabs>
      </w:pPr>
      <w:r w:rsidRPr="00755DE3">
        <w:t xml:space="preserve">Partners: It is a PPP project between the municipality of Nanning, and </w:t>
      </w:r>
      <w:proofErr w:type="spellStart"/>
      <w:r w:rsidRPr="00755DE3">
        <w:t>Sanfeng</w:t>
      </w:r>
      <w:proofErr w:type="spellEnd"/>
      <w:r w:rsidRPr="00755DE3">
        <w:t xml:space="preserve"> Energy Co. It is a BOT model, which is built and operated by </w:t>
      </w:r>
      <w:proofErr w:type="spellStart"/>
      <w:r w:rsidRPr="00755DE3">
        <w:t>Sanfeng</w:t>
      </w:r>
      <w:proofErr w:type="spellEnd"/>
      <w:r w:rsidRPr="00755DE3">
        <w:t xml:space="preserve">. The plant uses Martin SITY 2000 technology. </w:t>
      </w:r>
    </w:p>
    <w:p w14:paraId="041B7F41" w14:textId="65396C4C" w:rsidR="00606E49" w:rsidRPr="00755DE3" w:rsidRDefault="00606E49" w:rsidP="00606E49">
      <w:pPr>
        <w:pStyle w:val="SingleTxtG"/>
        <w:tabs>
          <w:tab w:val="left" w:pos="1504"/>
        </w:tabs>
      </w:pPr>
      <w:r w:rsidRPr="00755DE3">
        <w:rPr>
          <w:u w:val="single"/>
        </w:rPr>
        <w:t xml:space="preserve">Contribution to </w:t>
      </w:r>
      <w:r w:rsidR="00EB1C4F" w:rsidRPr="00755DE3">
        <w:rPr>
          <w:u w:val="single"/>
        </w:rPr>
        <w:t xml:space="preserve">the </w:t>
      </w:r>
      <w:r w:rsidR="00C128F6" w:rsidRPr="00755DE3">
        <w:rPr>
          <w:u w:val="single"/>
        </w:rPr>
        <w:t>People-first</w:t>
      </w:r>
      <w:r w:rsidRPr="00755DE3">
        <w:rPr>
          <w:u w:val="single"/>
        </w:rPr>
        <w:t xml:space="preserve"> outcome</w:t>
      </w:r>
      <w:r w:rsidR="00486628" w:rsidRPr="00755DE3">
        <w:rPr>
          <w:u w:val="single"/>
        </w:rPr>
        <w:t xml:space="preserve"> “Stakeholder engagement”</w:t>
      </w:r>
      <w:r w:rsidRPr="00755DE3">
        <w:t>:</w:t>
      </w:r>
    </w:p>
    <w:p w14:paraId="2DED804F" w14:textId="7C052053" w:rsidR="00606E49" w:rsidRPr="00755DE3" w:rsidRDefault="00606E49" w:rsidP="008F5446">
      <w:pPr>
        <w:pStyle w:val="SingleTxtG"/>
        <w:numPr>
          <w:ilvl w:val="0"/>
          <w:numId w:val="6"/>
        </w:numPr>
      </w:pPr>
      <w:r w:rsidRPr="00755DE3">
        <w:t xml:space="preserve">The municipal governments strengthened publicity efforts; invited committee leaders to existing </w:t>
      </w:r>
      <w:r w:rsidR="00474819" w:rsidRPr="00755DE3">
        <w:t>WtE</w:t>
      </w:r>
      <w:r w:rsidRPr="00755DE3">
        <w:t xml:space="preserve"> plants, organi</w:t>
      </w:r>
      <w:r w:rsidR="00B4647F" w:rsidRPr="00755DE3">
        <w:t>s</w:t>
      </w:r>
      <w:r w:rsidRPr="00755DE3">
        <w:t xml:space="preserve">ed open discussions with the community, printed and distributed brochures promoting </w:t>
      </w:r>
      <w:r w:rsidR="00474819" w:rsidRPr="00755DE3">
        <w:t>WtE</w:t>
      </w:r>
      <w:r w:rsidRPr="00755DE3">
        <w:t xml:space="preserve">, supported the local economy by the construction of roads, and by hiring local people of the community to the construction and operation of the plants, etc. </w:t>
      </w:r>
    </w:p>
    <w:p w14:paraId="6AA7FF65" w14:textId="594467ED" w:rsidR="00C10A92" w:rsidRPr="00755DE3" w:rsidRDefault="00606E49" w:rsidP="008F5446">
      <w:pPr>
        <w:pStyle w:val="SingleTxtG"/>
        <w:numPr>
          <w:ilvl w:val="0"/>
          <w:numId w:val="6"/>
        </w:numPr>
      </w:pPr>
      <w:r w:rsidRPr="00755DE3">
        <w:t xml:space="preserve">Also, the municipalities enforced strict emissions standards for </w:t>
      </w:r>
      <w:r w:rsidR="00474819" w:rsidRPr="00755DE3">
        <w:t>WtE</w:t>
      </w:r>
      <w:r w:rsidRPr="00755DE3">
        <w:t xml:space="preserve"> operations.</w:t>
      </w:r>
    </w:p>
    <w:p w14:paraId="1F224081" w14:textId="382E5369" w:rsidR="00B87AA4" w:rsidRPr="00755DE3" w:rsidRDefault="00B87AA4" w:rsidP="00197C1B">
      <w:pPr>
        <w:pStyle w:val="SingleTxtG"/>
      </w:pPr>
    </w:p>
    <w:sectPr w:rsidR="00B87AA4" w:rsidRPr="00755DE3" w:rsidSect="00DF3BB8">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D0E3" w14:textId="77777777" w:rsidR="00BF464B" w:rsidRDefault="00BF464B"/>
  </w:endnote>
  <w:endnote w:type="continuationSeparator" w:id="0">
    <w:p w14:paraId="2F5CBB51" w14:textId="77777777" w:rsidR="00BF464B" w:rsidRDefault="00BF464B"/>
  </w:endnote>
  <w:endnote w:type="continuationNotice" w:id="1">
    <w:p w14:paraId="4FA5CBC5" w14:textId="77777777" w:rsidR="00BF464B" w:rsidRDefault="00BF4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FC49" w14:textId="77777777" w:rsidR="009B050A" w:rsidRPr="00DF3BB8" w:rsidRDefault="009B050A" w:rsidP="00DF3BB8">
    <w:pPr>
      <w:pStyle w:val="Footer"/>
      <w:tabs>
        <w:tab w:val="right" w:pos="9638"/>
      </w:tabs>
      <w:rPr>
        <w:sz w:val="18"/>
      </w:rPr>
    </w:pPr>
    <w:r w:rsidRPr="00DF3BB8">
      <w:rPr>
        <w:b/>
        <w:sz w:val="18"/>
      </w:rPr>
      <w:fldChar w:fldCharType="begin"/>
    </w:r>
    <w:r w:rsidRPr="00DF3BB8">
      <w:rPr>
        <w:b/>
        <w:sz w:val="18"/>
      </w:rPr>
      <w:instrText xml:space="preserve"> PAGE  \* MERGEFORMAT </w:instrText>
    </w:r>
    <w:r w:rsidRPr="00DF3BB8">
      <w:rPr>
        <w:b/>
        <w:sz w:val="18"/>
      </w:rPr>
      <w:fldChar w:fldCharType="separate"/>
    </w:r>
    <w:r w:rsidRPr="00DF3BB8">
      <w:rPr>
        <w:b/>
        <w:noProof/>
        <w:sz w:val="18"/>
      </w:rPr>
      <w:t>2</w:t>
    </w:r>
    <w:r w:rsidRPr="00DF3BB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63F5" w14:textId="77777777" w:rsidR="009B050A" w:rsidRPr="00DF3BB8" w:rsidRDefault="009B050A" w:rsidP="00DF3BB8">
    <w:pPr>
      <w:pStyle w:val="Footer"/>
      <w:tabs>
        <w:tab w:val="right" w:pos="9638"/>
      </w:tabs>
      <w:rPr>
        <w:b/>
        <w:sz w:val="18"/>
      </w:rPr>
    </w:pPr>
    <w:r>
      <w:tab/>
    </w:r>
    <w:r w:rsidRPr="00DF3BB8">
      <w:rPr>
        <w:b/>
        <w:sz w:val="18"/>
      </w:rPr>
      <w:fldChar w:fldCharType="begin"/>
    </w:r>
    <w:r w:rsidRPr="00DF3BB8">
      <w:rPr>
        <w:b/>
        <w:sz w:val="18"/>
      </w:rPr>
      <w:instrText xml:space="preserve"> PAGE  \* MERGEFORMAT </w:instrText>
    </w:r>
    <w:r w:rsidRPr="00DF3BB8">
      <w:rPr>
        <w:b/>
        <w:sz w:val="18"/>
      </w:rPr>
      <w:fldChar w:fldCharType="separate"/>
    </w:r>
    <w:r w:rsidRPr="00DF3BB8">
      <w:rPr>
        <w:b/>
        <w:noProof/>
        <w:sz w:val="18"/>
      </w:rPr>
      <w:t>3</w:t>
    </w:r>
    <w:r w:rsidRPr="00DF3B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7A5E" w14:textId="77777777" w:rsidR="009B050A" w:rsidRPr="00DF3BB8" w:rsidRDefault="009B050A">
    <w:pPr>
      <w:pStyle w:val="Footer"/>
      <w:rPr>
        <w:sz w:val="20"/>
      </w:rPr>
    </w:pPr>
    <w:r>
      <w:rPr>
        <w:noProof/>
        <w:lang w:val="fr-CH" w:eastAsia="fr-CH"/>
      </w:rPr>
      <w:drawing>
        <wp:anchor distT="0" distB="0" distL="114300" distR="114300" simplePos="0" relativeHeight="251657728" behindDoc="0" locked="1" layoutInCell="1" allowOverlap="1" wp14:anchorId="610AA2A0" wp14:editId="700DC5B7">
          <wp:simplePos x="0" y="0"/>
          <wp:positionH relativeFrom="margin">
            <wp:posOffset>5147945</wp:posOffset>
          </wp:positionH>
          <wp:positionV relativeFrom="margin">
            <wp:posOffset>9071610</wp:posOffset>
          </wp:positionV>
          <wp:extent cx="933450" cy="228600"/>
          <wp:effectExtent l="0" t="0" r="0" b="0"/>
          <wp:wrapNone/>
          <wp:docPr id="4"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F926" w14:textId="77777777" w:rsidR="00BF464B" w:rsidRPr="000B175B" w:rsidRDefault="00BF464B" w:rsidP="000B175B">
      <w:pPr>
        <w:tabs>
          <w:tab w:val="right" w:pos="2155"/>
        </w:tabs>
        <w:spacing w:after="80"/>
        <w:ind w:left="680"/>
        <w:rPr>
          <w:u w:val="single"/>
        </w:rPr>
      </w:pPr>
      <w:r>
        <w:rPr>
          <w:u w:val="single"/>
        </w:rPr>
        <w:tab/>
      </w:r>
    </w:p>
  </w:footnote>
  <w:footnote w:type="continuationSeparator" w:id="0">
    <w:p w14:paraId="33234D6D" w14:textId="77777777" w:rsidR="00BF464B" w:rsidRPr="00FC68B7" w:rsidRDefault="00BF464B" w:rsidP="00FC68B7">
      <w:pPr>
        <w:tabs>
          <w:tab w:val="left" w:pos="2155"/>
        </w:tabs>
        <w:spacing w:after="80"/>
        <w:ind w:left="680"/>
        <w:rPr>
          <w:u w:val="single"/>
        </w:rPr>
      </w:pPr>
      <w:r>
        <w:rPr>
          <w:u w:val="single"/>
        </w:rPr>
        <w:tab/>
      </w:r>
    </w:p>
  </w:footnote>
  <w:footnote w:type="continuationNotice" w:id="1">
    <w:p w14:paraId="7056C3FB" w14:textId="77777777" w:rsidR="00BF464B" w:rsidRDefault="00BF464B"/>
  </w:footnote>
  <w:footnote w:id="2">
    <w:p w14:paraId="2CA0ADF5" w14:textId="7D983A57" w:rsidR="009B050A" w:rsidRPr="000956EE" w:rsidRDefault="009B050A">
      <w:pPr>
        <w:pStyle w:val="FootnoteText"/>
      </w:pPr>
      <w:r>
        <w:tab/>
      </w:r>
      <w:r w:rsidRPr="000956EE">
        <w:tab/>
      </w:r>
      <w:r w:rsidRPr="000956EE">
        <w:rPr>
          <w:rStyle w:val="FootnoteReference"/>
        </w:rPr>
        <w:footnoteRef/>
      </w:r>
      <w:r w:rsidRPr="000956EE">
        <w:t xml:space="preserve"> Tonnes is the metric unit of mass equal to 1,000 kilograms according to the International System of Units (SI).</w:t>
      </w:r>
    </w:p>
  </w:footnote>
  <w:footnote w:id="3">
    <w:p w14:paraId="4035AF3E" w14:textId="4466345B" w:rsidR="009B050A" w:rsidRPr="00EC743C" w:rsidRDefault="009B050A">
      <w:pPr>
        <w:pStyle w:val="FootnoteText"/>
        <w:rPr>
          <w:lang w:val="en-US"/>
        </w:rPr>
      </w:pPr>
      <w:r>
        <w:tab/>
      </w:r>
      <w:r>
        <w:tab/>
      </w:r>
      <w:r>
        <w:rPr>
          <w:rStyle w:val="FootnoteReference"/>
        </w:rPr>
        <w:footnoteRef/>
      </w:r>
      <w:r>
        <w:t xml:space="preserve"> </w:t>
      </w:r>
      <w:r w:rsidRPr="00EC743C">
        <w:t>What a Waste 2.0: A Global Snapshot</w:t>
      </w:r>
      <w:r>
        <w:t xml:space="preserve"> </w:t>
      </w:r>
      <w:r w:rsidRPr="00EC743C">
        <w:t>of Solid Waste Management to 2050</w:t>
      </w:r>
      <w:r>
        <w:t xml:space="preserve">, </w:t>
      </w:r>
      <w:r w:rsidRPr="00EC743C">
        <w:t>World Bank</w:t>
      </w:r>
      <w:r>
        <w:t xml:space="preserve">, 2018, available online </w:t>
      </w:r>
      <w:hyperlink r:id="rId1" w:history="1">
        <w:r w:rsidRPr="00D82A09">
          <w:rPr>
            <w:rStyle w:val="Hyperlink"/>
          </w:rPr>
          <w:t>https://openknowledge.worldbank.org/handle/10986/30317</w:t>
        </w:r>
      </w:hyperlink>
    </w:p>
  </w:footnote>
  <w:footnote w:id="4">
    <w:p w14:paraId="377D561C" w14:textId="5DAEC379" w:rsidR="009B050A" w:rsidRDefault="009B050A" w:rsidP="00722B08">
      <w:pPr>
        <w:pStyle w:val="FootnoteText"/>
      </w:pPr>
      <w:r>
        <w:tab/>
      </w:r>
      <w:r>
        <w:tab/>
      </w:r>
      <w:r>
        <w:rPr>
          <w:rStyle w:val="FootnoteReference"/>
        </w:rPr>
        <w:footnoteRef/>
      </w:r>
      <w:r>
        <w:t xml:space="preserve"> In the beginning of the century the 4 </w:t>
      </w:r>
      <w:proofErr w:type="spellStart"/>
      <w:r>
        <w:t>Rs</w:t>
      </w:r>
      <w:proofErr w:type="spellEnd"/>
      <w:r>
        <w:t xml:space="preserve">: Reduce-Reuse-Recycle-Recover were introduced, which evolved into the circular economy and the 9 </w:t>
      </w:r>
      <w:proofErr w:type="spellStart"/>
      <w:r>
        <w:t>Rs</w:t>
      </w:r>
      <w:proofErr w:type="spellEnd"/>
      <w:r>
        <w:t xml:space="preserve"> approach: Refuse-Rethink-Reduce-Reuse-Repair-Refurbish-Remanufacture-Repurpose-Recycle-Recover. The concept puts emphasis on the redesign of materials, and production of new cycles that will secure sustainable development.</w:t>
      </w:r>
    </w:p>
    <w:p w14:paraId="640DCDC2" w14:textId="5E5D45AA" w:rsidR="009B050A" w:rsidRPr="00722B08" w:rsidRDefault="009B050A">
      <w:pPr>
        <w:pStyle w:val="FootnoteText"/>
      </w:pPr>
    </w:p>
  </w:footnote>
  <w:footnote w:id="5">
    <w:p w14:paraId="3C5F3192" w14:textId="3973678B" w:rsidR="009B050A" w:rsidRPr="006E4310" w:rsidRDefault="009B050A" w:rsidP="006C2D69">
      <w:pPr>
        <w:pStyle w:val="FootnoteText"/>
      </w:pPr>
      <w:r>
        <w:tab/>
      </w:r>
      <w:r>
        <w:tab/>
      </w:r>
      <w:r w:rsidRPr="00E7403C">
        <w:tab/>
      </w:r>
      <w:r w:rsidRPr="00E7403C">
        <w:rPr>
          <w:vertAlign w:val="superscript"/>
        </w:rPr>
        <w:footnoteRef/>
      </w:r>
      <w:r>
        <w:t xml:space="preserve"> See online </w:t>
      </w:r>
      <w:hyperlink r:id="rId2" w:history="1">
        <w:r w:rsidRPr="00EE3CFF">
          <w:rPr>
            <w:rStyle w:val="Hyperlink"/>
          </w:rPr>
          <w:t>https://data.worldbank.org/indicator/SP.POP.TOTL</w:t>
        </w:r>
      </w:hyperlink>
    </w:p>
  </w:footnote>
  <w:footnote w:id="6">
    <w:p w14:paraId="2AFD948B" w14:textId="1BD400CF" w:rsidR="009B050A" w:rsidRPr="006E4310" w:rsidRDefault="009B050A" w:rsidP="006E4310">
      <w:pPr>
        <w:pStyle w:val="FootnoteText"/>
      </w:pPr>
      <w:r>
        <w:tab/>
      </w:r>
      <w:r>
        <w:tab/>
      </w:r>
      <w:r w:rsidRPr="00E7403C">
        <w:rPr>
          <w:vertAlign w:val="superscript"/>
        </w:rPr>
        <w:footnoteRef/>
      </w:r>
      <w:r w:rsidRPr="00FC3477">
        <w:rPr>
          <w:rStyle w:val="Hyperlink"/>
        </w:rPr>
        <w:t xml:space="preserve"> </w:t>
      </w:r>
      <w:r>
        <w:t xml:space="preserve">See online </w:t>
      </w:r>
      <w:hyperlink r:id="rId3" w:history="1">
        <w:r w:rsidRPr="00FC3477">
          <w:rPr>
            <w:rStyle w:val="Hyperlink"/>
          </w:rPr>
          <w:t>https://www.iea.org/reports/world-energy-balances-overview</w:t>
        </w:r>
      </w:hyperlink>
    </w:p>
  </w:footnote>
  <w:footnote w:id="7">
    <w:p w14:paraId="5D385E8D" w14:textId="2F2FB8C0" w:rsidR="009B050A" w:rsidRPr="00370B17" w:rsidRDefault="009B050A" w:rsidP="006E4310">
      <w:pPr>
        <w:pStyle w:val="FootnoteText"/>
      </w:pPr>
      <w:r>
        <w:tab/>
      </w:r>
      <w:r>
        <w:tab/>
      </w:r>
      <w:r w:rsidRPr="006E4310">
        <w:rPr>
          <w:vertAlign w:val="superscript"/>
        </w:rPr>
        <w:footnoteRef/>
      </w:r>
      <w:r>
        <w:t xml:space="preserve"> See online </w:t>
      </w:r>
      <w:hyperlink r:id="rId4" w:history="1">
        <w:r w:rsidRPr="00FC3477">
          <w:rPr>
            <w:rStyle w:val="Hyperlink"/>
          </w:rPr>
          <w:t>https://data.worldbank.org/indicator/EN.ATM.CO2E.KT</w:t>
        </w:r>
      </w:hyperlink>
      <w:r w:rsidRPr="006E4310">
        <w:t xml:space="preserve"> </w:t>
      </w:r>
    </w:p>
  </w:footnote>
  <w:footnote w:id="8">
    <w:p w14:paraId="771C9D42" w14:textId="54CF7664" w:rsidR="009B050A" w:rsidRPr="006E4310" w:rsidRDefault="009B050A" w:rsidP="006E4310">
      <w:pPr>
        <w:pStyle w:val="FootnoteText"/>
      </w:pPr>
      <w:r>
        <w:tab/>
      </w:r>
      <w:r>
        <w:tab/>
      </w:r>
      <w:r w:rsidRPr="006E4310">
        <w:rPr>
          <w:vertAlign w:val="superscript"/>
        </w:rPr>
        <w:footnoteRef/>
      </w:r>
      <w:r>
        <w:t xml:space="preserve"> See online </w:t>
      </w:r>
      <w:hyperlink r:id="rId5" w:history="1">
        <w:r w:rsidRPr="00FC3477">
          <w:rPr>
            <w:rStyle w:val="Hyperlink"/>
          </w:rPr>
          <w:t>https://datatopics.worldbank.org/what-a-waste/trends_in_solid_waste_management.html</w:t>
        </w:r>
      </w:hyperlink>
      <w:r w:rsidRPr="006E4310">
        <w:t xml:space="preserve"> </w:t>
      </w:r>
    </w:p>
  </w:footnote>
  <w:footnote w:id="9">
    <w:p w14:paraId="0E90C623" w14:textId="279DBE95" w:rsidR="009B050A" w:rsidRDefault="009B050A">
      <w:pPr>
        <w:pStyle w:val="FootnoteText"/>
      </w:pPr>
      <w:r>
        <w:tab/>
      </w:r>
      <w:r>
        <w:tab/>
      </w:r>
      <w:r>
        <w:rPr>
          <w:rStyle w:val="FootnoteReference"/>
        </w:rPr>
        <w:footnoteRef/>
      </w:r>
      <w:r>
        <w:t xml:space="preserve"> </w:t>
      </w:r>
      <w:r w:rsidRPr="001E6F26">
        <w:t>The term was coined by the World Bank in 2008. A number of agencies such as the European Union as well as the Ellen MacArthur foundation have</w:t>
      </w:r>
      <w:r>
        <w:t xml:space="preserve"> since then </w:t>
      </w:r>
      <w:r w:rsidRPr="001E6F26">
        <w:t>given its strong credence</w:t>
      </w:r>
      <w:r>
        <w:t xml:space="preserve"> by operationalising it on a systematic basis</w:t>
      </w:r>
      <w:r w:rsidRPr="001E6F26">
        <w:t xml:space="preserve">. </w:t>
      </w:r>
    </w:p>
  </w:footnote>
  <w:footnote w:id="10">
    <w:p w14:paraId="6B63E24C" w14:textId="49519285" w:rsidR="009B050A" w:rsidRPr="009E0781" w:rsidRDefault="009B050A">
      <w:pPr>
        <w:pStyle w:val="FootnoteText"/>
        <w:rPr>
          <w:lang w:val="en-US"/>
        </w:rPr>
      </w:pPr>
      <w:r>
        <w:tab/>
      </w:r>
      <w:r>
        <w:tab/>
      </w:r>
      <w:r>
        <w:rPr>
          <w:rStyle w:val="FootnoteReference"/>
        </w:rPr>
        <w:footnoteRef/>
      </w:r>
      <w:r>
        <w:t xml:space="preserve"> See online </w:t>
      </w:r>
      <w:hyperlink r:id="rId6" w:history="1">
        <w:r w:rsidRPr="00D82A09">
          <w:rPr>
            <w:rStyle w:val="Hyperlink"/>
          </w:rPr>
          <w:t>https://nems.nih.gov/environmental-programs/Pages/Benefits-of-Recycling.aspx#</w:t>
        </w:r>
      </w:hyperlink>
      <w:r>
        <w:t xml:space="preserve"> </w:t>
      </w:r>
    </w:p>
  </w:footnote>
  <w:footnote w:id="11">
    <w:p w14:paraId="21693BC8" w14:textId="5D39CCBF" w:rsidR="009B050A" w:rsidRDefault="009B050A">
      <w:pPr>
        <w:pStyle w:val="FootnoteText"/>
      </w:pPr>
      <w:r>
        <w:tab/>
      </w:r>
      <w:r>
        <w:tab/>
      </w:r>
      <w:r>
        <w:tab/>
      </w:r>
      <w:r>
        <w:rPr>
          <w:rStyle w:val="FootnoteReference"/>
        </w:rPr>
        <w:footnoteRef/>
      </w:r>
      <w:r>
        <w:t xml:space="preserve"> </w:t>
      </w:r>
      <w:r w:rsidRPr="00232159">
        <w:t xml:space="preserve">Also, it has been recognized by the International Energy Association, the </w:t>
      </w:r>
      <w:r w:rsidRPr="00CE5DAA">
        <w:t>United Nations Framework Convention on Climate Change</w:t>
      </w:r>
      <w:r>
        <w:t xml:space="preserve"> (</w:t>
      </w:r>
      <w:r w:rsidRPr="00232159">
        <w:t>UNFCCC</w:t>
      </w:r>
      <w:r>
        <w:t>)</w:t>
      </w:r>
      <w:r w:rsidRPr="00232159">
        <w:t xml:space="preserve">, the </w:t>
      </w:r>
      <w:r w:rsidRPr="008F1986">
        <w:t>Intergovernmental Panel on Climate Change (IPCC)</w:t>
      </w:r>
      <w:r>
        <w:t xml:space="preserve"> </w:t>
      </w:r>
      <w:r w:rsidRPr="00232159">
        <w:t>report, and others</w:t>
      </w:r>
      <w:r>
        <w:t>.</w:t>
      </w:r>
    </w:p>
  </w:footnote>
  <w:footnote w:id="12">
    <w:p w14:paraId="512EB1B8" w14:textId="3BB14747" w:rsidR="009B050A" w:rsidRPr="009E0781" w:rsidRDefault="009B050A" w:rsidP="002A6361">
      <w:pPr>
        <w:pStyle w:val="FootnoteText"/>
        <w:rPr>
          <w:lang w:val="en-US"/>
        </w:rPr>
      </w:pPr>
      <w:r>
        <w:tab/>
      </w:r>
      <w:r>
        <w:tab/>
      </w:r>
      <w:r>
        <w:rPr>
          <w:rStyle w:val="FootnoteReference"/>
        </w:rPr>
        <w:footnoteRef/>
      </w:r>
      <w:r>
        <w:t xml:space="preserve"> See online </w:t>
      </w:r>
      <w:hyperlink r:id="rId7" w:history="1">
        <w:r w:rsidRPr="00D82A09">
          <w:rPr>
            <w:rStyle w:val="Hyperlink"/>
          </w:rPr>
          <w:t>http://www.stats.gov.cn/tjsj/ndsj/2016/indexeh.htm</w:t>
        </w:r>
      </w:hyperlink>
      <w:r>
        <w:t xml:space="preserve"> </w:t>
      </w:r>
    </w:p>
  </w:footnote>
  <w:footnote w:id="13">
    <w:p w14:paraId="2FE407D2" w14:textId="7343A4B3" w:rsidR="009B050A" w:rsidRPr="009E0781" w:rsidRDefault="009B050A">
      <w:pPr>
        <w:pStyle w:val="FootnoteText"/>
        <w:rPr>
          <w:lang w:val="en-US"/>
        </w:rPr>
      </w:pPr>
      <w:r>
        <w:tab/>
      </w:r>
      <w:r>
        <w:tab/>
      </w:r>
      <w:r>
        <w:rPr>
          <w:rStyle w:val="FootnoteReference"/>
        </w:rPr>
        <w:footnoteRef/>
      </w:r>
      <w:r>
        <w:t xml:space="preserve"> See online </w:t>
      </w:r>
      <w:hyperlink r:id="rId8" w:history="1">
        <w:r w:rsidRPr="00D82A09">
          <w:rPr>
            <w:rStyle w:val="Hyperlink"/>
          </w:rPr>
          <w:t>https://www.cewep.eu/waste-to-energy-plants-in-europe-in-2017/</w:t>
        </w:r>
      </w:hyperlink>
      <w:r>
        <w:t xml:space="preserve"> </w:t>
      </w:r>
    </w:p>
  </w:footnote>
  <w:footnote w:id="14">
    <w:p w14:paraId="3D3F6AD0" w14:textId="68D3724A" w:rsidR="009B050A" w:rsidRPr="009E0781" w:rsidRDefault="009B050A">
      <w:pPr>
        <w:pStyle w:val="FootnoteText"/>
        <w:rPr>
          <w:lang w:val="en-US"/>
        </w:rPr>
      </w:pPr>
      <w:r>
        <w:tab/>
      </w:r>
      <w:r>
        <w:tab/>
      </w:r>
      <w:r>
        <w:rPr>
          <w:rStyle w:val="FootnoteReference"/>
        </w:rPr>
        <w:footnoteRef/>
      </w:r>
      <w:r>
        <w:t xml:space="preserve"> See online </w:t>
      </w:r>
      <w:hyperlink r:id="rId9" w:history="1">
        <w:r w:rsidRPr="00D82A09">
          <w:rPr>
            <w:rStyle w:val="Hyperlink"/>
          </w:rPr>
          <w:t>http://gwcouncil.org/the-list-of-waste-to-energy-facilities-in-the-world/</w:t>
        </w:r>
      </w:hyperlink>
      <w:r>
        <w:t xml:space="preserve"> </w:t>
      </w:r>
    </w:p>
  </w:footnote>
  <w:footnote w:id="15">
    <w:p w14:paraId="4D10633A" w14:textId="10710851" w:rsidR="009B050A" w:rsidRPr="009E0781" w:rsidRDefault="009B050A" w:rsidP="00D41127">
      <w:pPr>
        <w:pStyle w:val="FootnoteText"/>
        <w:rPr>
          <w:lang w:val="en-US"/>
        </w:rPr>
      </w:pPr>
      <w:r>
        <w:tab/>
      </w:r>
      <w:r>
        <w:tab/>
      </w:r>
      <w:r>
        <w:rPr>
          <w:rStyle w:val="FootnoteReference"/>
        </w:rPr>
        <w:footnoteRef/>
      </w:r>
      <w:r>
        <w:t xml:space="preserve"> See online </w:t>
      </w:r>
      <w:hyperlink r:id="rId10" w:history="1">
        <w:r w:rsidRPr="00D82A09">
          <w:rPr>
            <w:rStyle w:val="Hyperlink"/>
          </w:rPr>
          <w:t>http://energyrecoverycouncil.org/wp-content/uploads/2016/06/ERC-2016-directory.pdf</w:t>
        </w:r>
      </w:hyperlink>
      <w:r>
        <w:t xml:space="preserve"> </w:t>
      </w:r>
    </w:p>
  </w:footnote>
  <w:footnote w:id="16">
    <w:p w14:paraId="4EDB029A" w14:textId="012CB806" w:rsidR="009B050A" w:rsidRPr="005B1AC6" w:rsidRDefault="009B050A" w:rsidP="009B7CEF">
      <w:pPr>
        <w:pStyle w:val="FootnoteText"/>
        <w:rPr>
          <w:lang w:val="en-US"/>
        </w:rPr>
      </w:pPr>
      <w:r>
        <w:tab/>
      </w:r>
      <w:r>
        <w:tab/>
      </w:r>
      <w:r>
        <w:rPr>
          <w:rStyle w:val="FootnoteReference"/>
        </w:rPr>
        <w:footnoteRef/>
      </w:r>
      <w:r>
        <w:t xml:space="preserve">See online </w:t>
      </w:r>
      <w:hyperlink r:id="rId11" w:history="1">
        <w:r w:rsidRPr="00D82A09">
          <w:rPr>
            <w:rStyle w:val="Hyperlink"/>
          </w:rPr>
          <w:t>https://www.sciencedirect.com/science/article/pii/S0956053X19300017?via%3Dihub</w:t>
        </w:r>
      </w:hyperlink>
      <w:r>
        <w:t xml:space="preserve"> </w:t>
      </w:r>
    </w:p>
  </w:footnote>
  <w:footnote w:id="17">
    <w:p w14:paraId="3B0BF4C9" w14:textId="05993F8F" w:rsidR="009B050A" w:rsidRPr="009B7CEF" w:rsidRDefault="009B050A" w:rsidP="00E81E9F">
      <w:pPr>
        <w:pStyle w:val="FootnoteText"/>
      </w:pPr>
      <w:r>
        <w:tab/>
      </w:r>
      <w:r>
        <w:tab/>
      </w:r>
      <w:r>
        <w:rPr>
          <w:rStyle w:val="FootnoteReference"/>
        </w:rPr>
        <w:footnoteRef/>
      </w:r>
      <w:r>
        <w:t xml:space="preserve">See online </w:t>
      </w:r>
      <w:hyperlink r:id="rId12" w:history="1">
        <w:r w:rsidRPr="00D82A09">
          <w:rPr>
            <w:rStyle w:val="Hyperlink"/>
          </w:rPr>
          <w:t>https://www.nea.gov.sg/our-services/waste-management/3r-programmes-and-resources/waste-management-infrastructure/solid-waste-management-infrastructure</w:t>
        </w:r>
      </w:hyperlink>
      <w:r>
        <w:t xml:space="preserve"> </w:t>
      </w:r>
    </w:p>
  </w:footnote>
  <w:footnote w:id="18">
    <w:p w14:paraId="349262E4" w14:textId="46CF775C" w:rsidR="009B050A" w:rsidRPr="000E19E7" w:rsidRDefault="009B050A">
      <w:pPr>
        <w:pStyle w:val="FootnoteText"/>
        <w:rPr>
          <w:lang w:val="en-US"/>
        </w:rPr>
      </w:pPr>
      <w:r>
        <w:tab/>
      </w:r>
      <w:r>
        <w:tab/>
      </w:r>
      <w:r>
        <w:rPr>
          <w:rStyle w:val="FootnoteReference"/>
        </w:rPr>
        <w:footnoteRef/>
      </w:r>
      <w:r>
        <w:t xml:space="preserve"> See online </w:t>
      </w:r>
      <w:hyperlink r:id="rId13" w:history="1">
        <w:r w:rsidRPr="00B46559">
          <w:rPr>
            <w:rStyle w:val="Hyperlink"/>
          </w:rPr>
          <w:t>https://www.grandviewresearch.com/industry-analysis/waste-to-energy-technology-industry</w:t>
        </w:r>
      </w:hyperlink>
      <w:r>
        <w:t xml:space="preserve"> </w:t>
      </w:r>
    </w:p>
  </w:footnote>
  <w:footnote w:id="19">
    <w:p w14:paraId="2754842E" w14:textId="1A9976AB" w:rsidR="009B050A" w:rsidRPr="00497940" w:rsidRDefault="009B050A">
      <w:pPr>
        <w:pStyle w:val="FootnoteText"/>
      </w:pPr>
      <w:r>
        <w:tab/>
      </w:r>
      <w:r>
        <w:tab/>
      </w:r>
      <w:r>
        <w:rPr>
          <w:rStyle w:val="FootnoteReference"/>
        </w:rPr>
        <w:footnoteRef/>
      </w:r>
      <w:r>
        <w:t xml:space="preserve"> See online </w:t>
      </w:r>
      <w:hyperlink r:id="rId14" w:history="1">
        <w:r w:rsidRPr="00D82A09">
          <w:rPr>
            <w:rStyle w:val="Hyperlink"/>
          </w:rPr>
          <w:t>https://www.prnewswire.com/news-releases/top-20-companies-in-the-waste-to-energy-wte-market-2018-visiongain-report-868219369.html</w:t>
        </w:r>
      </w:hyperlink>
      <w:r>
        <w:t xml:space="preserve"> </w:t>
      </w:r>
    </w:p>
  </w:footnote>
  <w:footnote w:id="20">
    <w:p w14:paraId="55D0B924" w14:textId="77221A80" w:rsidR="009B050A" w:rsidRPr="006E4310" w:rsidRDefault="009B050A" w:rsidP="00576FD0">
      <w:pPr>
        <w:pStyle w:val="FootnoteText"/>
      </w:pPr>
      <w:r w:rsidRPr="006E4310">
        <w:tab/>
      </w:r>
      <w:r>
        <w:tab/>
      </w:r>
      <w:r w:rsidRPr="006E4310">
        <w:rPr>
          <w:rStyle w:val="FootnoteReference"/>
        </w:rPr>
        <w:footnoteRef/>
      </w:r>
      <w:r w:rsidRPr="006E4310">
        <w:t xml:space="preserve"> </w:t>
      </w:r>
      <w:r>
        <w:t xml:space="preserve">See online </w:t>
      </w:r>
      <w:hyperlink r:id="rId15" w:history="1">
        <w:r w:rsidRPr="00FC3477">
          <w:rPr>
            <w:rStyle w:val="Hyperlink"/>
          </w:rPr>
          <w:t>https://ec.europa.eu/environment/industry/stationary/ied/legislation.htm</w:t>
        </w:r>
      </w:hyperlink>
      <w:r w:rsidRPr="006E4310">
        <w:t xml:space="preserve"> </w:t>
      </w:r>
      <w:r>
        <w:t xml:space="preserve">and </w:t>
      </w:r>
      <w:hyperlink r:id="rId16" w:history="1">
        <w:r w:rsidRPr="00577F47">
          <w:rPr>
            <w:rStyle w:val="Hyperlink"/>
          </w:rPr>
          <w:t>https://ec.europa.eu/eurostat/statistics-explained/index.php?title=File:Municipal_waste_treatment,_EU-27,_(kg_per_capita)_new.png&amp;oldid=323975</w:t>
        </w:r>
      </w:hyperlink>
    </w:p>
  </w:footnote>
  <w:footnote w:id="21">
    <w:p w14:paraId="68C9DD87" w14:textId="77777777" w:rsidR="009B050A" w:rsidRPr="00D65A42" w:rsidRDefault="009B050A" w:rsidP="00BE4DB9">
      <w:pPr>
        <w:pStyle w:val="FootnoteText"/>
      </w:pPr>
      <w:r w:rsidRPr="006E4310">
        <w:tab/>
      </w:r>
      <w:r>
        <w:tab/>
      </w:r>
      <w:r w:rsidRPr="006E4310">
        <w:rPr>
          <w:rStyle w:val="FootnoteReference"/>
        </w:rPr>
        <w:footnoteRef/>
      </w:r>
      <w:r w:rsidRPr="006E4310">
        <w:t xml:space="preserve"> </w:t>
      </w:r>
      <w:r>
        <w:t xml:space="preserve">See online </w:t>
      </w:r>
      <w:hyperlink r:id="rId17" w:history="1">
        <w:r w:rsidRPr="00FC3477">
          <w:rPr>
            <w:rStyle w:val="Hyperlink"/>
          </w:rPr>
          <w:t>https://www.wtienergy.com/sites/default/files/ERC-2014-Berenyi-recycling-study-1.pdf</w:t>
        </w:r>
      </w:hyperlink>
      <w:r w:rsidRPr="006E4310">
        <w:t xml:space="preserve"> </w:t>
      </w:r>
    </w:p>
  </w:footnote>
  <w:footnote w:id="22">
    <w:p w14:paraId="012F2091" w14:textId="42A11FD7" w:rsidR="009B050A" w:rsidRPr="005B1AC6" w:rsidRDefault="009B050A" w:rsidP="005A24AD">
      <w:pPr>
        <w:pStyle w:val="FootnoteText"/>
        <w:rPr>
          <w:lang w:val="en-US"/>
        </w:rPr>
      </w:pPr>
      <w:r>
        <w:tab/>
      </w:r>
      <w:r>
        <w:tab/>
      </w:r>
      <w:r>
        <w:rPr>
          <w:rStyle w:val="FootnoteReference"/>
        </w:rPr>
        <w:footnoteRef/>
      </w:r>
      <w:r>
        <w:t xml:space="preserve"> See online </w:t>
      </w:r>
      <w:hyperlink r:id="rId18" w:history="1">
        <w:r w:rsidRPr="00D82A09">
          <w:rPr>
            <w:rStyle w:val="Hyperlink"/>
          </w:rPr>
          <w:t>http://gwcouncil.org/the-list-of-waste-to-energy-facilities-in-the-world</w:t>
        </w:r>
      </w:hyperlink>
      <w:r>
        <w:t xml:space="preserve"> </w:t>
      </w:r>
    </w:p>
  </w:footnote>
  <w:footnote w:id="23">
    <w:p w14:paraId="0AEDE3C9" w14:textId="77777777" w:rsidR="009B050A" w:rsidRPr="00B84953" w:rsidRDefault="009B050A" w:rsidP="001726FD">
      <w:pPr>
        <w:pStyle w:val="FootnoteText"/>
      </w:pPr>
      <w:r w:rsidRPr="006E4310">
        <w:tab/>
      </w:r>
      <w:r>
        <w:tab/>
      </w:r>
      <w:r w:rsidRPr="006E4310">
        <w:rPr>
          <w:rStyle w:val="FootnoteReference"/>
        </w:rPr>
        <w:footnoteRef/>
      </w:r>
      <w:r w:rsidRPr="006E4310">
        <w:t xml:space="preserve"> </w:t>
      </w:r>
      <w:r>
        <w:t xml:space="preserve">See online </w:t>
      </w:r>
      <w:hyperlink r:id="rId19" w:history="1">
        <w:r w:rsidRPr="00434443">
          <w:rPr>
            <w:rStyle w:val="Hyperlink"/>
          </w:rPr>
          <w:t>https://www.cewep.eu/wte-climate-protection/</w:t>
        </w:r>
      </w:hyperlink>
      <w:r>
        <w:t xml:space="preserve"> </w:t>
      </w:r>
    </w:p>
  </w:footnote>
  <w:footnote w:id="24">
    <w:p w14:paraId="01B3639F" w14:textId="77777777" w:rsidR="009B050A" w:rsidRPr="005D2018" w:rsidRDefault="009B050A" w:rsidP="00F6423D">
      <w:pPr>
        <w:pStyle w:val="FootnoteText"/>
        <w:rPr>
          <w:lang w:val="en-US"/>
        </w:rPr>
      </w:pPr>
      <w:r>
        <w:tab/>
      </w:r>
      <w:r>
        <w:tab/>
      </w:r>
      <w:r>
        <w:rPr>
          <w:rStyle w:val="FootnoteReference"/>
        </w:rPr>
        <w:footnoteRef/>
      </w:r>
      <w:r>
        <w:t xml:space="preserve"> </w:t>
      </w:r>
      <w:r w:rsidRPr="000705C2">
        <w:rPr>
          <w:szCs w:val="18"/>
        </w:rPr>
        <w:t xml:space="preserve">The United Nations Environment Programme identifies modern district energy as the most effective approach for many cities in transition to sustainable heating and cooling, by improving energy efficiency and enabling higher shares of renewables. </w:t>
      </w:r>
      <w:r>
        <w:rPr>
          <w:szCs w:val="18"/>
        </w:rPr>
        <w:t>WtE</w:t>
      </w:r>
      <w:r w:rsidRPr="000705C2">
        <w:rPr>
          <w:szCs w:val="18"/>
        </w:rPr>
        <w:t xml:space="preserve"> is presented as a way to produce low-cost heat and often initiate development of a city’s district heating network, utilising the energy content embedded in the waste.</w:t>
      </w:r>
    </w:p>
  </w:footnote>
  <w:footnote w:id="25">
    <w:p w14:paraId="7D4D0D2F" w14:textId="736BE745" w:rsidR="009B050A" w:rsidRDefault="009B050A">
      <w:pPr>
        <w:pStyle w:val="FootnoteText"/>
      </w:pPr>
      <w:r>
        <w:tab/>
      </w:r>
      <w:r>
        <w:tab/>
      </w:r>
      <w:r>
        <w:rPr>
          <w:rStyle w:val="FootnoteReference"/>
        </w:rPr>
        <w:footnoteRef/>
      </w:r>
      <w:r>
        <w:t xml:space="preserve"> </w:t>
      </w:r>
      <w:hyperlink r:id="rId20" w:history="1">
        <w:r w:rsidRPr="00B46559">
          <w:rPr>
            <w:rStyle w:val="Hyperlink"/>
          </w:rPr>
          <w:t>https://home.kpmg/xx/en/home/insights/2019/10/waste-to-energy-green-solutions-for-emerging-markets.html</w:t>
        </w:r>
      </w:hyperlink>
      <w:r>
        <w:t xml:space="preserve"> </w:t>
      </w:r>
    </w:p>
  </w:footnote>
  <w:footnote w:id="26">
    <w:p w14:paraId="22DE7993" w14:textId="3A4F6607" w:rsidR="009B050A" w:rsidRDefault="009B050A">
      <w:pPr>
        <w:pStyle w:val="FootnoteText"/>
      </w:pPr>
      <w:r>
        <w:tab/>
      </w:r>
      <w:r>
        <w:tab/>
      </w:r>
      <w:r>
        <w:rPr>
          <w:rStyle w:val="FootnoteReference"/>
        </w:rPr>
        <w:footnoteRef/>
      </w:r>
      <w:r w:rsidRPr="00EC659F">
        <w:t xml:space="preserve"> </w:t>
      </w:r>
      <w:r w:rsidRPr="00EC659F">
        <w:rPr>
          <w:szCs w:val="18"/>
        </w:rPr>
        <w:t xml:space="preserve">‘Incinerators are NOT </w:t>
      </w:r>
      <w:r>
        <w:rPr>
          <w:szCs w:val="18"/>
        </w:rPr>
        <w:t>Waste-to-Energy</w:t>
      </w:r>
      <w:r w:rsidRPr="00EC659F">
        <w:rPr>
          <w:szCs w:val="18"/>
        </w:rPr>
        <w:t xml:space="preserve"> facilities</w:t>
      </w:r>
      <w:r>
        <w:rPr>
          <w:szCs w:val="18"/>
        </w:rPr>
        <w:t>’</w:t>
      </w:r>
      <w:r w:rsidRPr="00EC659F">
        <w:rPr>
          <w:szCs w:val="18"/>
        </w:rPr>
        <w:t>, Energy Justice Network, 2020</w:t>
      </w:r>
      <w:r>
        <w:rPr>
          <w:szCs w:val="18"/>
        </w:rPr>
        <w:t>.</w:t>
      </w:r>
      <w:r w:rsidRPr="00EC659F">
        <w:t xml:space="preserve"> </w:t>
      </w:r>
    </w:p>
  </w:footnote>
  <w:footnote w:id="27">
    <w:p w14:paraId="71B9CC64" w14:textId="77777777" w:rsidR="009B050A" w:rsidRPr="00A83A06" w:rsidRDefault="009B050A" w:rsidP="00005D3D">
      <w:pPr>
        <w:pStyle w:val="FootnoteText"/>
      </w:pPr>
      <w:r>
        <w:tab/>
      </w:r>
      <w:r>
        <w:tab/>
      </w:r>
      <w:r>
        <w:rPr>
          <w:rStyle w:val="FootnoteReference"/>
        </w:rPr>
        <w:footnoteRef/>
      </w:r>
      <w:r>
        <w:t xml:space="preserve"> </w:t>
      </w:r>
      <w:r w:rsidRPr="00A83A06">
        <w:t>Organic wastes contain materials which originated from living organisms.</w:t>
      </w:r>
      <w:r>
        <w:t xml:space="preserve"> Food scraps, e.g. vegetable waste, fruit scraps, etc. and yard waste, e.g. dead leaves, grass clippings, etc. are the main constituents of organic matter in municipal solid wastes. </w:t>
      </w:r>
    </w:p>
  </w:footnote>
  <w:footnote w:id="28">
    <w:p w14:paraId="7FE302CC" w14:textId="77777777" w:rsidR="009B050A" w:rsidRPr="00D37094" w:rsidRDefault="009B050A" w:rsidP="00005D3D">
      <w:pPr>
        <w:pStyle w:val="FootnoteText"/>
        <w:rPr>
          <w:lang w:val="en-US"/>
        </w:rPr>
      </w:pPr>
      <w:r>
        <w:tab/>
      </w:r>
      <w:r>
        <w:tab/>
      </w:r>
      <w:r>
        <w:rPr>
          <w:rStyle w:val="FootnoteReference"/>
        </w:rPr>
        <w:footnoteRef/>
      </w:r>
      <w:r>
        <w:t xml:space="preserve"> </w:t>
      </w:r>
      <w:r>
        <w:rPr>
          <w:lang w:val="en-US"/>
        </w:rPr>
        <w:t xml:space="preserve">Anaerobic digestion </w:t>
      </w:r>
      <w:r w:rsidRPr="00D37094">
        <w:rPr>
          <w:lang w:val="en-US"/>
        </w:rPr>
        <w:t>is a series of biological processes in which microorganisms break down organic</w:t>
      </w:r>
      <w:r>
        <w:rPr>
          <w:lang w:val="en-US"/>
        </w:rPr>
        <w:t xml:space="preserve"> matter, e.g. </w:t>
      </w:r>
      <w:r w:rsidRPr="00D37094">
        <w:rPr>
          <w:lang w:val="en-US"/>
        </w:rPr>
        <w:t xml:space="preserve">food </w:t>
      </w:r>
      <w:r>
        <w:rPr>
          <w:lang w:val="en-US"/>
        </w:rPr>
        <w:t xml:space="preserve">or yard </w:t>
      </w:r>
      <w:r w:rsidRPr="00D37094">
        <w:rPr>
          <w:lang w:val="en-US"/>
        </w:rPr>
        <w:t>waste</w:t>
      </w:r>
      <w:r>
        <w:rPr>
          <w:lang w:val="en-US"/>
        </w:rPr>
        <w:t>,</w:t>
      </w:r>
      <w:r w:rsidRPr="00D37094">
        <w:rPr>
          <w:lang w:val="en-US"/>
        </w:rPr>
        <w:t xml:space="preserve"> in the absence of oxygen. One of the end products is biogas, which is combusted to generate electricity and heat, or can be processed into renewable natural gas and transportation fuels.</w:t>
      </w:r>
    </w:p>
  </w:footnote>
  <w:footnote w:id="29">
    <w:p w14:paraId="42EF50A8" w14:textId="77777777" w:rsidR="009B050A" w:rsidRPr="00C607DD" w:rsidRDefault="009B050A" w:rsidP="00005D3D">
      <w:pPr>
        <w:pStyle w:val="FootnoteText"/>
        <w:rPr>
          <w:lang w:val="en-US"/>
        </w:rPr>
      </w:pPr>
      <w:r>
        <w:tab/>
      </w:r>
      <w:r>
        <w:tab/>
      </w:r>
      <w:r>
        <w:rPr>
          <w:rStyle w:val="FootnoteReference"/>
        </w:rPr>
        <w:footnoteRef/>
      </w:r>
      <w:r>
        <w:t xml:space="preserve"> Industrial symbiosis</w:t>
      </w:r>
      <w:r w:rsidRPr="00C607DD">
        <w:t xml:space="preserve"> systems</w:t>
      </w:r>
      <w:r>
        <w:t xml:space="preserve"> are a key component of circular economy. They</w:t>
      </w:r>
      <w:r w:rsidRPr="00C607DD">
        <w:t xml:space="preserve"> are based on collaboration and the synergistic possibilities offered by geographic proximity,</w:t>
      </w:r>
      <w:r>
        <w:t xml:space="preserve"> where the industries find</w:t>
      </w:r>
      <w:r w:rsidRPr="00C607DD">
        <w:t xml:space="preserve"> ways to use the waste from one process as raw materials for another</w:t>
      </w:r>
      <w:r>
        <w:t>.</w:t>
      </w:r>
    </w:p>
  </w:footnote>
  <w:footnote w:id="30">
    <w:p w14:paraId="462698C3" w14:textId="05C18A62" w:rsidR="009B050A" w:rsidRPr="00BE78F4" w:rsidRDefault="009B050A">
      <w:pPr>
        <w:pStyle w:val="FootnoteText"/>
        <w:rPr>
          <w:lang w:val="en-US"/>
        </w:rPr>
      </w:pPr>
      <w:r>
        <w:tab/>
      </w:r>
      <w:r>
        <w:tab/>
      </w:r>
      <w:r>
        <w:tab/>
      </w:r>
      <w:r>
        <w:rPr>
          <w:rStyle w:val="FootnoteReference"/>
        </w:rPr>
        <w:footnoteRef/>
      </w:r>
      <w:r>
        <w:t xml:space="preserve"> </w:t>
      </w:r>
      <w:r w:rsidRPr="00EC743C">
        <w:t>What a Waste 2.0: A Global Snapshot</w:t>
      </w:r>
      <w:r>
        <w:t xml:space="preserve"> </w:t>
      </w:r>
      <w:r w:rsidRPr="00EC743C">
        <w:t>of Solid Waste Management to 2050</w:t>
      </w:r>
      <w:r>
        <w:t xml:space="preserve">, </w:t>
      </w:r>
      <w:r w:rsidRPr="00EC743C">
        <w:t>World Bank</w:t>
      </w:r>
      <w:r>
        <w:t xml:space="preserve">, 2018 available online </w:t>
      </w:r>
      <w:hyperlink r:id="rId21" w:history="1">
        <w:r w:rsidRPr="00D82A09">
          <w:rPr>
            <w:rStyle w:val="Hyperlink"/>
          </w:rPr>
          <w:t>https://openknowledge.worldbank.org/handle/10986/30317</w:t>
        </w:r>
      </w:hyperlink>
      <w:r>
        <w:t xml:space="preserve"> </w:t>
      </w:r>
    </w:p>
  </w:footnote>
  <w:footnote w:id="31">
    <w:p w14:paraId="4218396F" w14:textId="4CAF57B3" w:rsidR="009B050A" w:rsidRPr="00593A86" w:rsidRDefault="009B050A">
      <w:pPr>
        <w:pStyle w:val="FootnoteText"/>
      </w:pPr>
      <w:r>
        <w:tab/>
      </w:r>
      <w:r>
        <w:tab/>
      </w:r>
      <w:r>
        <w:rPr>
          <w:rStyle w:val="FootnoteReference"/>
        </w:rPr>
        <w:footnoteRef/>
      </w:r>
      <w:r>
        <w:t xml:space="preserve"> It is estimated that about 30-40% of the WtE plants in the world, do not do any sorting of the wastes. This mainly relates to the market conditions, and the priorities of the public sector. The estimation is from data collected from the Ministry of Environment in China, the Confederation of European Waste to Energy Plants (CEWEP), and the Energy Recovery Council (ERC) in the US. </w:t>
      </w:r>
    </w:p>
  </w:footnote>
  <w:footnote w:id="32">
    <w:p w14:paraId="074D271D" w14:textId="1898B198" w:rsidR="009B050A" w:rsidRPr="001A289C" w:rsidRDefault="009B050A">
      <w:pPr>
        <w:pStyle w:val="FootnoteText"/>
      </w:pPr>
      <w:r>
        <w:tab/>
      </w:r>
      <w:r>
        <w:tab/>
      </w:r>
      <w:r>
        <w:rPr>
          <w:rStyle w:val="FootnoteReference"/>
        </w:rPr>
        <w:footnoteRef/>
      </w:r>
      <w:r>
        <w:t xml:space="preserve"> Successful examples are presented in the Appendix. The cases include two acquisitions that occurred with the help of the Governments that allowed advancement of sustainable waste management in the countries involved. </w:t>
      </w:r>
    </w:p>
  </w:footnote>
  <w:footnote w:id="33">
    <w:p w14:paraId="34EA72ED" w14:textId="47DF5BB3" w:rsidR="009B050A" w:rsidRPr="00DA1464" w:rsidRDefault="009B050A" w:rsidP="00DA1464">
      <w:pPr>
        <w:pStyle w:val="FootnoteText"/>
      </w:pPr>
      <w:r>
        <w:tab/>
      </w:r>
      <w:r>
        <w:tab/>
      </w:r>
      <w:r>
        <w:rPr>
          <w:rStyle w:val="FootnoteReference"/>
        </w:rPr>
        <w:footnoteRef/>
      </w:r>
      <w:r>
        <w:t xml:space="preserve"> ECE Standard on a Zero Tolerance Approach to Corruption in PPP Procurement (ECE/CECI/WP/PPP/2017/4). Available online </w:t>
      </w:r>
      <w:hyperlink r:id="rId22" w:history="1">
        <w:r w:rsidRPr="00EE3CFF">
          <w:rPr>
            <w:rStyle w:val="Hyperlink"/>
          </w:rPr>
          <w:t>https://www.unece.org/fileadmin/DAM/ceci/ppp/Standards/ECE_CECI_WP_PPP_2017_04-en.pdf</w:t>
        </w:r>
      </w:hyperlink>
    </w:p>
  </w:footnote>
  <w:footnote w:id="34">
    <w:p w14:paraId="08BB43FC" w14:textId="0CEF6967" w:rsidR="009B050A" w:rsidRPr="002D10CA" w:rsidRDefault="009B050A">
      <w:pPr>
        <w:pStyle w:val="FootnoteText"/>
        <w:rPr>
          <w:sz w:val="16"/>
          <w:szCs w:val="18"/>
          <w:lang w:val="en-US"/>
        </w:rPr>
      </w:pPr>
      <w:r>
        <w:tab/>
      </w:r>
      <w:r>
        <w:tab/>
      </w:r>
      <w:r>
        <w:rPr>
          <w:rStyle w:val="FootnoteReference"/>
        </w:rPr>
        <w:footnoteRef/>
      </w:r>
      <w:r>
        <w:t xml:space="preserve"> </w:t>
      </w:r>
      <w:r w:rsidRPr="002D10CA">
        <w:rPr>
          <w:sz w:val="16"/>
          <w:szCs w:val="18"/>
        </w:rPr>
        <w:t xml:space="preserve">The </w:t>
      </w:r>
      <w:r>
        <w:rPr>
          <w:sz w:val="16"/>
          <w:szCs w:val="18"/>
        </w:rPr>
        <w:t>“</w:t>
      </w:r>
      <w:r w:rsidRPr="002D10CA">
        <w:rPr>
          <w:sz w:val="16"/>
          <w:szCs w:val="18"/>
        </w:rPr>
        <w:t>precautionary principle</w:t>
      </w:r>
      <w:r>
        <w:rPr>
          <w:sz w:val="16"/>
          <w:szCs w:val="18"/>
        </w:rPr>
        <w:t>”</w:t>
      </w:r>
      <w:r w:rsidRPr="002D10CA">
        <w:rPr>
          <w:sz w:val="16"/>
          <w:szCs w:val="18"/>
        </w:rPr>
        <w:t xml:space="preserve"> is</w:t>
      </w:r>
      <w:r>
        <w:rPr>
          <w:sz w:val="16"/>
          <w:szCs w:val="18"/>
        </w:rPr>
        <w:t>, among others, an EU</w:t>
      </w:r>
      <w:r w:rsidRPr="002D10CA">
        <w:rPr>
          <w:sz w:val="16"/>
          <w:szCs w:val="18"/>
        </w:rPr>
        <w:t xml:space="preserve"> risk management tool that may be invoked when there is scientific uncertainty about a suspected risk to human health or to the environment emanating from a certain action or policy.</w:t>
      </w:r>
    </w:p>
  </w:footnote>
  <w:footnote w:id="35">
    <w:p w14:paraId="735DF712" w14:textId="2280F275" w:rsidR="009B050A" w:rsidRPr="002D10CA" w:rsidRDefault="009B050A">
      <w:pPr>
        <w:pStyle w:val="FootnoteText"/>
        <w:rPr>
          <w:lang w:val="en-US"/>
        </w:rPr>
      </w:pPr>
      <w:r>
        <w:tab/>
      </w:r>
      <w:r>
        <w:tab/>
      </w:r>
      <w:r>
        <w:rPr>
          <w:rStyle w:val="FootnoteReference"/>
        </w:rPr>
        <w:footnoteRef/>
      </w:r>
      <w:r>
        <w:t xml:space="preserve"> </w:t>
      </w:r>
      <w:r w:rsidRPr="002D10CA">
        <w:rPr>
          <w:sz w:val="16"/>
          <w:szCs w:val="18"/>
        </w:rPr>
        <w:t xml:space="preserve">The </w:t>
      </w:r>
      <w:r>
        <w:rPr>
          <w:sz w:val="16"/>
          <w:szCs w:val="18"/>
        </w:rPr>
        <w:t>“</w:t>
      </w:r>
      <w:r w:rsidRPr="002D10CA">
        <w:rPr>
          <w:sz w:val="16"/>
          <w:szCs w:val="18"/>
        </w:rPr>
        <w:t>polluter pays</w:t>
      </w:r>
      <w:r>
        <w:rPr>
          <w:sz w:val="16"/>
          <w:szCs w:val="18"/>
        </w:rPr>
        <w:t>”</w:t>
      </w:r>
      <w:r w:rsidRPr="002D10CA">
        <w:rPr>
          <w:sz w:val="16"/>
          <w:szCs w:val="18"/>
        </w:rPr>
        <w:t xml:space="preserve"> principle is</w:t>
      </w:r>
      <w:r>
        <w:rPr>
          <w:sz w:val="16"/>
          <w:szCs w:val="18"/>
        </w:rPr>
        <w:t>, among others,</w:t>
      </w:r>
      <w:r w:rsidRPr="002D10CA">
        <w:rPr>
          <w:sz w:val="16"/>
          <w:szCs w:val="18"/>
        </w:rPr>
        <w:t xml:space="preserve"> implemented by the Environmental Liability Directive, which aims to prevent or otherwise remedy environmental damage. </w:t>
      </w:r>
      <w:r>
        <w:rPr>
          <w:sz w:val="16"/>
          <w:szCs w:val="18"/>
        </w:rPr>
        <w:t>Waste management o</w:t>
      </w:r>
      <w:r w:rsidRPr="002D10CA">
        <w:rPr>
          <w:sz w:val="16"/>
          <w:szCs w:val="18"/>
        </w:rPr>
        <w:t>perators have to take preventive measures in case of an imminent threat to the environment. If damage has already occurred, they are obliged to take the appropriate measures to remedy it and pay for the costs.</w:t>
      </w:r>
    </w:p>
  </w:footnote>
  <w:footnote w:id="36">
    <w:p w14:paraId="33A05755" w14:textId="0BA22C58" w:rsidR="009B050A" w:rsidRPr="004F0875" w:rsidRDefault="009B050A">
      <w:pPr>
        <w:pStyle w:val="FootnoteText"/>
        <w:rPr>
          <w:lang w:val="en-US"/>
        </w:rPr>
      </w:pPr>
      <w:r>
        <w:tab/>
      </w:r>
      <w:r>
        <w:tab/>
      </w:r>
      <w:r>
        <w:rPr>
          <w:rStyle w:val="FootnoteReference"/>
        </w:rPr>
        <w:footnoteRef/>
      </w:r>
      <w:r>
        <w:t xml:space="preserve"> </w:t>
      </w:r>
      <w:hyperlink r:id="rId23" w:history="1">
        <w:r w:rsidRPr="00B46559">
          <w:rPr>
            <w:rStyle w:val="Hyperlink"/>
          </w:rPr>
          <w:t>https://www.iea.org/countries/Switzerland</w:t>
        </w:r>
      </w:hyperlink>
      <w:r>
        <w:t xml:space="preserve"> </w:t>
      </w:r>
    </w:p>
  </w:footnote>
  <w:footnote w:id="37">
    <w:p w14:paraId="0483B2FD" w14:textId="59AC5CBC" w:rsidR="009B050A" w:rsidRPr="003E2988" w:rsidRDefault="009B050A">
      <w:pPr>
        <w:pStyle w:val="FootnoteText"/>
        <w:rPr>
          <w:lang w:val="en-US"/>
        </w:rPr>
      </w:pPr>
      <w:r>
        <w:tab/>
      </w:r>
      <w:r>
        <w:tab/>
      </w:r>
      <w:r>
        <w:rPr>
          <w:rStyle w:val="FootnoteReference"/>
        </w:rPr>
        <w:footnoteRef/>
      </w:r>
      <w:r>
        <w:t xml:space="preserve"> </w:t>
      </w:r>
      <w:r w:rsidRPr="003E2988">
        <w:rPr>
          <w:szCs w:val="22"/>
        </w:rPr>
        <w:t>Special Purpose/Project Vehicle</w:t>
      </w:r>
      <w:r>
        <w:rPr>
          <w:szCs w:val="22"/>
        </w:rPr>
        <w:t xml:space="preserve"> (SPV)</w:t>
      </w:r>
      <w:r w:rsidRPr="003E2988">
        <w:rPr>
          <w:szCs w:val="22"/>
        </w:rPr>
        <w:t xml:space="preserve"> or</w:t>
      </w:r>
      <w:r>
        <w:rPr>
          <w:szCs w:val="22"/>
        </w:rPr>
        <w:t xml:space="preserve"> </w:t>
      </w:r>
      <w:r w:rsidRPr="003E2988">
        <w:rPr>
          <w:szCs w:val="22"/>
        </w:rPr>
        <w:t>Special Purpose/Project Entity</w:t>
      </w:r>
      <w:r>
        <w:rPr>
          <w:szCs w:val="22"/>
        </w:rPr>
        <w:t xml:space="preserve"> (SPE)</w:t>
      </w:r>
      <w:r w:rsidRPr="003E2988">
        <w:rPr>
          <w:szCs w:val="22"/>
        </w:rPr>
        <w:t xml:space="preserve"> is a legal entity that undertake</w:t>
      </w:r>
      <w:r>
        <w:rPr>
          <w:szCs w:val="22"/>
        </w:rPr>
        <w:t>s</w:t>
      </w:r>
      <w:r w:rsidRPr="003E2988">
        <w:rPr>
          <w:szCs w:val="22"/>
        </w:rPr>
        <w:t xml:space="preserve"> the </w:t>
      </w:r>
      <w:r>
        <w:rPr>
          <w:szCs w:val="22"/>
        </w:rPr>
        <w:t xml:space="preserve">construction, operation and management of </w:t>
      </w:r>
      <w:r w:rsidRPr="003E2988">
        <w:rPr>
          <w:szCs w:val="22"/>
        </w:rPr>
        <w:t xml:space="preserve">projects </w:t>
      </w:r>
      <w:r>
        <w:rPr>
          <w:szCs w:val="22"/>
        </w:rPr>
        <w:t>as well as, it involves</w:t>
      </w:r>
      <w:r w:rsidRPr="003E2988">
        <w:rPr>
          <w:szCs w:val="22"/>
        </w:rPr>
        <w:t xml:space="preserve"> various parties and stakeholders in PPPs</w:t>
      </w:r>
      <w:r>
        <w:rPr>
          <w:szCs w:val="22"/>
        </w:rPr>
        <w:t>.</w:t>
      </w:r>
    </w:p>
  </w:footnote>
  <w:footnote w:id="38">
    <w:p w14:paraId="0A142DB1" w14:textId="1554BAF1" w:rsidR="009B050A" w:rsidRPr="00A620ED" w:rsidRDefault="009B050A">
      <w:pPr>
        <w:pStyle w:val="FootnoteText"/>
      </w:pPr>
      <w:r>
        <w:tab/>
      </w:r>
      <w:r>
        <w:tab/>
      </w:r>
      <w:r>
        <w:rPr>
          <w:rStyle w:val="FootnoteReference"/>
        </w:rPr>
        <w:footnoteRef/>
      </w:r>
      <w:r>
        <w:t xml:space="preserve"> More information on the ECE People-first PPP Evaluation Methodology project is available online: </w:t>
      </w:r>
      <w:hyperlink r:id="rId24" w:history="1">
        <w:r w:rsidRPr="00EE3CFF">
          <w:rPr>
            <w:rStyle w:val="Hyperlink"/>
          </w:rPr>
          <w:t>https://wiki.unece.org/display/pppp/Impact+Assessment+Tool</w:t>
        </w:r>
      </w:hyperlink>
    </w:p>
  </w:footnote>
  <w:footnote w:id="39">
    <w:p w14:paraId="281916A1" w14:textId="77777777" w:rsidR="009B050A" w:rsidRDefault="009B050A" w:rsidP="005B7D6A">
      <w:pPr>
        <w:pStyle w:val="FootnoteText"/>
      </w:pPr>
      <w:r>
        <w:tab/>
      </w:r>
      <w:r>
        <w:tab/>
      </w:r>
      <w:r>
        <w:rPr>
          <w:rStyle w:val="FootnoteReference"/>
        </w:rPr>
        <w:footnoteRef/>
      </w:r>
      <w:r>
        <w:t xml:space="preserve"> WtE plants serve communities as small as 10,000 inhabitants. However, economies of scale dictate that for a WtE plant to be financially viable its capacity should not be below 150,000-200,000 tonnes/year. In this context, small cities may band together to build a WtE plant</w:t>
      </w:r>
    </w:p>
  </w:footnote>
  <w:footnote w:id="40">
    <w:p w14:paraId="3535A440" w14:textId="217D5010" w:rsidR="009B050A" w:rsidRPr="00634205" w:rsidRDefault="009B050A">
      <w:pPr>
        <w:pStyle w:val="FootnoteText"/>
      </w:pPr>
      <w:r>
        <w:tab/>
      </w:r>
      <w:r>
        <w:tab/>
      </w:r>
      <w:r>
        <w:rPr>
          <w:rStyle w:val="FootnoteReference"/>
        </w:rPr>
        <w:footnoteRef/>
      </w:r>
      <w:r>
        <w:t xml:space="preserve"> </w:t>
      </w:r>
      <w:r w:rsidR="006943CF">
        <w:t>Prepared by</w:t>
      </w:r>
      <w:r w:rsidR="00F7150D">
        <w:t xml:space="preserve"> </w:t>
      </w:r>
      <w:r w:rsidR="00F7150D" w:rsidRPr="00F7150D">
        <w:t>A.C. (</w:t>
      </w:r>
      <w:proofErr w:type="spellStart"/>
      <w:r w:rsidR="00F7150D" w:rsidRPr="00F7150D">
        <w:t>Thanos</w:t>
      </w:r>
      <w:proofErr w:type="spellEnd"/>
      <w:r w:rsidR="00F7150D" w:rsidRPr="00F7150D">
        <w:t xml:space="preserve">) </w:t>
      </w:r>
      <w:proofErr w:type="spellStart"/>
      <w:r w:rsidR="00F7150D" w:rsidRPr="00F7150D">
        <w:t>Bourtsalas</w:t>
      </w:r>
      <w:proofErr w:type="spellEnd"/>
      <w:r w:rsidR="00F7150D">
        <w:t>.</w:t>
      </w:r>
    </w:p>
  </w:footnote>
  <w:footnote w:id="41">
    <w:p w14:paraId="40C2E66F" w14:textId="77777777" w:rsidR="009B050A" w:rsidRPr="00640DA6" w:rsidRDefault="009B050A" w:rsidP="009B329B">
      <w:pPr>
        <w:pStyle w:val="FootnoteText"/>
      </w:pPr>
      <w:r>
        <w:tab/>
      </w:r>
      <w:r>
        <w:tab/>
      </w:r>
      <w:r>
        <w:rPr>
          <w:rStyle w:val="FootnoteReference"/>
        </w:rPr>
        <w:footnoteRef/>
      </w:r>
      <w:r>
        <w:t xml:space="preserve"> See online </w:t>
      </w:r>
      <w:hyperlink r:id="rId25" w:history="1">
        <w:r w:rsidRPr="00D82A09">
          <w:rPr>
            <w:rStyle w:val="Hyperlink"/>
          </w:rPr>
          <w:t>https://eur-lex.europa.eu/legal-content/EN/TXT/?uri=CELEX:31975L0442</w:t>
        </w:r>
      </w:hyperlink>
      <w:r>
        <w:t xml:space="preserve"> </w:t>
      </w:r>
    </w:p>
  </w:footnote>
  <w:footnote w:id="42">
    <w:p w14:paraId="100EFFE7" w14:textId="77777777" w:rsidR="009B050A" w:rsidRPr="009E0781" w:rsidRDefault="009B050A" w:rsidP="009B329B">
      <w:pPr>
        <w:pStyle w:val="FootnoteText"/>
        <w:rPr>
          <w:lang w:val="en-US"/>
        </w:rPr>
      </w:pPr>
      <w:r>
        <w:tab/>
      </w:r>
      <w:r>
        <w:tab/>
      </w:r>
      <w:r>
        <w:rPr>
          <w:rStyle w:val="FootnoteReference"/>
        </w:rPr>
        <w:footnoteRef/>
      </w:r>
      <w:r>
        <w:t xml:space="preserve"> See online </w:t>
      </w:r>
      <w:hyperlink r:id="rId26" w:history="1">
        <w:r w:rsidRPr="00D82A09">
          <w:rPr>
            <w:rStyle w:val="Hyperlink"/>
          </w:rPr>
          <w:t>https://eur-lex.europa.eu/legal-content/EN/TXT/?uri=CELEX:31991L0156</w:t>
        </w:r>
      </w:hyperlink>
      <w:r>
        <w:t xml:space="preserve"> </w:t>
      </w:r>
    </w:p>
  </w:footnote>
  <w:footnote w:id="43">
    <w:p w14:paraId="2A7BF0A6" w14:textId="77777777" w:rsidR="009B050A" w:rsidRPr="009E0781"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27" w:history="1">
        <w:r w:rsidRPr="00D82A09">
          <w:rPr>
            <w:rStyle w:val="Hyperlink"/>
            <w:lang w:val="en-US"/>
          </w:rPr>
          <w:t>https://ec.europa.eu/environment/waste/landfill/index.htm</w:t>
        </w:r>
      </w:hyperlink>
      <w:r>
        <w:rPr>
          <w:lang w:val="en-US"/>
        </w:rPr>
        <w:t xml:space="preserve"> </w:t>
      </w:r>
    </w:p>
  </w:footnote>
  <w:footnote w:id="44">
    <w:p w14:paraId="6FCBDED4" w14:textId="77777777" w:rsidR="009B050A" w:rsidRPr="00DE5CB5" w:rsidRDefault="009B050A" w:rsidP="009B329B">
      <w:pPr>
        <w:pStyle w:val="FootnoteText"/>
      </w:pPr>
      <w:r>
        <w:tab/>
      </w:r>
      <w:r>
        <w:tab/>
      </w:r>
      <w:r>
        <w:rPr>
          <w:rStyle w:val="FootnoteReference"/>
        </w:rPr>
        <w:footnoteRef/>
      </w:r>
      <w:r>
        <w:t xml:space="preserve"> See online </w:t>
      </w:r>
      <w:hyperlink r:id="rId28" w:history="1">
        <w:r w:rsidRPr="00D82A09">
          <w:rPr>
            <w:rStyle w:val="Hyperlink"/>
          </w:rPr>
          <w:t>https://eur-lex.europa.eu/LexUriServ/LexUriServ.do?uri=CONSLEG:2000L0076:20081211:EN:PDF</w:t>
        </w:r>
      </w:hyperlink>
      <w:r>
        <w:t xml:space="preserve"> </w:t>
      </w:r>
    </w:p>
  </w:footnote>
  <w:footnote w:id="45">
    <w:p w14:paraId="7B3052A3" w14:textId="77777777" w:rsidR="009B050A" w:rsidRPr="005000AA" w:rsidRDefault="009B050A" w:rsidP="009B329B">
      <w:pPr>
        <w:pStyle w:val="FootnoteText"/>
      </w:pPr>
      <w:r>
        <w:tab/>
      </w:r>
      <w:r>
        <w:tab/>
      </w:r>
      <w:r>
        <w:rPr>
          <w:rStyle w:val="FootnoteReference"/>
        </w:rPr>
        <w:footnoteRef/>
      </w:r>
      <w:r>
        <w:t xml:space="preserve"> See online </w:t>
      </w:r>
      <w:hyperlink r:id="rId29" w:history="1">
        <w:r w:rsidRPr="00D82A09">
          <w:rPr>
            <w:rStyle w:val="Hyperlink"/>
          </w:rPr>
          <w:t>https://eur-lex.europa.eu/legal-content/EN/TXT/PDF/?uri=CELEX:32001L0077&amp;from=EN</w:t>
        </w:r>
      </w:hyperlink>
      <w:r>
        <w:t xml:space="preserve"> </w:t>
      </w:r>
    </w:p>
  </w:footnote>
  <w:footnote w:id="46">
    <w:p w14:paraId="07DF3F83" w14:textId="77777777" w:rsidR="009B050A" w:rsidRPr="009E0781"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30" w:history="1">
        <w:r w:rsidRPr="00D82A09">
          <w:rPr>
            <w:rStyle w:val="Hyperlink"/>
            <w:lang w:val="en-US"/>
          </w:rPr>
          <w:t>https://eur-lex.europa.eu/legal-content/en/TXT/?uri=CELEX:32006L0012</w:t>
        </w:r>
      </w:hyperlink>
      <w:r>
        <w:rPr>
          <w:lang w:val="en-US"/>
        </w:rPr>
        <w:t xml:space="preserve"> </w:t>
      </w:r>
    </w:p>
  </w:footnote>
  <w:footnote w:id="47">
    <w:p w14:paraId="1A9447A7" w14:textId="77777777" w:rsidR="009B050A" w:rsidRPr="009E0781"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31" w:history="1">
        <w:r w:rsidRPr="00D82A09">
          <w:rPr>
            <w:rStyle w:val="Hyperlink"/>
            <w:lang w:val="en-US"/>
          </w:rPr>
          <w:t>https://ec.europa.eu/environment/waste/framework/</w:t>
        </w:r>
      </w:hyperlink>
      <w:r>
        <w:rPr>
          <w:lang w:val="en-US"/>
        </w:rPr>
        <w:t xml:space="preserve"> </w:t>
      </w:r>
    </w:p>
  </w:footnote>
  <w:footnote w:id="48">
    <w:p w14:paraId="458D9AF3" w14:textId="77777777" w:rsidR="009B050A" w:rsidRPr="009E0781"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32" w:history="1">
        <w:r w:rsidRPr="00D82A09">
          <w:rPr>
            <w:rStyle w:val="Hyperlink"/>
            <w:lang w:val="en-US"/>
          </w:rPr>
          <w:t>https://ec.europa.eu/environment/waste/framework/pdf/guidance.pdf</w:t>
        </w:r>
      </w:hyperlink>
      <w:r>
        <w:rPr>
          <w:lang w:val="en-US"/>
        </w:rPr>
        <w:t xml:space="preserve"> </w:t>
      </w:r>
    </w:p>
  </w:footnote>
  <w:footnote w:id="49">
    <w:p w14:paraId="647E287A" w14:textId="77777777" w:rsidR="009B050A" w:rsidRPr="009F09EA" w:rsidRDefault="009B050A" w:rsidP="009B329B">
      <w:pPr>
        <w:pStyle w:val="FootnoteText"/>
      </w:pPr>
      <w:r>
        <w:tab/>
      </w:r>
      <w:r>
        <w:tab/>
      </w:r>
      <w:r>
        <w:rPr>
          <w:rStyle w:val="FootnoteReference"/>
        </w:rPr>
        <w:footnoteRef/>
      </w:r>
      <w:r>
        <w:t xml:space="preserve"> See online </w:t>
      </w:r>
      <w:hyperlink r:id="rId33" w:history="1">
        <w:r w:rsidRPr="00D82A09">
          <w:rPr>
            <w:rStyle w:val="Hyperlink"/>
          </w:rPr>
          <w:t>https://eur-lex.europa.eu/legal-content/EN/TXT/PDF/?uri=CELEX:32009L0028&amp;from=EN</w:t>
        </w:r>
      </w:hyperlink>
      <w:r>
        <w:t xml:space="preserve"> </w:t>
      </w:r>
    </w:p>
  </w:footnote>
  <w:footnote w:id="50">
    <w:p w14:paraId="56E3C61B" w14:textId="77777777" w:rsidR="009B050A" w:rsidRPr="009E0781"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34" w:history="1">
        <w:r w:rsidRPr="00D82A09">
          <w:rPr>
            <w:rStyle w:val="Hyperlink"/>
            <w:lang w:val="en-US"/>
          </w:rPr>
          <w:t>https://eur-lex.europa.eu/eli/dir/2010/75/2011-01-06</w:t>
        </w:r>
      </w:hyperlink>
      <w:r>
        <w:rPr>
          <w:lang w:val="en-US"/>
        </w:rPr>
        <w:t xml:space="preserve"> </w:t>
      </w:r>
    </w:p>
  </w:footnote>
  <w:footnote w:id="51">
    <w:p w14:paraId="7B33E853" w14:textId="77777777" w:rsidR="009B050A" w:rsidRPr="00FD3093" w:rsidRDefault="009B050A" w:rsidP="009B329B">
      <w:pPr>
        <w:pStyle w:val="FootnoteText"/>
      </w:pPr>
      <w:r>
        <w:tab/>
      </w:r>
      <w:r>
        <w:tab/>
      </w:r>
      <w:r w:rsidRPr="006E4310">
        <w:rPr>
          <w:vertAlign w:val="superscript"/>
        </w:rPr>
        <w:footnoteRef/>
      </w:r>
      <w:r>
        <w:t xml:space="preserve"> See online </w:t>
      </w:r>
      <w:hyperlink r:id="rId35" w:history="1">
        <w:r w:rsidRPr="00FC3477">
          <w:rPr>
            <w:rStyle w:val="Hyperlink"/>
          </w:rPr>
          <w:t>https://ec.europa.eu/info/strategy/priorities-2019-2024</w:t>
        </w:r>
      </w:hyperlink>
      <w:r>
        <w:t xml:space="preserve"> </w:t>
      </w:r>
    </w:p>
  </w:footnote>
  <w:footnote w:id="52">
    <w:p w14:paraId="1164B549" w14:textId="77777777" w:rsidR="009B050A" w:rsidRPr="006E4310" w:rsidRDefault="009B050A" w:rsidP="009B329B">
      <w:pPr>
        <w:pStyle w:val="FootnoteText"/>
      </w:pPr>
      <w:r w:rsidRPr="006E4310">
        <w:tab/>
      </w:r>
      <w:r>
        <w:tab/>
      </w:r>
      <w:r w:rsidRPr="006E4310">
        <w:rPr>
          <w:rStyle w:val="FootnoteReference"/>
        </w:rPr>
        <w:footnoteRef/>
      </w:r>
      <w:r w:rsidRPr="006E4310">
        <w:t xml:space="preserve"> </w:t>
      </w:r>
      <w:r>
        <w:t xml:space="preserve">See online </w:t>
      </w:r>
      <w:hyperlink r:id="rId36" w:history="1">
        <w:r w:rsidRPr="00FC3477">
          <w:rPr>
            <w:rStyle w:val="Hyperlink"/>
          </w:rPr>
          <w:t>https://ec.europa.eu/environment/circular-economy/index_en.htm</w:t>
        </w:r>
      </w:hyperlink>
      <w:r w:rsidRPr="006E4310">
        <w:t xml:space="preserve"> </w:t>
      </w:r>
    </w:p>
  </w:footnote>
  <w:footnote w:id="53">
    <w:p w14:paraId="5F8B722E" w14:textId="77777777" w:rsidR="009B050A" w:rsidRPr="009E0781" w:rsidRDefault="009B050A" w:rsidP="009B329B">
      <w:pPr>
        <w:pStyle w:val="FootnoteText"/>
        <w:rPr>
          <w:lang w:val="en-US"/>
        </w:rPr>
      </w:pPr>
      <w:r>
        <w:tab/>
      </w:r>
      <w:r>
        <w:tab/>
      </w:r>
      <w:r>
        <w:rPr>
          <w:rStyle w:val="FootnoteReference"/>
        </w:rPr>
        <w:footnoteRef/>
      </w:r>
      <w:r>
        <w:t xml:space="preserve"> See online </w:t>
      </w:r>
      <w:hyperlink r:id="rId37" w:history="1">
        <w:r w:rsidRPr="00FC3477">
          <w:rPr>
            <w:rStyle w:val="Hyperlink"/>
          </w:rPr>
          <w:t>https://eur-lex.europa.eu/resource.html?uri=cellar:8a8ef5e8-99a0-11e5-b3b7-01aa75ed71a1.0012.03/DOC_3&amp;format=HTML&amp;lang=EN&amp;parentUrn=COM:2015:614:FIN</w:t>
        </w:r>
      </w:hyperlink>
    </w:p>
  </w:footnote>
  <w:footnote w:id="54">
    <w:p w14:paraId="03A8458D" w14:textId="77777777" w:rsidR="009B050A" w:rsidRPr="006E4310" w:rsidRDefault="009B050A" w:rsidP="009B329B">
      <w:pPr>
        <w:pStyle w:val="FootnoteText"/>
      </w:pPr>
      <w:r w:rsidRPr="006E4310">
        <w:tab/>
      </w:r>
      <w:r>
        <w:tab/>
      </w:r>
      <w:r w:rsidRPr="006E4310">
        <w:rPr>
          <w:rStyle w:val="FootnoteReference"/>
        </w:rPr>
        <w:footnoteRef/>
      </w:r>
      <w:r w:rsidRPr="006E4310">
        <w:t xml:space="preserve"> </w:t>
      </w:r>
      <w:r>
        <w:t xml:space="preserve">See online </w:t>
      </w:r>
      <w:hyperlink r:id="rId38" w:history="1">
        <w:r w:rsidRPr="00FC3477">
          <w:rPr>
            <w:rStyle w:val="Hyperlink"/>
          </w:rPr>
          <w:t>https://ec.europa.eu/environment/waste/waste-to-energy.pdf</w:t>
        </w:r>
      </w:hyperlink>
      <w:r w:rsidRPr="006E4310">
        <w:t xml:space="preserve"> </w:t>
      </w:r>
    </w:p>
  </w:footnote>
  <w:footnote w:id="55">
    <w:p w14:paraId="6980E8D8" w14:textId="77777777" w:rsidR="009B050A" w:rsidRPr="009E0781"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39" w:history="1">
        <w:r w:rsidRPr="00D82A09">
          <w:rPr>
            <w:rStyle w:val="Hyperlink"/>
            <w:lang w:val="en-US"/>
          </w:rPr>
          <w:t>https://eur-lex.europa.eu/legal-content/EN/TXT/PDF/?uri=CELEX%3A32017D1442&amp;from=EN</w:t>
        </w:r>
      </w:hyperlink>
      <w:r>
        <w:rPr>
          <w:lang w:val="en-US"/>
        </w:rPr>
        <w:t xml:space="preserve"> </w:t>
      </w:r>
    </w:p>
  </w:footnote>
  <w:footnote w:id="56">
    <w:p w14:paraId="11719045" w14:textId="77777777" w:rsidR="009B050A" w:rsidRPr="006E4310" w:rsidRDefault="009B050A" w:rsidP="009B329B">
      <w:pPr>
        <w:pStyle w:val="FootnoteText"/>
      </w:pPr>
      <w:r w:rsidRPr="006E4310">
        <w:tab/>
      </w:r>
      <w:r>
        <w:tab/>
      </w:r>
      <w:r w:rsidRPr="006E4310">
        <w:rPr>
          <w:rStyle w:val="FootnoteReference"/>
        </w:rPr>
        <w:footnoteRef/>
      </w:r>
      <w:r w:rsidRPr="006E4310">
        <w:t xml:space="preserve"> </w:t>
      </w:r>
      <w:r>
        <w:t xml:space="preserve">See online </w:t>
      </w:r>
      <w:hyperlink r:id="rId40" w:history="1">
        <w:r w:rsidRPr="00FC3477">
          <w:rPr>
            <w:rStyle w:val="Hyperlink"/>
          </w:rPr>
          <w:t>https://eur-lex.europa.eu/legal-content/EN/TXT/PDF/?uri=CELEX:52018PC0353&amp;from=EN</w:t>
        </w:r>
      </w:hyperlink>
      <w:r w:rsidRPr="006E4310">
        <w:t xml:space="preserve"> </w:t>
      </w:r>
    </w:p>
  </w:footnote>
  <w:footnote w:id="57">
    <w:p w14:paraId="4CB86CD3" w14:textId="77777777" w:rsidR="009B050A" w:rsidRPr="00601157"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41" w:history="1">
        <w:r w:rsidRPr="00D82A09">
          <w:rPr>
            <w:rStyle w:val="Hyperlink"/>
            <w:lang w:val="en-US"/>
          </w:rPr>
          <w:t>https://eur-lex.europa.eu/legal-content/EN/TXT/PDF/?uri=CELEX:32018L0850&amp;from=EN</w:t>
        </w:r>
      </w:hyperlink>
      <w:r>
        <w:rPr>
          <w:lang w:val="en-US"/>
        </w:rPr>
        <w:t xml:space="preserve"> </w:t>
      </w:r>
    </w:p>
  </w:footnote>
  <w:footnote w:id="58">
    <w:p w14:paraId="5A33B89C" w14:textId="77777777" w:rsidR="009B050A" w:rsidRPr="00601157" w:rsidRDefault="009B050A" w:rsidP="009B329B">
      <w:pPr>
        <w:pStyle w:val="FootnoteText"/>
        <w:rPr>
          <w:lang w:val="en-US"/>
        </w:rPr>
      </w:pPr>
      <w:r>
        <w:tab/>
      </w:r>
      <w:r>
        <w:tab/>
      </w:r>
      <w:r>
        <w:rPr>
          <w:rStyle w:val="FootnoteReference"/>
        </w:rPr>
        <w:footnoteRef/>
      </w:r>
      <w:r>
        <w:t xml:space="preserve"> </w:t>
      </w:r>
      <w:r>
        <w:rPr>
          <w:lang w:val="en-US"/>
        </w:rPr>
        <w:t xml:space="preserve">See online </w:t>
      </w:r>
      <w:hyperlink r:id="rId42" w:history="1">
        <w:r w:rsidRPr="00D82A09">
          <w:rPr>
            <w:rStyle w:val="Hyperlink"/>
            <w:lang w:val="en-US"/>
          </w:rPr>
          <w:t>https://eur-lex.europa.eu/legal-content/EN/TXT/PDF/?uri=CELEX:32018L0851&amp;from=EN</w:t>
        </w:r>
      </w:hyperlink>
      <w:r>
        <w:rPr>
          <w:lang w:val="en-US"/>
        </w:rPr>
        <w:t xml:space="preserve"> </w:t>
      </w:r>
    </w:p>
  </w:footnote>
  <w:footnote w:id="59">
    <w:p w14:paraId="0D3E3056" w14:textId="77777777" w:rsidR="009B050A" w:rsidRPr="00601157" w:rsidRDefault="009B050A" w:rsidP="009B329B">
      <w:pPr>
        <w:pStyle w:val="FootnoteText"/>
        <w:rPr>
          <w:lang w:val="en-US"/>
        </w:rPr>
      </w:pPr>
      <w:r>
        <w:tab/>
      </w:r>
      <w:r>
        <w:tab/>
      </w:r>
      <w:r>
        <w:rPr>
          <w:rStyle w:val="FootnoteReference"/>
        </w:rPr>
        <w:footnoteRef/>
      </w:r>
      <w:r>
        <w:t xml:space="preserve"> See online </w:t>
      </w:r>
      <w:hyperlink r:id="rId43" w:history="1">
        <w:r w:rsidRPr="00D82A09">
          <w:rPr>
            <w:rStyle w:val="Hyperlink"/>
          </w:rPr>
          <w:t>https://eur-lex.europa.eu/legal-content/EN/TXT/PDF/?uri=CELEX:32018L2001&amp;from=EN</w:t>
        </w:r>
      </w:hyperlink>
      <w:r>
        <w:t xml:space="preserve"> </w:t>
      </w:r>
    </w:p>
  </w:footnote>
  <w:footnote w:id="60">
    <w:p w14:paraId="25D109CB" w14:textId="77777777" w:rsidR="009B050A" w:rsidRPr="006E4310" w:rsidRDefault="009B050A" w:rsidP="009B329B">
      <w:pPr>
        <w:pStyle w:val="FootnoteText"/>
      </w:pPr>
      <w:r w:rsidRPr="006E4310">
        <w:tab/>
      </w:r>
      <w:r>
        <w:tab/>
      </w:r>
      <w:r w:rsidRPr="006E4310">
        <w:rPr>
          <w:rStyle w:val="FootnoteReference"/>
        </w:rPr>
        <w:footnoteRef/>
      </w:r>
      <w:r w:rsidRPr="006E4310">
        <w:t xml:space="preserve"> </w:t>
      </w:r>
      <w:r>
        <w:t xml:space="preserve">See online </w:t>
      </w:r>
      <w:hyperlink r:id="rId44" w:history="1">
        <w:r w:rsidRPr="00FC3477">
          <w:rPr>
            <w:rStyle w:val="Hyperlink"/>
          </w:rPr>
          <w:t>https://www.cewep.eu/wp-content/uploads/2019/02/Joint-statement-taxonomy-February-2019.pdf</w:t>
        </w:r>
      </w:hyperlink>
      <w:r w:rsidRPr="006E4310">
        <w:t xml:space="preserve"> </w:t>
      </w:r>
    </w:p>
  </w:footnote>
  <w:footnote w:id="61">
    <w:p w14:paraId="5F716D36" w14:textId="77777777" w:rsidR="009B050A" w:rsidRPr="00FC3477" w:rsidRDefault="009B050A" w:rsidP="009B329B">
      <w:pPr>
        <w:pStyle w:val="FootnoteText"/>
        <w:rPr>
          <w:rStyle w:val="Hyperlink"/>
        </w:rPr>
      </w:pPr>
      <w:r w:rsidRPr="006E4310">
        <w:tab/>
      </w:r>
      <w:r>
        <w:tab/>
      </w:r>
      <w:r w:rsidRPr="006E4310">
        <w:rPr>
          <w:rStyle w:val="FootnoteReference"/>
        </w:rPr>
        <w:footnoteRef/>
      </w:r>
      <w:r w:rsidRPr="006E4310">
        <w:t xml:space="preserve"> </w:t>
      </w:r>
      <w:r>
        <w:t xml:space="preserve">See online </w:t>
      </w:r>
      <w:hyperlink r:id="rId45" w:history="1">
        <w:r w:rsidRPr="00FC3477">
          <w:rPr>
            <w:rStyle w:val="Hyperlink"/>
          </w:rPr>
          <w:t>https://eur-lex.europa.eu/legal-content/EN/TXT/PDF/?uri=CELEX:32018L0851&amp;from=EN</w:t>
        </w:r>
      </w:hyperlink>
      <w:r w:rsidRPr="00FC3477">
        <w:rPr>
          <w:rStyle w:val="Hyperlink"/>
        </w:rPr>
        <w:t xml:space="preserve"> </w:t>
      </w:r>
    </w:p>
  </w:footnote>
  <w:footnote w:id="62">
    <w:p w14:paraId="1D77A0DD" w14:textId="77777777" w:rsidR="009B050A" w:rsidRPr="006E4310" w:rsidRDefault="009B050A" w:rsidP="009B329B">
      <w:pPr>
        <w:pStyle w:val="FootnoteText"/>
      </w:pPr>
      <w:r w:rsidRPr="006E4310">
        <w:tab/>
      </w:r>
      <w:r>
        <w:tab/>
      </w:r>
      <w:r w:rsidRPr="006E4310">
        <w:rPr>
          <w:rStyle w:val="FootnoteReference"/>
        </w:rPr>
        <w:footnoteRef/>
      </w:r>
      <w:r w:rsidRPr="006E4310">
        <w:t xml:space="preserve"> </w:t>
      </w:r>
      <w:r>
        <w:t xml:space="preserve">See online </w:t>
      </w:r>
      <w:hyperlink r:id="rId46" w:history="1">
        <w:r w:rsidRPr="00FC3477">
          <w:rPr>
            <w:rStyle w:val="Hyperlink"/>
          </w:rPr>
          <w:t>https://www.eib.org/en/publications/the-eib-in-the-circular-economy-guide</w:t>
        </w:r>
      </w:hyperlink>
      <w:r w:rsidRPr="006E4310">
        <w:t xml:space="preserve"> </w:t>
      </w:r>
    </w:p>
  </w:footnote>
  <w:footnote w:id="63">
    <w:p w14:paraId="6951C2EB" w14:textId="4CABC9C1" w:rsidR="009B050A" w:rsidRPr="00755DE3" w:rsidRDefault="009B050A" w:rsidP="00CD6E54">
      <w:pPr>
        <w:pStyle w:val="SingleTxtG"/>
      </w:pPr>
      <w:r w:rsidRPr="00BD6BC3">
        <w:rPr>
          <w:rStyle w:val="FootnoteReference"/>
        </w:rPr>
        <w:footnoteRef/>
      </w:r>
      <w:r w:rsidRPr="00BD6BC3">
        <w:t xml:space="preserve"> </w:t>
      </w:r>
      <w:r>
        <w:t xml:space="preserve">The findings, interpretations, and conclusions expressed in the </w:t>
      </w:r>
      <w:r w:rsidRPr="0068087A">
        <w:t>c</w:t>
      </w:r>
      <w:r>
        <w:t>ase studies</w:t>
      </w:r>
      <w:r w:rsidRPr="0068087A">
        <w:t xml:space="preserve"> </w:t>
      </w:r>
      <w:r>
        <w:t>in</w:t>
      </w:r>
      <w:r w:rsidRPr="0068087A">
        <w:t xml:space="preserve"> </w:t>
      </w:r>
      <w:r>
        <w:t>Annex 3</w:t>
      </w:r>
      <w:r w:rsidRPr="0068087A">
        <w:t xml:space="preserve"> do not necessarily reflect the views of the </w:t>
      </w:r>
      <w:r>
        <w:t>UNECE secretariat. Mention of company names or commercial products does not imply endorsement of the United Nations</w:t>
      </w:r>
      <w:r w:rsidR="006943CF">
        <w:t>.</w:t>
      </w:r>
    </w:p>
    <w:p w14:paraId="37564172" w14:textId="00AF8EF6" w:rsidR="009B050A" w:rsidRPr="00CD6E54" w:rsidRDefault="009B050A">
      <w:pPr>
        <w:pStyle w:val="FootnoteText"/>
      </w:pPr>
    </w:p>
  </w:footnote>
  <w:footnote w:id="64">
    <w:p w14:paraId="7E537503" w14:textId="2155309D" w:rsidR="009B050A" w:rsidRPr="00F5535E" w:rsidRDefault="009B050A" w:rsidP="003F0A49">
      <w:pPr>
        <w:pStyle w:val="FootnoteText"/>
      </w:pPr>
      <w:r>
        <w:tab/>
      </w:r>
      <w:r>
        <w:tab/>
      </w:r>
      <w:r>
        <w:rPr>
          <w:rStyle w:val="FootnoteReference"/>
        </w:rPr>
        <w:footnoteRef/>
      </w:r>
      <w:r>
        <w:t xml:space="preserve"> See online </w:t>
      </w:r>
      <w:hyperlink r:id="rId47" w:history="1">
        <w:r w:rsidRPr="00D82A09">
          <w:rPr>
            <w:rStyle w:val="Hyperlink"/>
          </w:rPr>
          <w:t>https://www.unhcr.org/news/briefing/2019/2/5c540fe74/worlds-biggest-refugee-settlement-gets-biggest-waste-facility.html</w:t>
        </w:r>
      </w:hyperlink>
      <w:r>
        <w:t xml:space="preserve"> </w:t>
      </w:r>
    </w:p>
  </w:footnote>
  <w:footnote w:id="65">
    <w:p w14:paraId="2C4CE844" w14:textId="3F298D8A" w:rsidR="009B050A" w:rsidRPr="00ED2FAD" w:rsidRDefault="009B050A" w:rsidP="00CD705A">
      <w:pPr>
        <w:pStyle w:val="FootnoteText"/>
      </w:pPr>
      <w:r>
        <w:tab/>
      </w:r>
      <w:r>
        <w:tab/>
      </w:r>
      <w:r>
        <w:rPr>
          <w:rStyle w:val="FootnoteReference"/>
        </w:rPr>
        <w:footnoteRef/>
      </w:r>
      <w:r>
        <w:t xml:space="preserve"> See online </w:t>
      </w:r>
      <w:hyperlink r:id="rId48" w:history="1">
        <w:r w:rsidRPr="00D82A09">
          <w:rPr>
            <w:rStyle w:val="Hyperlink"/>
          </w:rPr>
          <w:t>https://www.ebrd.com/work-with-us/procurement/pn-51281.html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D3E8" w14:textId="70D64882" w:rsidR="009B050A" w:rsidRDefault="009B050A" w:rsidP="00DF3BB8">
    <w:pPr>
      <w:pStyle w:val="Header"/>
    </w:pPr>
    <w:r>
      <w:t>ECE/CECI/WP/PPP/2020/5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9580" w14:textId="4C89B996" w:rsidR="009B050A" w:rsidRPr="00DF3BB8" w:rsidRDefault="009B050A" w:rsidP="00DF3BB8">
    <w:pPr>
      <w:pStyle w:val="Header"/>
      <w:jc w:val="right"/>
    </w:pPr>
    <w:r>
      <w:t>ECE/CECI/WP/PPP/2020/5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026"/>
    <w:multiLevelType w:val="hybridMultilevel"/>
    <w:tmpl w:val="6A6C2764"/>
    <w:lvl w:ilvl="0" w:tplc="A260B63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6C0D"/>
    <w:multiLevelType w:val="hybridMultilevel"/>
    <w:tmpl w:val="7250DD02"/>
    <w:lvl w:ilvl="0" w:tplc="587E55BC">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 w15:restartNumberingAfterBreak="0">
    <w:nsid w:val="04457D8B"/>
    <w:multiLevelType w:val="hybridMultilevel"/>
    <w:tmpl w:val="322AC52A"/>
    <w:lvl w:ilvl="0" w:tplc="E2B006CC">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BDD4FA6"/>
    <w:multiLevelType w:val="hybridMultilevel"/>
    <w:tmpl w:val="968C0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AA6A59"/>
    <w:multiLevelType w:val="hybridMultilevel"/>
    <w:tmpl w:val="5F12C49A"/>
    <w:lvl w:ilvl="0" w:tplc="08090001">
      <w:start w:val="1"/>
      <w:numFmt w:val="bullet"/>
      <w:lvlText w:val=""/>
      <w:lvlJc w:val="left"/>
      <w:pPr>
        <w:ind w:left="84" w:hanging="360"/>
      </w:pPr>
      <w:rPr>
        <w:rFonts w:ascii="Symbol" w:hAnsi="Symbol" w:hint="default"/>
      </w:rPr>
    </w:lvl>
    <w:lvl w:ilvl="1" w:tplc="08090003" w:tentative="1">
      <w:start w:val="1"/>
      <w:numFmt w:val="bullet"/>
      <w:lvlText w:val="o"/>
      <w:lvlJc w:val="left"/>
      <w:pPr>
        <w:ind w:left="804" w:hanging="360"/>
      </w:pPr>
      <w:rPr>
        <w:rFonts w:ascii="Courier New" w:hAnsi="Courier New" w:cs="Courier New" w:hint="default"/>
      </w:rPr>
    </w:lvl>
    <w:lvl w:ilvl="2" w:tplc="08090005" w:tentative="1">
      <w:start w:val="1"/>
      <w:numFmt w:val="bullet"/>
      <w:lvlText w:val=""/>
      <w:lvlJc w:val="left"/>
      <w:pPr>
        <w:ind w:left="1524" w:hanging="360"/>
      </w:pPr>
      <w:rPr>
        <w:rFonts w:ascii="Wingdings" w:hAnsi="Wingdings" w:hint="default"/>
      </w:rPr>
    </w:lvl>
    <w:lvl w:ilvl="3" w:tplc="08090001" w:tentative="1">
      <w:start w:val="1"/>
      <w:numFmt w:val="bullet"/>
      <w:lvlText w:val=""/>
      <w:lvlJc w:val="left"/>
      <w:pPr>
        <w:ind w:left="2244" w:hanging="360"/>
      </w:pPr>
      <w:rPr>
        <w:rFonts w:ascii="Symbol" w:hAnsi="Symbol" w:hint="default"/>
      </w:rPr>
    </w:lvl>
    <w:lvl w:ilvl="4" w:tplc="08090003" w:tentative="1">
      <w:start w:val="1"/>
      <w:numFmt w:val="bullet"/>
      <w:lvlText w:val="o"/>
      <w:lvlJc w:val="left"/>
      <w:pPr>
        <w:ind w:left="2964" w:hanging="360"/>
      </w:pPr>
      <w:rPr>
        <w:rFonts w:ascii="Courier New" w:hAnsi="Courier New" w:cs="Courier New" w:hint="default"/>
      </w:rPr>
    </w:lvl>
    <w:lvl w:ilvl="5" w:tplc="08090005" w:tentative="1">
      <w:start w:val="1"/>
      <w:numFmt w:val="bullet"/>
      <w:lvlText w:val=""/>
      <w:lvlJc w:val="left"/>
      <w:pPr>
        <w:ind w:left="3684" w:hanging="360"/>
      </w:pPr>
      <w:rPr>
        <w:rFonts w:ascii="Wingdings" w:hAnsi="Wingdings" w:hint="default"/>
      </w:rPr>
    </w:lvl>
    <w:lvl w:ilvl="6" w:tplc="08090001" w:tentative="1">
      <w:start w:val="1"/>
      <w:numFmt w:val="bullet"/>
      <w:lvlText w:val=""/>
      <w:lvlJc w:val="left"/>
      <w:pPr>
        <w:ind w:left="4404" w:hanging="360"/>
      </w:pPr>
      <w:rPr>
        <w:rFonts w:ascii="Symbol" w:hAnsi="Symbol" w:hint="default"/>
      </w:rPr>
    </w:lvl>
    <w:lvl w:ilvl="7" w:tplc="08090003" w:tentative="1">
      <w:start w:val="1"/>
      <w:numFmt w:val="bullet"/>
      <w:lvlText w:val="o"/>
      <w:lvlJc w:val="left"/>
      <w:pPr>
        <w:ind w:left="5124" w:hanging="360"/>
      </w:pPr>
      <w:rPr>
        <w:rFonts w:ascii="Courier New" w:hAnsi="Courier New" w:cs="Courier New" w:hint="default"/>
      </w:rPr>
    </w:lvl>
    <w:lvl w:ilvl="8" w:tplc="08090005" w:tentative="1">
      <w:start w:val="1"/>
      <w:numFmt w:val="bullet"/>
      <w:lvlText w:val=""/>
      <w:lvlJc w:val="left"/>
      <w:pPr>
        <w:ind w:left="5844" w:hanging="360"/>
      </w:pPr>
      <w:rPr>
        <w:rFonts w:ascii="Wingdings" w:hAnsi="Wingdings" w:hint="default"/>
      </w:rPr>
    </w:lvl>
  </w:abstractNum>
  <w:abstractNum w:abstractNumId="6" w15:restartNumberingAfterBreak="0">
    <w:nsid w:val="10083CC9"/>
    <w:multiLevelType w:val="hybridMultilevel"/>
    <w:tmpl w:val="E4A65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536296"/>
    <w:multiLevelType w:val="hybridMultilevel"/>
    <w:tmpl w:val="91A012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6DF1D50"/>
    <w:multiLevelType w:val="hybridMultilevel"/>
    <w:tmpl w:val="5F1ACE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78907EF"/>
    <w:multiLevelType w:val="hybridMultilevel"/>
    <w:tmpl w:val="6A6C2764"/>
    <w:lvl w:ilvl="0" w:tplc="A260B63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70C50"/>
    <w:multiLevelType w:val="hybridMultilevel"/>
    <w:tmpl w:val="1960E2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F6F0A4B"/>
    <w:multiLevelType w:val="hybridMultilevel"/>
    <w:tmpl w:val="2C22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069E0"/>
    <w:multiLevelType w:val="hybridMultilevel"/>
    <w:tmpl w:val="F3A237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3C4425E"/>
    <w:multiLevelType w:val="hybridMultilevel"/>
    <w:tmpl w:val="8B5CAB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47259CB"/>
    <w:multiLevelType w:val="hybridMultilevel"/>
    <w:tmpl w:val="F6748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313F40"/>
    <w:multiLevelType w:val="hybridMultilevel"/>
    <w:tmpl w:val="55CCD9A0"/>
    <w:lvl w:ilvl="0" w:tplc="08090011">
      <w:start w:val="1"/>
      <w:numFmt w:val="decimal"/>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72F513F"/>
    <w:multiLevelType w:val="hybridMultilevel"/>
    <w:tmpl w:val="6ECCF8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77841FB"/>
    <w:multiLevelType w:val="hybridMultilevel"/>
    <w:tmpl w:val="50C03630"/>
    <w:lvl w:ilvl="0" w:tplc="08090011">
      <w:start w:val="1"/>
      <w:numFmt w:val="decimal"/>
      <w:lvlText w:val="%1)"/>
      <w:lvlJc w:val="left"/>
      <w:pPr>
        <w:ind w:left="1854" w:hanging="360"/>
      </w:pPr>
    </w:lvl>
    <w:lvl w:ilvl="1" w:tplc="08090011">
      <w:start w:val="1"/>
      <w:numFmt w:val="decimal"/>
      <w:lvlText w:val="%2)"/>
      <w:lvlJc w:val="left"/>
      <w:pPr>
        <w:ind w:left="2574" w:hanging="360"/>
      </w:pPr>
    </w:lvl>
    <w:lvl w:ilvl="2" w:tplc="2AAA2096">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83203F6"/>
    <w:multiLevelType w:val="hybridMultilevel"/>
    <w:tmpl w:val="B99E9C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B6A1012"/>
    <w:multiLevelType w:val="hybridMultilevel"/>
    <w:tmpl w:val="80E67BF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0" w15:restartNumberingAfterBreak="0">
    <w:nsid w:val="428A73D7"/>
    <w:multiLevelType w:val="hybridMultilevel"/>
    <w:tmpl w:val="6A6C2764"/>
    <w:lvl w:ilvl="0" w:tplc="A260B63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2139C"/>
    <w:multiLevelType w:val="hybridMultilevel"/>
    <w:tmpl w:val="CD58663C"/>
    <w:lvl w:ilvl="0" w:tplc="A260B632">
      <w:start w:val="1"/>
      <w:numFmt w:val="upperLetter"/>
      <w:lvlText w:val="%1."/>
      <w:lvlJc w:val="left"/>
      <w:pPr>
        <w:ind w:left="1215" w:hanging="855"/>
      </w:pPr>
      <w:rPr>
        <w:rFonts w:hint="default"/>
      </w:rPr>
    </w:lvl>
    <w:lvl w:ilvl="1" w:tplc="8B0276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2121C8"/>
    <w:multiLevelType w:val="hybridMultilevel"/>
    <w:tmpl w:val="8A4047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38D0B06"/>
    <w:multiLevelType w:val="hybridMultilevel"/>
    <w:tmpl w:val="DAA0EC68"/>
    <w:lvl w:ilvl="0" w:tplc="DBB09D5E">
      <w:start w:val="1"/>
      <w:numFmt w:val="decimal"/>
      <w:pStyle w:val="H23G"/>
      <w:lvlText w:val="%1."/>
      <w:lvlJc w:val="left"/>
      <w:pPr>
        <w:ind w:left="1215" w:hanging="855"/>
      </w:pPr>
      <w:rPr>
        <w:rFonts w:hint="default"/>
      </w:rPr>
    </w:lvl>
    <w:lvl w:ilvl="1" w:tplc="9092B6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71207"/>
    <w:multiLevelType w:val="hybridMultilevel"/>
    <w:tmpl w:val="6060DADC"/>
    <w:lvl w:ilvl="0" w:tplc="F4C6059A">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5" w15:restartNumberingAfterBreak="0">
    <w:nsid w:val="564E26A0"/>
    <w:multiLevelType w:val="hybridMultilevel"/>
    <w:tmpl w:val="E29E55E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6" w15:restartNumberingAfterBreak="0">
    <w:nsid w:val="591A1483"/>
    <w:multiLevelType w:val="hybridMultilevel"/>
    <w:tmpl w:val="BC4410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597B03DC"/>
    <w:multiLevelType w:val="hybridMultilevel"/>
    <w:tmpl w:val="9976DEC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8" w15:restartNumberingAfterBreak="0">
    <w:nsid w:val="5A0C5ABC"/>
    <w:multiLevelType w:val="hybridMultilevel"/>
    <w:tmpl w:val="6316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7279D"/>
    <w:multiLevelType w:val="hybridMultilevel"/>
    <w:tmpl w:val="07E63E2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45BB3"/>
    <w:multiLevelType w:val="hybridMultilevel"/>
    <w:tmpl w:val="4072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E0C75"/>
    <w:multiLevelType w:val="hybridMultilevel"/>
    <w:tmpl w:val="2CD8B2E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4" w15:restartNumberingAfterBreak="0">
    <w:nsid w:val="7D8C3FA2"/>
    <w:multiLevelType w:val="hybridMultilevel"/>
    <w:tmpl w:val="EB444E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F5E19BE"/>
    <w:multiLevelType w:val="hybridMultilevel"/>
    <w:tmpl w:val="AF142A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0"/>
  </w:num>
  <w:num w:numId="2">
    <w:abstractNumId w:val="32"/>
  </w:num>
  <w:num w:numId="3">
    <w:abstractNumId w:val="4"/>
  </w:num>
  <w:num w:numId="4">
    <w:abstractNumId w:val="10"/>
  </w:num>
  <w:num w:numId="5">
    <w:abstractNumId w:val="12"/>
  </w:num>
  <w:num w:numId="6">
    <w:abstractNumId w:val="18"/>
  </w:num>
  <w:num w:numId="7">
    <w:abstractNumId w:val="23"/>
  </w:num>
  <w:num w:numId="8">
    <w:abstractNumId w:val="20"/>
    <w:lvlOverride w:ilvl="0">
      <w:startOverride w:val="1"/>
    </w:lvlOverride>
  </w:num>
  <w:num w:numId="9">
    <w:abstractNumId w:val="21"/>
  </w:num>
  <w:num w:numId="10">
    <w:abstractNumId w:val="0"/>
  </w:num>
  <w:num w:numId="11">
    <w:abstractNumId w:val="29"/>
  </w:num>
  <w:num w:numId="12">
    <w:abstractNumId w:val="2"/>
  </w:num>
  <w:num w:numId="13">
    <w:abstractNumId w:val="22"/>
  </w:num>
  <w:num w:numId="14">
    <w:abstractNumId w:val="7"/>
  </w:num>
  <w:num w:numId="15">
    <w:abstractNumId w:val="34"/>
  </w:num>
  <w:num w:numId="16">
    <w:abstractNumId w:val="26"/>
  </w:num>
  <w:num w:numId="17">
    <w:abstractNumId w:val="13"/>
  </w:num>
  <w:num w:numId="18">
    <w:abstractNumId w:val="8"/>
  </w:num>
  <w:num w:numId="19">
    <w:abstractNumId w:val="35"/>
  </w:num>
  <w:num w:numId="20">
    <w:abstractNumId w:val="17"/>
  </w:num>
  <w:num w:numId="21">
    <w:abstractNumId w:val="6"/>
  </w:num>
  <w:num w:numId="22">
    <w:abstractNumId w:val="14"/>
  </w:num>
  <w:num w:numId="23">
    <w:abstractNumId w:val="5"/>
  </w:num>
  <w:num w:numId="24">
    <w:abstractNumId w:val="33"/>
  </w:num>
  <w:num w:numId="25">
    <w:abstractNumId w:val="23"/>
    <w:lvlOverride w:ilvl="0">
      <w:startOverride w:val="1"/>
    </w:lvlOverride>
  </w:num>
  <w:num w:numId="26">
    <w:abstractNumId w:val="24"/>
  </w:num>
  <w:num w:numId="27">
    <w:abstractNumId w:val="1"/>
  </w:num>
  <w:num w:numId="28">
    <w:abstractNumId w:val="15"/>
  </w:num>
  <w:num w:numId="29">
    <w:abstractNumId w:val="16"/>
  </w:num>
  <w:num w:numId="30">
    <w:abstractNumId w:val="27"/>
  </w:num>
  <w:num w:numId="31">
    <w:abstractNumId w:val="25"/>
  </w:num>
  <w:num w:numId="32">
    <w:abstractNumId w:val="3"/>
  </w:num>
  <w:num w:numId="33">
    <w:abstractNumId w:val="31"/>
  </w:num>
  <w:num w:numId="34">
    <w:abstractNumId w:val="28"/>
  </w:num>
  <w:num w:numId="35">
    <w:abstractNumId w:val="19"/>
  </w:num>
  <w:num w:numId="36">
    <w:abstractNumId w:val="11"/>
  </w:num>
  <w:num w:numId="37">
    <w:abstractNumId w:val="9"/>
  </w:num>
  <w:num w:numId="3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B8"/>
    <w:rsid w:val="00000C43"/>
    <w:rsid w:val="0000108F"/>
    <w:rsid w:val="00002A7D"/>
    <w:rsid w:val="00002AB1"/>
    <w:rsid w:val="00003011"/>
    <w:rsid w:val="00003753"/>
    <w:rsid w:val="000038A8"/>
    <w:rsid w:val="00004969"/>
    <w:rsid w:val="00004A87"/>
    <w:rsid w:val="00004E5D"/>
    <w:rsid w:val="00005D3D"/>
    <w:rsid w:val="00006790"/>
    <w:rsid w:val="0000683A"/>
    <w:rsid w:val="00006A6A"/>
    <w:rsid w:val="000076CD"/>
    <w:rsid w:val="00010291"/>
    <w:rsid w:val="000114C0"/>
    <w:rsid w:val="0001215E"/>
    <w:rsid w:val="00012256"/>
    <w:rsid w:val="0001251D"/>
    <w:rsid w:val="000129BE"/>
    <w:rsid w:val="00013B54"/>
    <w:rsid w:val="00014A13"/>
    <w:rsid w:val="000159D1"/>
    <w:rsid w:val="0001607B"/>
    <w:rsid w:val="00017D6B"/>
    <w:rsid w:val="00017DC1"/>
    <w:rsid w:val="00020119"/>
    <w:rsid w:val="00020481"/>
    <w:rsid w:val="00020490"/>
    <w:rsid w:val="000207F0"/>
    <w:rsid w:val="00020AEE"/>
    <w:rsid w:val="000211BF"/>
    <w:rsid w:val="00021A91"/>
    <w:rsid w:val="00024BB0"/>
    <w:rsid w:val="000251F6"/>
    <w:rsid w:val="00026799"/>
    <w:rsid w:val="00026CA0"/>
    <w:rsid w:val="00027294"/>
    <w:rsid w:val="00027624"/>
    <w:rsid w:val="00031ABF"/>
    <w:rsid w:val="00031C3C"/>
    <w:rsid w:val="00031FB7"/>
    <w:rsid w:val="000339A5"/>
    <w:rsid w:val="00035BB3"/>
    <w:rsid w:val="00035C50"/>
    <w:rsid w:val="00036D66"/>
    <w:rsid w:val="00036EB3"/>
    <w:rsid w:val="00040DFE"/>
    <w:rsid w:val="00040F89"/>
    <w:rsid w:val="00041D3C"/>
    <w:rsid w:val="000424CE"/>
    <w:rsid w:val="000426E9"/>
    <w:rsid w:val="00044323"/>
    <w:rsid w:val="00044621"/>
    <w:rsid w:val="000447D4"/>
    <w:rsid w:val="0004562E"/>
    <w:rsid w:val="000460DD"/>
    <w:rsid w:val="00050F6B"/>
    <w:rsid w:val="000512C3"/>
    <w:rsid w:val="00051D92"/>
    <w:rsid w:val="00051ED6"/>
    <w:rsid w:val="00053402"/>
    <w:rsid w:val="0005367B"/>
    <w:rsid w:val="00053B13"/>
    <w:rsid w:val="00054B0B"/>
    <w:rsid w:val="00054C67"/>
    <w:rsid w:val="0005513D"/>
    <w:rsid w:val="00057399"/>
    <w:rsid w:val="0005760C"/>
    <w:rsid w:val="00057926"/>
    <w:rsid w:val="00061963"/>
    <w:rsid w:val="00061ADD"/>
    <w:rsid w:val="00061FAE"/>
    <w:rsid w:val="00062BCC"/>
    <w:rsid w:val="00062DE7"/>
    <w:rsid w:val="00064794"/>
    <w:rsid w:val="00066F84"/>
    <w:rsid w:val="0006707A"/>
    <w:rsid w:val="00067243"/>
    <w:rsid w:val="000678CD"/>
    <w:rsid w:val="0007047A"/>
    <w:rsid w:val="000705C2"/>
    <w:rsid w:val="000707BD"/>
    <w:rsid w:val="00070EB5"/>
    <w:rsid w:val="00072359"/>
    <w:rsid w:val="00072C8C"/>
    <w:rsid w:val="00072EA4"/>
    <w:rsid w:val="0007302C"/>
    <w:rsid w:val="00073456"/>
    <w:rsid w:val="00073C56"/>
    <w:rsid w:val="00074593"/>
    <w:rsid w:val="00076053"/>
    <w:rsid w:val="000761AA"/>
    <w:rsid w:val="0007629B"/>
    <w:rsid w:val="000765B2"/>
    <w:rsid w:val="00077597"/>
    <w:rsid w:val="00080A6B"/>
    <w:rsid w:val="00081BE6"/>
    <w:rsid w:val="00081CE0"/>
    <w:rsid w:val="00081CF1"/>
    <w:rsid w:val="0008208A"/>
    <w:rsid w:val="00083D24"/>
    <w:rsid w:val="0008443E"/>
    <w:rsid w:val="00084D30"/>
    <w:rsid w:val="00086EED"/>
    <w:rsid w:val="000872DA"/>
    <w:rsid w:val="00087437"/>
    <w:rsid w:val="00087677"/>
    <w:rsid w:val="0008771B"/>
    <w:rsid w:val="00087E7D"/>
    <w:rsid w:val="000902CD"/>
    <w:rsid w:val="00090320"/>
    <w:rsid w:val="000927E6"/>
    <w:rsid w:val="000931C0"/>
    <w:rsid w:val="00093370"/>
    <w:rsid w:val="00093516"/>
    <w:rsid w:val="00095304"/>
    <w:rsid w:val="00095688"/>
    <w:rsid w:val="000956EE"/>
    <w:rsid w:val="00095906"/>
    <w:rsid w:val="00095B66"/>
    <w:rsid w:val="0009677D"/>
    <w:rsid w:val="0009782B"/>
    <w:rsid w:val="000A0ECD"/>
    <w:rsid w:val="000A2E09"/>
    <w:rsid w:val="000A4C53"/>
    <w:rsid w:val="000A5EDD"/>
    <w:rsid w:val="000A64E9"/>
    <w:rsid w:val="000A69A3"/>
    <w:rsid w:val="000A6BB2"/>
    <w:rsid w:val="000A7B49"/>
    <w:rsid w:val="000A7E7E"/>
    <w:rsid w:val="000B00A6"/>
    <w:rsid w:val="000B00CF"/>
    <w:rsid w:val="000B0265"/>
    <w:rsid w:val="000B06B1"/>
    <w:rsid w:val="000B113E"/>
    <w:rsid w:val="000B175B"/>
    <w:rsid w:val="000B29ED"/>
    <w:rsid w:val="000B3300"/>
    <w:rsid w:val="000B3A0F"/>
    <w:rsid w:val="000B4AC5"/>
    <w:rsid w:val="000B5026"/>
    <w:rsid w:val="000B6091"/>
    <w:rsid w:val="000B6B51"/>
    <w:rsid w:val="000B72FA"/>
    <w:rsid w:val="000C0D6E"/>
    <w:rsid w:val="000C0D7E"/>
    <w:rsid w:val="000C1083"/>
    <w:rsid w:val="000C201E"/>
    <w:rsid w:val="000C2483"/>
    <w:rsid w:val="000C3444"/>
    <w:rsid w:val="000C3D82"/>
    <w:rsid w:val="000C6CBB"/>
    <w:rsid w:val="000D1FF2"/>
    <w:rsid w:val="000D36D9"/>
    <w:rsid w:val="000D4648"/>
    <w:rsid w:val="000D515E"/>
    <w:rsid w:val="000D66CD"/>
    <w:rsid w:val="000D66F5"/>
    <w:rsid w:val="000D6BE4"/>
    <w:rsid w:val="000D77B8"/>
    <w:rsid w:val="000D7AE9"/>
    <w:rsid w:val="000E0415"/>
    <w:rsid w:val="000E0650"/>
    <w:rsid w:val="000E0B32"/>
    <w:rsid w:val="000E19E7"/>
    <w:rsid w:val="000E1DE1"/>
    <w:rsid w:val="000E1FA8"/>
    <w:rsid w:val="000E2AC8"/>
    <w:rsid w:val="000E3278"/>
    <w:rsid w:val="000E362C"/>
    <w:rsid w:val="000E499D"/>
    <w:rsid w:val="000E4E71"/>
    <w:rsid w:val="000E5FD6"/>
    <w:rsid w:val="000E7363"/>
    <w:rsid w:val="000F05E0"/>
    <w:rsid w:val="000F0A53"/>
    <w:rsid w:val="000F1B6C"/>
    <w:rsid w:val="000F22AB"/>
    <w:rsid w:val="000F257D"/>
    <w:rsid w:val="000F2C74"/>
    <w:rsid w:val="000F337A"/>
    <w:rsid w:val="000F3919"/>
    <w:rsid w:val="000F3DCC"/>
    <w:rsid w:val="000F3EEC"/>
    <w:rsid w:val="000F5C0C"/>
    <w:rsid w:val="000F6775"/>
    <w:rsid w:val="000F71F6"/>
    <w:rsid w:val="000F7715"/>
    <w:rsid w:val="000F7C01"/>
    <w:rsid w:val="00100A04"/>
    <w:rsid w:val="00102E2E"/>
    <w:rsid w:val="00102E4B"/>
    <w:rsid w:val="0010355D"/>
    <w:rsid w:val="0010414E"/>
    <w:rsid w:val="00106B08"/>
    <w:rsid w:val="00106DDB"/>
    <w:rsid w:val="0010707F"/>
    <w:rsid w:val="00107AFA"/>
    <w:rsid w:val="00107CBC"/>
    <w:rsid w:val="00107EA0"/>
    <w:rsid w:val="00107F7A"/>
    <w:rsid w:val="00111774"/>
    <w:rsid w:val="00111A2A"/>
    <w:rsid w:val="00111D63"/>
    <w:rsid w:val="00111E06"/>
    <w:rsid w:val="001121F9"/>
    <w:rsid w:val="0011255A"/>
    <w:rsid w:val="0011310E"/>
    <w:rsid w:val="00113702"/>
    <w:rsid w:val="001141D0"/>
    <w:rsid w:val="00114E49"/>
    <w:rsid w:val="00115B89"/>
    <w:rsid w:val="00117143"/>
    <w:rsid w:val="00117287"/>
    <w:rsid w:val="001207CC"/>
    <w:rsid w:val="0012159A"/>
    <w:rsid w:val="00121D81"/>
    <w:rsid w:val="00121FFD"/>
    <w:rsid w:val="001223F9"/>
    <w:rsid w:val="001239B7"/>
    <w:rsid w:val="00124AD3"/>
    <w:rsid w:val="00124AF8"/>
    <w:rsid w:val="0012507C"/>
    <w:rsid w:val="00125760"/>
    <w:rsid w:val="00125C95"/>
    <w:rsid w:val="00125F4A"/>
    <w:rsid w:val="001260A2"/>
    <w:rsid w:val="00126448"/>
    <w:rsid w:val="001304C8"/>
    <w:rsid w:val="00131276"/>
    <w:rsid w:val="001319BF"/>
    <w:rsid w:val="0013346E"/>
    <w:rsid w:val="001346BC"/>
    <w:rsid w:val="0013726D"/>
    <w:rsid w:val="001376DC"/>
    <w:rsid w:val="00137787"/>
    <w:rsid w:val="001400F0"/>
    <w:rsid w:val="00141C35"/>
    <w:rsid w:val="00142105"/>
    <w:rsid w:val="00142177"/>
    <w:rsid w:val="0014243A"/>
    <w:rsid w:val="00142820"/>
    <w:rsid w:val="001431AC"/>
    <w:rsid w:val="00144584"/>
    <w:rsid w:val="00147775"/>
    <w:rsid w:val="00147BE0"/>
    <w:rsid w:val="00151379"/>
    <w:rsid w:val="001514E9"/>
    <w:rsid w:val="00151B02"/>
    <w:rsid w:val="00151B6A"/>
    <w:rsid w:val="001522E8"/>
    <w:rsid w:val="001528F7"/>
    <w:rsid w:val="0015395A"/>
    <w:rsid w:val="00154BAE"/>
    <w:rsid w:val="00155188"/>
    <w:rsid w:val="001561E8"/>
    <w:rsid w:val="00156B99"/>
    <w:rsid w:val="00161047"/>
    <w:rsid w:val="001619F6"/>
    <w:rsid w:val="001624BC"/>
    <w:rsid w:val="001625E9"/>
    <w:rsid w:val="00163350"/>
    <w:rsid w:val="00163CAB"/>
    <w:rsid w:val="00163D81"/>
    <w:rsid w:val="001647F2"/>
    <w:rsid w:val="00164862"/>
    <w:rsid w:val="00164AFC"/>
    <w:rsid w:val="00164B64"/>
    <w:rsid w:val="00166061"/>
    <w:rsid w:val="00166124"/>
    <w:rsid w:val="00166633"/>
    <w:rsid w:val="00166958"/>
    <w:rsid w:val="00166E9B"/>
    <w:rsid w:val="00171FA7"/>
    <w:rsid w:val="001726FD"/>
    <w:rsid w:val="00172BBA"/>
    <w:rsid w:val="00172D04"/>
    <w:rsid w:val="00172DE9"/>
    <w:rsid w:val="00172E43"/>
    <w:rsid w:val="0017344B"/>
    <w:rsid w:val="00174464"/>
    <w:rsid w:val="0017479A"/>
    <w:rsid w:val="0017488E"/>
    <w:rsid w:val="00174A96"/>
    <w:rsid w:val="00174E5B"/>
    <w:rsid w:val="00175221"/>
    <w:rsid w:val="00176406"/>
    <w:rsid w:val="00177B12"/>
    <w:rsid w:val="00180F02"/>
    <w:rsid w:val="00181C8C"/>
    <w:rsid w:val="00182789"/>
    <w:rsid w:val="00183E82"/>
    <w:rsid w:val="001844F5"/>
    <w:rsid w:val="00184DDA"/>
    <w:rsid w:val="00184EB7"/>
    <w:rsid w:val="001852CF"/>
    <w:rsid w:val="00185320"/>
    <w:rsid w:val="0018588F"/>
    <w:rsid w:val="001859CB"/>
    <w:rsid w:val="001900CD"/>
    <w:rsid w:val="00190C93"/>
    <w:rsid w:val="00191B9C"/>
    <w:rsid w:val="001920AE"/>
    <w:rsid w:val="0019378A"/>
    <w:rsid w:val="00194806"/>
    <w:rsid w:val="00195860"/>
    <w:rsid w:val="00197C1B"/>
    <w:rsid w:val="001A0452"/>
    <w:rsid w:val="001A07F2"/>
    <w:rsid w:val="001A0FA0"/>
    <w:rsid w:val="001A1AD2"/>
    <w:rsid w:val="001A1F02"/>
    <w:rsid w:val="001A289C"/>
    <w:rsid w:val="001A2E77"/>
    <w:rsid w:val="001A31CB"/>
    <w:rsid w:val="001A4085"/>
    <w:rsid w:val="001A48A6"/>
    <w:rsid w:val="001A506A"/>
    <w:rsid w:val="001A51F1"/>
    <w:rsid w:val="001A55BA"/>
    <w:rsid w:val="001A58B1"/>
    <w:rsid w:val="001A6361"/>
    <w:rsid w:val="001A7C0D"/>
    <w:rsid w:val="001B01E9"/>
    <w:rsid w:val="001B0E9F"/>
    <w:rsid w:val="001B15ED"/>
    <w:rsid w:val="001B1BDF"/>
    <w:rsid w:val="001B2818"/>
    <w:rsid w:val="001B2E8D"/>
    <w:rsid w:val="001B3A53"/>
    <w:rsid w:val="001B3EEA"/>
    <w:rsid w:val="001B3F5F"/>
    <w:rsid w:val="001B48D7"/>
    <w:rsid w:val="001B4B04"/>
    <w:rsid w:val="001B4F04"/>
    <w:rsid w:val="001B5875"/>
    <w:rsid w:val="001B5F44"/>
    <w:rsid w:val="001B7378"/>
    <w:rsid w:val="001C0062"/>
    <w:rsid w:val="001C0ACD"/>
    <w:rsid w:val="001C0E75"/>
    <w:rsid w:val="001C12B6"/>
    <w:rsid w:val="001C1FCD"/>
    <w:rsid w:val="001C2495"/>
    <w:rsid w:val="001C2B9F"/>
    <w:rsid w:val="001C2D21"/>
    <w:rsid w:val="001C3890"/>
    <w:rsid w:val="001C3A6C"/>
    <w:rsid w:val="001C3F50"/>
    <w:rsid w:val="001C4B9C"/>
    <w:rsid w:val="001C4C0F"/>
    <w:rsid w:val="001C55D9"/>
    <w:rsid w:val="001C5875"/>
    <w:rsid w:val="001C59FB"/>
    <w:rsid w:val="001C6663"/>
    <w:rsid w:val="001C6FB6"/>
    <w:rsid w:val="001C7061"/>
    <w:rsid w:val="001C70CF"/>
    <w:rsid w:val="001C721B"/>
    <w:rsid w:val="001C77DA"/>
    <w:rsid w:val="001C7895"/>
    <w:rsid w:val="001C7FD8"/>
    <w:rsid w:val="001D094B"/>
    <w:rsid w:val="001D26DF"/>
    <w:rsid w:val="001D3E07"/>
    <w:rsid w:val="001D4E21"/>
    <w:rsid w:val="001D69EF"/>
    <w:rsid w:val="001E0D1A"/>
    <w:rsid w:val="001E1507"/>
    <w:rsid w:val="001E26EC"/>
    <w:rsid w:val="001E2BFD"/>
    <w:rsid w:val="001E2CCC"/>
    <w:rsid w:val="001E4755"/>
    <w:rsid w:val="001E49E6"/>
    <w:rsid w:val="001E51C0"/>
    <w:rsid w:val="001E624B"/>
    <w:rsid w:val="001E6F26"/>
    <w:rsid w:val="001E71AE"/>
    <w:rsid w:val="001F0131"/>
    <w:rsid w:val="001F0611"/>
    <w:rsid w:val="001F1599"/>
    <w:rsid w:val="001F19C4"/>
    <w:rsid w:val="001F27C3"/>
    <w:rsid w:val="001F2DE5"/>
    <w:rsid w:val="001F343D"/>
    <w:rsid w:val="001F3733"/>
    <w:rsid w:val="001F4895"/>
    <w:rsid w:val="001F4CF4"/>
    <w:rsid w:val="001F4DAA"/>
    <w:rsid w:val="001F536C"/>
    <w:rsid w:val="001F55E5"/>
    <w:rsid w:val="001F5BBD"/>
    <w:rsid w:val="001F6F58"/>
    <w:rsid w:val="001F7221"/>
    <w:rsid w:val="001F74D9"/>
    <w:rsid w:val="00200817"/>
    <w:rsid w:val="00201A16"/>
    <w:rsid w:val="0020310E"/>
    <w:rsid w:val="00203BF5"/>
    <w:rsid w:val="002043F0"/>
    <w:rsid w:val="0020463E"/>
    <w:rsid w:val="0020615F"/>
    <w:rsid w:val="002071C8"/>
    <w:rsid w:val="002117B1"/>
    <w:rsid w:val="00211E0B"/>
    <w:rsid w:val="002120D5"/>
    <w:rsid w:val="00212F12"/>
    <w:rsid w:val="00213150"/>
    <w:rsid w:val="00214488"/>
    <w:rsid w:val="002158B8"/>
    <w:rsid w:val="0021632F"/>
    <w:rsid w:val="00217006"/>
    <w:rsid w:val="00220298"/>
    <w:rsid w:val="0022277B"/>
    <w:rsid w:val="00222D1C"/>
    <w:rsid w:val="002234EA"/>
    <w:rsid w:val="0022376E"/>
    <w:rsid w:val="00224116"/>
    <w:rsid w:val="00226D85"/>
    <w:rsid w:val="00227245"/>
    <w:rsid w:val="00227506"/>
    <w:rsid w:val="00230F05"/>
    <w:rsid w:val="00232159"/>
    <w:rsid w:val="00232575"/>
    <w:rsid w:val="002331C6"/>
    <w:rsid w:val="00233ED6"/>
    <w:rsid w:val="002341D8"/>
    <w:rsid w:val="0023480D"/>
    <w:rsid w:val="00235893"/>
    <w:rsid w:val="00235EBB"/>
    <w:rsid w:val="0023697E"/>
    <w:rsid w:val="00237183"/>
    <w:rsid w:val="00237548"/>
    <w:rsid w:val="0024065D"/>
    <w:rsid w:val="00240DCA"/>
    <w:rsid w:val="0024248A"/>
    <w:rsid w:val="002424A7"/>
    <w:rsid w:val="00242FBB"/>
    <w:rsid w:val="00243D5D"/>
    <w:rsid w:val="00244C51"/>
    <w:rsid w:val="00245222"/>
    <w:rsid w:val="0024546B"/>
    <w:rsid w:val="0024567D"/>
    <w:rsid w:val="00245DFE"/>
    <w:rsid w:val="002470CD"/>
    <w:rsid w:val="00247258"/>
    <w:rsid w:val="0024747B"/>
    <w:rsid w:val="0025016F"/>
    <w:rsid w:val="00250808"/>
    <w:rsid w:val="00251836"/>
    <w:rsid w:val="00252C3F"/>
    <w:rsid w:val="00255EBE"/>
    <w:rsid w:val="00257CAC"/>
    <w:rsid w:val="0026059D"/>
    <w:rsid w:val="00262F24"/>
    <w:rsid w:val="0026326F"/>
    <w:rsid w:val="0026486B"/>
    <w:rsid w:val="00264C2E"/>
    <w:rsid w:val="00264D89"/>
    <w:rsid w:val="002654AD"/>
    <w:rsid w:val="00266D59"/>
    <w:rsid w:val="00266FAF"/>
    <w:rsid w:val="00267100"/>
    <w:rsid w:val="00270478"/>
    <w:rsid w:val="00271531"/>
    <w:rsid w:val="00271799"/>
    <w:rsid w:val="0027183D"/>
    <w:rsid w:val="0027237A"/>
    <w:rsid w:val="0027288F"/>
    <w:rsid w:val="00273934"/>
    <w:rsid w:val="00274AAC"/>
    <w:rsid w:val="002758FF"/>
    <w:rsid w:val="00277821"/>
    <w:rsid w:val="00277D17"/>
    <w:rsid w:val="00280340"/>
    <w:rsid w:val="00281A8B"/>
    <w:rsid w:val="00283DA3"/>
    <w:rsid w:val="00284228"/>
    <w:rsid w:val="002843C2"/>
    <w:rsid w:val="00284982"/>
    <w:rsid w:val="00284D2B"/>
    <w:rsid w:val="002854AF"/>
    <w:rsid w:val="0028694F"/>
    <w:rsid w:val="00287C47"/>
    <w:rsid w:val="002903DA"/>
    <w:rsid w:val="00290D67"/>
    <w:rsid w:val="00290E28"/>
    <w:rsid w:val="00291606"/>
    <w:rsid w:val="00293083"/>
    <w:rsid w:val="00293E6D"/>
    <w:rsid w:val="00296087"/>
    <w:rsid w:val="0029639D"/>
    <w:rsid w:val="002974E9"/>
    <w:rsid w:val="002A1735"/>
    <w:rsid w:val="002A1AF6"/>
    <w:rsid w:val="002A1E28"/>
    <w:rsid w:val="002A5B62"/>
    <w:rsid w:val="002A6361"/>
    <w:rsid w:val="002A64FD"/>
    <w:rsid w:val="002A7F94"/>
    <w:rsid w:val="002A7FE7"/>
    <w:rsid w:val="002B109A"/>
    <w:rsid w:val="002B18B0"/>
    <w:rsid w:val="002B1D5F"/>
    <w:rsid w:val="002B3801"/>
    <w:rsid w:val="002B3884"/>
    <w:rsid w:val="002B3BAB"/>
    <w:rsid w:val="002B582B"/>
    <w:rsid w:val="002B6907"/>
    <w:rsid w:val="002B6C69"/>
    <w:rsid w:val="002B7404"/>
    <w:rsid w:val="002B7704"/>
    <w:rsid w:val="002B7885"/>
    <w:rsid w:val="002B7C1F"/>
    <w:rsid w:val="002B7C50"/>
    <w:rsid w:val="002C09F5"/>
    <w:rsid w:val="002C0C86"/>
    <w:rsid w:val="002C10C5"/>
    <w:rsid w:val="002C1D2B"/>
    <w:rsid w:val="002C2628"/>
    <w:rsid w:val="002C336B"/>
    <w:rsid w:val="002C364A"/>
    <w:rsid w:val="002C40B5"/>
    <w:rsid w:val="002C4423"/>
    <w:rsid w:val="002C47C2"/>
    <w:rsid w:val="002C48E0"/>
    <w:rsid w:val="002C51DF"/>
    <w:rsid w:val="002C55C0"/>
    <w:rsid w:val="002C56C7"/>
    <w:rsid w:val="002C5DD6"/>
    <w:rsid w:val="002C5F61"/>
    <w:rsid w:val="002C6009"/>
    <w:rsid w:val="002C6B23"/>
    <w:rsid w:val="002C6D45"/>
    <w:rsid w:val="002C6E9E"/>
    <w:rsid w:val="002C77DF"/>
    <w:rsid w:val="002D10CA"/>
    <w:rsid w:val="002D20C8"/>
    <w:rsid w:val="002D21F4"/>
    <w:rsid w:val="002D3C0B"/>
    <w:rsid w:val="002D52CF"/>
    <w:rsid w:val="002D6D6A"/>
    <w:rsid w:val="002D6E53"/>
    <w:rsid w:val="002D7A49"/>
    <w:rsid w:val="002D7B66"/>
    <w:rsid w:val="002E5667"/>
    <w:rsid w:val="002E5926"/>
    <w:rsid w:val="002E7F83"/>
    <w:rsid w:val="002F046D"/>
    <w:rsid w:val="002F0A95"/>
    <w:rsid w:val="002F1333"/>
    <w:rsid w:val="002F20A0"/>
    <w:rsid w:val="002F20EE"/>
    <w:rsid w:val="002F242D"/>
    <w:rsid w:val="002F2BFF"/>
    <w:rsid w:val="002F3023"/>
    <w:rsid w:val="002F3847"/>
    <w:rsid w:val="002F59FD"/>
    <w:rsid w:val="002F6281"/>
    <w:rsid w:val="002F6DDD"/>
    <w:rsid w:val="002F713A"/>
    <w:rsid w:val="002F74CF"/>
    <w:rsid w:val="002F7F87"/>
    <w:rsid w:val="00301261"/>
    <w:rsid w:val="00301764"/>
    <w:rsid w:val="00301A64"/>
    <w:rsid w:val="00302552"/>
    <w:rsid w:val="0030410E"/>
    <w:rsid w:val="00305ED3"/>
    <w:rsid w:val="003064F0"/>
    <w:rsid w:val="00306EE0"/>
    <w:rsid w:val="00307E30"/>
    <w:rsid w:val="003100FC"/>
    <w:rsid w:val="003116F1"/>
    <w:rsid w:val="003119F3"/>
    <w:rsid w:val="00311FE6"/>
    <w:rsid w:val="003125A9"/>
    <w:rsid w:val="00314073"/>
    <w:rsid w:val="003143EA"/>
    <w:rsid w:val="00314FE8"/>
    <w:rsid w:val="0031724E"/>
    <w:rsid w:val="00317390"/>
    <w:rsid w:val="00317CA1"/>
    <w:rsid w:val="003200D2"/>
    <w:rsid w:val="003201C8"/>
    <w:rsid w:val="00320B5E"/>
    <w:rsid w:val="00321FC7"/>
    <w:rsid w:val="003229D8"/>
    <w:rsid w:val="00323C72"/>
    <w:rsid w:val="003251B2"/>
    <w:rsid w:val="003257F4"/>
    <w:rsid w:val="00326349"/>
    <w:rsid w:val="003267BB"/>
    <w:rsid w:val="00333CBB"/>
    <w:rsid w:val="003359D6"/>
    <w:rsid w:val="00335E21"/>
    <w:rsid w:val="00336C97"/>
    <w:rsid w:val="00336FDC"/>
    <w:rsid w:val="00337410"/>
    <w:rsid w:val="00337629"/>
    <w:rsid w:val="00337719"/>
    <w:rsid w:val="00337F88"/>
    <w:rsid w:val="003402BE"/>
    <w:rsid w:val="00340521"/>
    <w:rsid w:val="003423FC"/>
    <w:rsid w:val="00342432"/>
    <w:rsid w:val="00343412"/>
    <w:rsid w:val="00346172"/>
    <w:rsid w:val="003464A0"/>
    <w:rsid w:val="0034712F"/>
    <w:rsid w:val="003502DC"/>
    <w:rsid w:val="003520C6"/>
    <w:rsid w:val="0035223F"/>
    <w:rsid w:val="00352858"/>
    <w:rsid w:val="00352D4B"/>
    <w:rsid w:val="00352D62"/>
    <w:rsid w:val="00352FDC"/>
    <w:rsid w:val="00353DDD"/>
    <w:rsid w:val="00355D8F"/>
    <w:rsid w:val="003560D2"/>
    <w:rsid w:val="0035638C"/>
    <w:rsid w:val="00356A24"/>
    <w:rsid w:val="003572A2"/>
    <w:rsid w:val="00357961"/>
    <w:rsid w:val="003616C0"/>
    <w:rsid w:val="00361A86"/>
    <w:rsid w:val="003620A8"/>
    <w:rsid w:val="00362226"/>
    <w:rsid w:val="00364FA0"/>
    <w:rsid w:val="00365921"/>
    <w:rsid w:val="00366E9F"/>
    <w:rsid w:val="00366FFC"/>
    <w:rsid w:val="00367298"/>
    <w:rsid w:val="00370370"/>
    <w:rsid w:val="0037278E"/>
    <w:rsid w:val="00374172"/>
    <w:rsid w:val="0037651D"/>
    <w:rsid w:val="00376621"/>
    <w:rsid w:val="00381824"/>
    <w:rsid w:val="00381859"/>
    <w:rsid w:val="00381AFE"/>
    <w:rsid w:val="0038291E"/>
    <w:rsid w:val="00383C6C"/>
    <w:rsid w:val="00385A56"/>
    <w:rsid w:val="00385F58"/>
    <w:rsid w:val="003865A5"/>
    <w:rsid w:val="003868AD"/>
    <w:rsid w:val="0038791B"/>
    <w:rsid w:val="00391507"/>
    <w:rsid w:val="0039159B"/>
    <w:rsid w:val="003923C8"/>
    <w:rsid w:val="00393EC9"/>
    <w:rsid w:val="003940AF"/>
    <w:rsid w:val="003A0224"/>
    <w:rsid w:val="003A0244"/>
    <w:rsid w:val="003A082B"/>
    <w:rsid w:val="003A0ECA"/>
    <w:rsid w:val="003A2DC3"/>
    <w:rsid w:val="003A3081"/>
    <w:rsid w:val="003A3828"/>
    <w:rsid w:val="003A38AD"/>
    <w:rsid w:val="003A3947"/>
    <w:rsid w:val="003A46BB"/>
    <w:rsid w:val="003A4EC7"/>
    <w:rsid w:val="003A571B"/>
    <w:rsid w:val="003A5C97"/>
    <w:rsid w:val="003A68AD"/>
    <w:rsid w:val="003A7295"/>
    <w:rsid w:val="003B0106"/>
    <w:rsid w:val="003B0131"/>
    <w:rsid w:val="003B0177"/>
    <w:rsid w:val="003B1C39"/>
    <w:rsid w:val="003B1F60"/>
    <w:rsid w:val="003B3781"/>
    <w:rsid w:val="003B449D"/>
    <w:rsid w:val="003B4C16"/>
    <w:rsid w:val="003B5B54"/>
    <w:rsid w:val="003C0B32"/>
    <w:rsid w:val="003C26DD"/>
    <w:rsid w:val="003C27DD"/>
    <w:rsid w:val="003C27DF"/>
    <w:rsid w:val="003C2AF7"/>
    <w:rsid w:val="003C2CC4"/>
    <w:rsid w:val="003C3232"/>
    <w:rsid w:val="003C6364"/>
    <w:rsid w:val="003D1036"/>
    <w:rsid w:val="003D10AC"/>
    <w:rsid w:val="003D1315"/>
    <w:rsid w:val="003D1B21"/>
    <w:rsid w:val="003D2CE0"/>
    <w:rsid w:val="003D30DD"/>
    <w:rsid w:val="003D325A"/>
    <w:rsid w:val="003D4B23"/>
    <w:rsid w:val="003D538E"/>
    <w:rsid w:val="003D6834"/>
    <w:rsid w:val="003D7BC9"/>
    <w:rsid w:val="003E0558"/>
    <w:rsid w:val="003E278A"/>
    <w:rsid w:val="003E2988"/>
    <w:rsid w:val="003E5267"/>
    <w:rsid w:val="003E7456"/>
    <w:rsid w:val="003F05C2"/>
    <w:rsid w:val="003F0A49"/>
    <w:rsid w:val="003F0DE6"/>
    <w:rsid w:val="003F4135"/>
    <w:rsid w:val="003F42E0"/>
    <w:rsid w:val="003F437C"/>
    <w:rsid w:val="003F484D"/>
    <w:rsid w:val="003F5718"/>
    <w:rsid w:val="003F7691"/>
    <w:rsid w:val="003F7D9D"/>
    <w:rsid w:val="004004BC"/>
    <w:rsid w:val="00402896"/>
    <w:rsid w:val="00404327"/>
    <w:rsid w:val="004046B6"/>
    <w:rsid w:val="00404B3C"/>
    <w:rsid w:val="00405508"/>
    <w:rsid w:val="004057DE"/>
    <w:rsid w:val="00405972"/>
    <w:rsid w:val="00406ABA"/>
    <w:rsid w:val="004132D4"/>
    <w:rsid w:val="00413520"/>
    <w:rsid w:val="00414742"/>
    <w:rsid w:val="0041560A"/>
    <w:rsid w:val="00417BFC"/>
    <w:rsid w:val="00420C96"/>
    <w:rsid w:val="004231AE"/>
    <w:rsid w:val="004241EA"/>
    <w:rsid w:val="0042516F"/>
    <w:rsid w:val="004256E9"/>
    <w:rsid w:val="00426018"/>
    <w:rsid w:val="004266E8"/>
    <w:rsid w:val="004269B1"/>
    <w:rsid w:val="00427063"/>
    <w:rsid w:val="00427323"/>
    <w:rsid w:val="004279FF"/>
    <w:rsid w:val="004306B4"/>
    <w:rsid w:val="00430B5B"/>
    <w:rsid w:val="004325CB"/>
    <w:rsid w:val="00432E70"/>
    <w:rsid w:val="00432FB1"/>
    <w:rsid w:val="00433FD5"/>
    <w:rsid w:val="00436257"/>
    <w:rsid w:val="004363E3"/>
    <w:rsid w:val="00437D98"/>
    <w:rsid w:val="00437DB1"/>
    <w:rsid w:val="00440240"/>
    <w:rsid w:val="00440272"/>
    <w:rsid w:val="00440A07"/>
    <w:rsid w:val="00441387"/>
    <w:rsid w:val="004415DD"/>
    <w:rsid w:val="00441661"/>
    <w:rsid w:val="00443BC5"/>
    <w:rsid w:val="00444904"/>
    <w:rsid w:val="00444DA6"/>
    <w:rsid w:val="0044552D"/>
    <w:rsid w:val="00446BB5"/>
    <w:rsid w:val="0044783C"/>
    <w:rsid w:val="00447DD1"/>
    <w:rsid w:val="00450340"/>
    <w:rsid w:val="00450F70"/>
    <w:rsid w:val="00451BC8"/>
    <w:rsid w:val="004520B7"/>
    <w:rsid w:val="00452FC8"/>
    <w:rsid w:val="004532B2"/>
    <w:rsid w:val="0045360D"/>
    <w:rsid w:val="004538A7"/>
    <w:rsid w:val="00457BF4"/>
    <w:rsid w:val="004602B8"/>
    <w:rsid w:val="00461D90"/>
    <w:rsid w:val="0046228C"/>
    <w:rsid w:val="00462880"/>
    <w:rsid w:val="00462968"/>
    <w:rsid w:val="00463372"/>
    <w:rsid w:val="00464459"/>
    <w:rsid w:val="00467A43"/>
    <w:rsid w:val="0047091B"/>
    <w:rsid w:val="0047095F"/>
    <w:rsid w:val="00470B96"/>
    <w:rsid w:val="00471046"/>
    <w:rsid w:val="0047148F"/>
    <w:rsid w:val="0047151B"/>
    <w:rsid w:val="00471CA8"/>
    <w:rsid w:val="0047227F"/>
    <w:rsid w:val="004730DA"/>
    <w:rsid w:val="004731D0"/>
    <w:rsid w:val="00473FCB"/>
    <w:rsid w:val="004741CB"/>
    <w:rsid w:val="00474819"/>
    <w:rsid w:val="00475498"/>
    <w:rsid w:val="00476F24"/>
    <w:rsid w:val="00477708"/>
    <w:rsid w:val="004778FA"/>
    <w:rsid w:val="00477918"/>
    <w:rsid w:val="00477EF6"/>
    <w:rsid w:val="004803E7"/>
    <w:rsid w:val="00481975"/>
    <w:rsid w:val="00482CBE"/>
    <w:rsid w:val="00483998"/>
    <w:rsid w:val="004843B3"/>
    <w:rsid w:val="004852FF"/>
    <w:rsid w:val="00485BB2"/>
    <w:rsid w:val="00485EE2"/>
    <w:rsid w:val="00486628"/>
    <w:rsid w:val="00486E09"/>
    <w:rsid w:val="00490112"/>
    <w:rsid w:val="00490AD2"/>
    <w:rsid w:val="004910E9"/>
    <w:rsid w:val="0049385E"/>
    <w:rsid w:val="0049454A"/>
    <w:rsid w:val="00494B76"/>
    <w:rsid w:val="00495215"/>
    <w:rsid w:val="00495757"/>
    <w:rsid w:val="00495B85"/>
    <w:rsid w:val="004961A5"/>
    <w:rsid w:val="0049653F"/>
    <w:rsid w:val="00497817"/>
    <w:rsid w:val="00497910"/>
    <w:rsid w:val="00497940"/>
    <w:rsid w:val="004A098A"/>
    <w:rsid w:val="004A0EDE"/>
    <w:rsid w:val="004A0FAC"/>
    <w:rsid w:val="004A141D"/>
    <w:rsid w:val="004A1FE6"/>
    <w:rsid w:val="004A25B4"/>
    <w:rsid w:val="004A2DCB"/>
    <w:rsid w:val="004A2EEB"/>
    <w:rsid w:val="004A3CA2"/>
    <w:rsid w:val="004A4839"/>
    <w:rsid w:val="004A5439"/>
    <w:rsid w:val="004A5451"/>
    <w:rsid w:val="004A6B64"/>
    <w:rsid w:val="004A6F0F"/>
    <w:rsid w:val="004A776D"/>
    <w:rsid w:val="004A7C56"/>
    <w:rsid w:val="004B3B36"/>
    <w:rsid w:val="004B5DE3"/>
    <w:rsid w:val="004C07A0"/>
    <w:rsid w:val="004C27C3"/>
    <w:rsid w:val="004C2CD1"/>
    <w:rsid w:val="004C55B0"/>
    <w:rsid w:val="004C5772"/>
    <w:rsid w:val="004C5F14"/>
    <w:rsid w:val="004C6CFE"/>
    <w:rsid w:val="004C6F7A"/>
    <w:rsid w:val="004C750B"/>
    <w:rsid w:val="004C7A01"/>
    <w:rsid w:val="004C7C8D"/>
    <w:rsid w:val="004D0D8F"/>
    <w:rsid w:val="004D14C8"/>
    <w:rsid w:val="004D1A5A"/>
    <w:rsid w:val="004D1FDE"/>
    <w:rsid w:val="004D23B2"/>
    <w:rsid w:val="004D25B4"/>
    <w:rsid w:val="004D3099"/>
    <w:rsid w:val="004D4E61"/>
    <w:rsid w:val="004D5BB0"/>
    <w:rsid w:val="004D628D"/>
    <w:rsid w:val="004D7CE1"/>
    <w:rsid w:val="004D7F3E"/>
    <w:rsid w:val="004E0AA7"/>
    <w:rsid w:val="004E1559"/>
    <w:rsid w:val="004E1EBB"/>
    <w:rsid w:val="004E2054"/>
    <w:rsid w:val="004E278E"/>
    <w:rsid w:val="004E33D0"/>
    <w:rsid w:val="004E3838"/>
    <w:rsid w:val="004E4674"/>
    <w:rsid w:val="004E5BFB"/>
    <w:rsid w:val="004E6354"/>
    <w:rsid w:val="004E7357"/>
    <w:rsid w:val="004F040D"/>
    <w:rsid w:val="004F0875"/>
    <w:rsid w:val="004F0DD4"/>
    <w:rsid w:val="004F16B2"/>
    <w:rsid w:val="004F33FF"/>
    <w:rsid w:val="004F37C0"/>
    <w:rsid w:val="004F3FCA"/>
    <w:rsid w:val="004F4135"/>
    <w:rsid w:val="004F57D0"/>
    <w:rsid w:val="004F667B"/>
    <w:rsid w:val="004F692D"/>
    <w:rsid w:val="004F69E6"/>
    <w:rsid w:val="004F6BA0"/>
    <w:rsid w:val="004F712D"/>
    <w:rsid w:val="004F75FB"/>
    <w:rsid w:val="004F7B3B"/>
    <w:rsid w:val="004F7EB0"/>
    <w:rsid w:val="005000AA"/>
    <w:rsid w:val="0050028F"/>
    <w:rsid w:val="00500967"/>
    <w:rsid w:val="005014F0"/>
    <w:rsid w:val="00502A7B"/>
    <w:rsid w:val="00502AEC"/>
    <w:rsid w:val="005037C7"/>
    <w:rsid w:val="00503BEA"/>
    <w:rsid w:val="005041EA"/>
    <w:rsid w:val="00505CC0"/>
    <w:rsid w:val="00505F32"/>
    <w:rsid w:val="005067FF"/>
    <w:rsid w:val="00506C45"/>
    <w:rsid w:val="0050729D"/>
    <w:rsid w:val="005074FD"/>
    <w:rsid w:val="005075CC"/>
    <w:rsid w:val="005077F5"/>
    <w:rsid w:val="0051045B"/>
    <w:rsid w:val="00511A41"/>
    <w:rsid w:val="00511EB4"/>
    <w:rsid w:val="00512365"/>
    <w:rsid w:val="005124BA"/>
    <w:rsid w:val="00512DCC"/>
    <w:rsid w:val="00513318"/>
    <w:rsid w:val="00513561"/>
    <w:rsid w:val="00513E84"/>
    <w:rsid w:val="0051415B"/>
    <w:rsid w:val="00515B59"/>
    <w:rsid w:val="0051723B"/>
    <w:rsid w:val="00517645"/>
    <w:rsid w:val="00520E89"/>
    <w:rsid w:val="005210AE"/>
    <w:rsid w:val="00521F3A"/>
    <w:rsid w:val="00524B31"/>
    <w:rsid w:val="00524C48"/>
    <w:rsid w:val="00525B68"/>
    <w:rsid w:val="00527388"/>
    <w:rsid w:val="005273E1"/>
    <w:rsid w:val="00527831"/>
    <w:rsid w:val="0053163B"/>
    <w:rsid w:val="00531B15"/>
    <w:rsid w:val="00531ED3"/>
    <w:rsid w:val="00532728"/>
    <w:rsid w:val="005333FB"/>
    <w:rsid w:val="00533616"/>
    <w:rsid w:val="005340C7"/>
    <w:rsid w:val="005349BD"/>
    <w:rsid w:val="00535243"/>
    <w:rsid w:val="00535ABA"/>
    <w:rsid w:val="00535E4F"/>
    <w:rsid w:val="00535FA3"/>
    <w:rsid w:val="0053659F"/>
    <w:rsid w:val="00536BC3"/>
    <w:rsid w:val="005370D4"/>
    <w:rsid w:val="0053768B"/>
    <w:rsid w:val="0054158C"/>
    <w:rsid w:val="005420F2"/>
    <w:rsid w:val="00542477"/>
    <w:rsid w:val="0054285C"/>
    <w:rsid w:val="00544D7F"/>
    <w:rsid w:val="00544E49"/>
    <w:rsid w:val="0054502A"/>
    <w:rsid w:val="00546740"/>
    <w:rsid w:val="0054735C"/>
    <w:rsid w:val="0054799E"/>
    <w:rsid w:val="00547B5C"/>
    <w:rsid w:val="0055023B"/>
    <w:rsid w:val="00552C42"/>
    <w:rsid w:val="00553071"/>
    <w:rsid w:val="005531B9"/>
    <w:rsid w:val="00553D7C"/>
    <w:rsid w:val="00554EAD"/>
    <w:rsid w:val="00555C3C"/>
    <w:rsid w:val="00555F8A"/>
    <w:rsid w:val="00561E1B"/>
    <w:rsid w:val="0056255D"/>
    <w:rsid w:val="00564F09"/>
    <w:rsid w:val="00565402"/>
    <w:rsid w:val="0056593C"/>
    <w:rsid w:val="00565982"/>
    <w:rsid w:val="0056655A"/>
    <w:rsid w:val="00566B8D"/>
    <w:rsid w:val="00567775"/>
    <w:rsid w:val="005702E1"/>
    <w:rsid w:val="00570E01"/>
    <w:rsid w:val="005712BD"/>
    <w:rsid w:val="005716EA"/>
    <w:rsid w:val="0057266F"/>
    <w:rsid w:val="00573AF5"/>
    <w:rsid w:val="005753A7"/>
    <w:rsid w:val="00575967"/>
    <w:rsid w:val="00576243"/>
    <w:rsid w:val="00576FD0"/>
    <w:rsid w:val="00577D63"/>
    <w:rsid w:val="0058046A"/>
    <w:rsid w:val="005808C6"/>
    <w:rsid w:val="005810F9"/>
    <w:rsid w:val="00583389"/>
    <w:rsid w:val="00584173"/>
    <w:rsid w:val="005847A3"/>
    <w:rsid w:val="005862E7"/>
    <w:rsid w:val="005866C0"/>
    <w:rsid w:val="005871E8"/>
    <w:rsid w:val="0058781A"/>
    <w:rsid w:val="0059088B"/>
    <w:rsid w:val="00590A55"/>
    <w:rsid w:val="00590E2B"/>
    <w:rsid w:val="00591CD7"/>
    <w:rsid w:val="00592737"/>
    <w:rsid w:val="005930E2"/>
    <w:rsid w:val="005931AB"/>
    <w:rsid w:val="00593A86"/>
    <w:rsid w:val="00595520"/>
    <w:rsid w:val="00595909"/>
    <w:rsid w:val="00596BAB"/>
    <w:rsid w:val="00597AB3"/>
    <w:rsid w:val="00597F3A"/>
    <w:rsid w:val="005A07F5"/>
    <w:rsid w:val="005A12EE"/>
    <w:rsid w:val="005A1D83"/>
    <w:rsid w:val="005A24AD"/>
    <w:rsid w:val="005A2B3E"/>
    <w:rsid w:val="005A2C8C"/>
    <w:rsid w:val="005A2FC4"/>
    <w:rsid w:val="005A3C46"/>
    <w:rsid w:val="005A44B9"/>
    <w:rsid w:val="005A47D4"/>
    <w:rsid w:val="005A5155"/>
    <w:rsid w:val="005A6CBB"/>
    <w:rsid w:val="005A7C22"/>
    <w:rsid w:val="005B0934"/>
    <w:rsid w:val="005B19C3"/>
    <w:rsid w:val="005B1BA0"/>
    <w:rsid w:val="005B20B6"/>
    <w:rsid w:val="005B213D"/>
    <w:rsid w:val="005B2737"/>
    <w:rsid w:val="005B3823"/>
    <w:rsid w:val="005B39BF"/>
    <w:rsid w:val="005B3AD7"/>
    <w:rsid w:val="005B3DB3"/>
    <w:rsid w:val="005B4491"/>
    <w:rsid w:val="005B4AC7"/>
    <w:rsid w:val="005B5FC3"/>
    <w:rsid w:val="005B6361"/>
    <w:rsid w:val="005B7D6A"/>
    <w:rsid w:val="005B7EC8"/>
    <w:rsid w:val="005C0973"/>
    <w:rsid w:val="005C0D6A"/>
    <w:rsid w:val="005C1DA2"/>
    <w:rsid w:val="005C240D"/>
    <w:rsid w:val="005C260C"/>
    <w:rsid w:val="005C2D33"/>
    <w:rsid w:val="005C3B94"/>
    <w:rsid w:val="005C5242"/>
    <w:rsid w:val="005C5845"/>
    <w:rsid w:val="005C5934"/>
    <w:rsid w:val="005C5DEE"/>
    <w:rsid w:val="005C6A9A"/>
    <w:rsid w:val="005D04C3"/>
    <w:rsid w:val="005D15CA"/>
    <w:rsid w:val="005D2018"/>
    <w:rsid w:val="005D296F"/>
    <w:rsid w:val="005D3663"/>
    <w:rsid w:val="005D432A"/>
    <w:rsid w:val="005D4417"/>
    <w:rsid w:val="005D6B8C"/>
    <w:rsid w:val="005D7982"/>
    <w:rsid w:val="005E0BB6"/>
    <w:rsid w:val="005E12DD"/>
    <w:rsid w:val="005E14B0"/>
    <w:rsid w:val="005E1C12"/>
    <w:rsid w:val="005E28F2"/>
    <w:rsid w:val="005E3F9B"/>
    <w:rsid w:val="005E5353"/>
    <w:rsid w:val="005E609B"/>
    <w:rsid w:val="005E620F"/>
    <w:rsid w:val="005E6C76"/>
    <w:rsid w:val="005E6D67"/>
    <w:rsid w:val="005E6D99"/>
    <w:rsid w:val="005E6FE2"/>
    <w:rsid w:val="005E7157"/>
    <w:rsid w:val="005E7AC6"/>
    <w:rsid w:val="005F001B"/>
    <w:rsid w:val="005F0205"/>
    <w:rsid w:val="005F08DF"/>
    <w:rsid w:val="005F0A7C"/>
    <w:rsid w:val="005F0ED0"/>
    <w:rsid w:val="005F127D"/>
    <w:rsid w:val="005F1C09"/>
    <w:rsid w:val="005F2C5A"/>
    <w:rsid w:val="005F3066"/>
    <w:rsid w:val="005F3330"/>
    <w:rsid w:val="005F3E61"/>
    <w:rsid w:val="005F4911"/>
    <w:rsid w:val="005F60EA"/>
    <w:rsid w:val="005F73B6"/>
    <w:rsid w:val="0060095A"/>
    <w:rsid w:val="00600C17"/>
    <w:rsid w:val="00601157"/>
    <w:rsid w:val="006014F6"/>
    <w:rsid w:val="00602969"/>
    <w:rsid w:val="006038CD"/>
    <w:rsid w:val="00603FE8"/>
    <w:rsid w:val="006040DD"/>
    <w:rsid w:val="0060422C"/>
    <w:rsid w:val="00604CDC"/>
    <w:rsid w:val="00604DDD"/>
    <w:rsid w:val="00605268"/>
    <w:rsid w:val="00605D53"/>
    <w:rsid w:val="00606299"/>
    <w:rsid w:val="00606D3A"/>
    <w:rsid w:val="00606E49"/>
    <w:rsid w:val="006071F5"/>
    <w:rsid w:val="00607630"/>
    <w:rsid w:val="006100A5"/>
    <w:rsid w:val="00610248"/>
    <w:rsid w:val="00610953"/>
    <w:rsid w:val="006115CC"/>
    <w:rsid w:val="00611FC4"/>
    <w:rsid w:val="00612B73"/>
    <w:rsid w:val="00613E96"/>
    <w:rsid w:val="00614822"/>
    <w:rsid w:val="006176FB"/>
    <w:rsid w:val="00621E56"/>
    <w:rsid w:val="0062207E"/>
    <w:rsid w:val="006228D6"/>
    <w:rsid w:val="00622C68"/>
    <w:rsid w:val="0062376E"/>
    <w:rsid w:val="006244E4"/>
    <w:rsid w:val="00627FFB"/>
    <w:rsid w:val="00630FCB"/>
    <w:rsid w:val="00631F3C"/>
    <w:rsid w:val="006327FF"/>
    <w:rsid w:val="0063332D"/>
    <w:rsid w:val="00634205"/>
    <w:rsid w:val="006345FC"/>
    <w:rsid w:val="006364C7"/>
    <w:rsid w:val="00636613"/>
    <w:rsid w:val="006378E2"/>
    <w:rsid w:val="00637B3D"/>
    <w:rsid w:val="00637EEE"/>
    <w:rsid w:val="00640B26"/>
    <w:rsid w:val="00640DA6"/>
    <w:rsid w:val="00640F9C"/>
    <w:rsid w:val="006412FC"/>
    <w:rsid w:val="00642B39"/>
    <w:rsid w:val="0064309B"/>
    <w:rsid w:val="00643AF6"/>
    <w:rsid w:val="006440BE"/>
    <w:rsid w:val="00644532"/>
    <w:rsid w:val="00644649"/>
    <w:rsid w:val="00644BB2"/>
    <w:rsid w:val="006454B7"/>
    <w:rsid w:val="00645A30"/>
    <w:rsid w:val="00646A96"/>
    <w:rsid w:val="00647EA4"/>
    <w:rsid w:val="006507F1"/>
    <w:rsid w:val="00650B5E"/>
    <w:rsid w:val="00651F79"/>
    <w:rsid w:val="006526A8"/>
    <w:rsid w:val="00652A72"/>
    <w:rsid w:val="00654257"/>
    <w:rsid w:val="00654E5F"/>
    <w:rsid w:val="006550CB"/>
    <w:rsid w:val="006565BF"/>
    <w:rsid w:val="00657031"/>
    <w:rsid w:val="0065766B"/>
    <w:rsid w:val="00657CAE"/>
    <w:rsid w:val="00660E1C"/>
    <w:rsid w:val="00662284"/>
    <w:rsid w:val="006623A1"/>
    <w:rsid w:val="00662E08"/>
    <w:rsid w:val="00663882"/>
    <w:rsid w:val="00665AF3"/>
    <w:rsid w:val="006662F9"/>
    <w:rsid w:val="006718F2"/>
    <w:rsid w:val="00672864"/>
    <w:rsid w:val="00673B54"/>
    <w:rsid w:val="006754E6"/>
    <w:rsid w:val="00676166"/>
    <w:rsid w:val="006770B2"/>
    <w:rsid w:val="00680203"/>
    <w:rsid w:val="0068087A"/>
    <w:rsid w:val="006814AE"/>
    <w:rsid w:val="006828C0"/>
    <w:rsid w:val="00683883"/>
    <w:rsid w:val="00683E44"/>
    <w:rsid w:val="00685751"/>
    <w:rsid w:val="00686A48"/>
    <w:rsid w:val="00686DEB"/>
    <w:rsid w:val="00687252"/>
    <w:rsid w:val="006878FC"/>
    <w:rsid w:val="00690AA8"/>
    <w:rsid w:val="0069150F"/>
    <w:rsid w:val="00691B55"/>
    <w:rsid w:val="00691FBF"/>
    <w:rsid w:val="0069213A"/>
    <w:rsid w:val="00693210"/>
    <w:rsid w:val="006940E1"/>
    <w:rsid w:val="006943CF"/>
    <w:rsid w:val="00694F97"/>
    <w:rsid w:val="006956B9"/>
    <w:rsid w:val="00696E8C"/>
    <w:rsid w:val="006A0D5A"/>
    <w:rsid w:val="006A15BC"/>
    <w:rsid w:val="006A1645"/>
    <w:rsid w:val="006A3C72"/>
    <w:rsid w:val="006A46EF"/>
    <w:rsid w:val="006A7087"/>
    <w:rsid w:val="006A7392"/>
    <w:rsid w:val="006B03A1"/>
    <w:rsid w:val="006B0DC4"/>
    <w:rsid w:val="006B1093"/>
    <w:rsid w:val="006B1529"/>
    <w:rsid w:val="006B2EBA"/>
    <w:rsid w:val="006B3467"/>
    <w:rsid w:val="006B3C6E"/>
    <w:rsid w:val="006B5D12"/>
    <w:rsid w:val="006B5F37"/>
    <w:rsid w:val="006B67D9"/>
    <w:rsid w:val="006C0816"/>
    <w:rsid w:val="006C0E73"/>
    <w:rsid w:val="006C2683"/>
    <w:rsid w:val="006C2AF0"/>
    <w:rsid w:val="006C2D69"/>
    <w:rsid w:val="006C35A6"/>
    <w:rsid w:val="006C3D23"/>
    <w:rsid w:val="006C42EB"/>
    <w:rsid w:val="006C5535"/>
    <w:rsid w:val="006C5B12"/>
    <w:rsid w:val="006C60D3"/>
    <w:rsid w:val="006C61F4"/>
    <w:rsid w:val="006C6A0D"/>
    <w:rsid w:val="006D04B1"/>
    <w:rsid w:val="006D0589"/>
    <w:rsid w:val="006D0B97"/>
    <w:rsid w:val="006D0D3C"/>
    <w:rsid w:val="006D0DD0"/>
    <w:rsid w:val="006D2C7D"/>
    <w:rsid w:val="006D39D3"/>
    <w:rsid w:val="006D5B39"/>
    <w:rsid w:val="006D61CB"/>
    <w:rsid w:val="006D6AFD"/>
    <w:rsid w:val="006D77B4"/>
    <w:rsid w:val="006E0093"/>
    <w:rsid w:val="006E0335"/>
    <w:rsid w:val="006E07D1"/>
    <w:rsid w:val="006E08C7"/>
    <w:rsid w:val="006E0B17"/>
    <w:rsid w:val="006E241E"/>
    <w:rsid w:val="006E2CE9"/>
    <w:rsid w:val="006E4310"/>
    <w:rsid w:val="006E564B"/>
    <w:rsid w:val="006E7154"/>
    <w:rsid w:val="006E73B2"/>
    <w:rsid w:val="006E7AAA"/>
    <w:rsid w:val="006F05E2"/>
    <w:rsid w:val="006F14B4"/>
    <w:rsid w:val="006F156A"/>
    <w:rsid w:val="006F1DDC"/>
    <w:rsid w:val="006F36AA"/>
    <w:rsid w:val="006F569B"/>
    <w:rsid w:val="006F7826"/>
    <w:rsid w:val="007002B9"/>
    <w:rsid w:val="007003CD"/>
    <w:rsid w:val="0070062D"/>
    <w:rsid w:val="007007B0"/>
    <w:rsid w:val="0070195F"/>
    <w:rsid w:val="007020DF"/>
    <w:rsid w:val="00703385"/>
    <w:rsid w:val="00703BF3"/>
    <w:rsid w:val="00703CA8"/>
    <w:rsid w:val="0070443A"/>
    <w:rsid w:val="007068AF"/>
    <w:rsid w:val="0070701E"/>
    <w:rsid w:val="007118E6"/>
    <w:rsid w:val="0071223E"/>
    <w:rsid w:val="007127CE"/>
    <w:rsid w:val="00712AF6"/>
    <w:rsid w:val="00712B30"/>
    <w:rsid w:val="00713227"/>
    <w:rsid w:val="00714453"/>
    <w:rsid w:val="0071491A"/>
    <w:rsid w:val="00715305"/>
    <w:rsid w:val="00720422"/>
    <w:rsid w:val="0072066F"/>
    <w:rsid w:val="00722B08"/>
    <w:rsid w:val="00723206"/>
    <w:rsid w:val="00724359"/>
    <w:rsid w:val="00724DA4"/>
    <w:rsid w:val="00725B30"/>
    <w:rsid w:val="00725E00"/>
    <w:rsid w:val="0072632A"/>
    <w:rsid w:val="007277AA"/>
    <w:rsid w:val="007316E1"/>
    <w:rsid w:val="0073307E"/>
    <w:rsid w:val="00733577"/>
    <w:rsid w:val="00734049"/>
    <w:rsid w:val="00734C7A"/>
    <w:rsid w:val="007358E8"/>
    <w:rsid w:val="00735995"/>
    <w:rsid w:val="00736BAC"/>
    <w:rsid w:val="00736ECE"/>
    <w:rsid w:val="00736F9F"/>
    <w:rsid w:val="007401F7"/>
    <w:rsid w:val="007428BA"/>
    <w:rsid w:val="00742902"/>
    <w:rsid w:val="00742C43"/>
    <w:rsid w:val="00742F75"/>
    <w:rsid w:val="00743D4D"/>
    <w:rsid w:val="007445DF"/>
    <w:rsid w:val="0074533B"/>
    <w:rsid w:val="007479F6"/>
    <w:rsid w:val="00747F1F"/>
    <w:rsid w:val="00750B65"/>
    <w:rsid w:val="007518B7"/>
    <w:rsid w:val="00751933"/>
    <w:rsid w:val="007521F6"/>
    <w:rsid w:val="0075293C"/>
    <w:rsid w:val="00752CAD"/>
    <w:rsid w:val="007549DF"/>
    <w:rsid w:val="00755DE3"/>
    <w:rsid w:val="00761978"/>
    <w:rsid w:val="00761F0F"/>
    <w:rsid w:val="007626A6"/>
    <w:rsid w:val="00762D9C"/>
    <w:rsid w:val="0076419E"/>
    <w:rsid w:val="007643BC"/>
    <w:rsid w:val="007649B5"/>
    <w:rsid w:val="0076553A"/>
    <w:rsid w:val="0076684C"/>
    <w:rsid w:val="00766A31"/>
    <w:rsid w:val="00766C5B"/>
    <w:rsid w:val="00766C97"/>
    <w:rsid w:val="0077013A"/>
    <w:rsid w:val="007725A3"/>
    <w:rsid w:val="007730CA"/>
    <w:rsid w:val="00773AC4"/>
    <w:rsid w:val="00774262"/>
    <w:rsid w:val="00774DE3"/>
    <w:rsid w:val="00775FF9"/>
    <w:rsid w:val="00776357"/>
    <w:rsid w:val="00777032"/>
    <w:rsid w:val="00777407"/>
    <w:rsid w:val="00777C46"/>
    <w:rsid w:val="007802E4"/>
    <w:rsid w:val="00780C68"/>
    <w:rsid w:val="007817E6"/>
    <w:rsid w:val="00781ED9"/>
    <w:rsid w:val="007829F2"/>
    <w:rsid w:val="00784423"/>
    <w:rsid w:val="007853A7"/>
    <w:rsid w:val="00787E6E"/>
    <w:rsid w:val="0079020F"/>
    <w:rsid w:val="00790371"/>
    <w:rsid w:val="00790BD6"/>
    <w:rsid w:val="00790D42"/>
    <w:rsid w:val="00791691"/>
    <w:rsid w:val="00791A60"/>
    <w:rsid w:val="00791FAA"/>
    <w:rsid w:val="0079242C"/>
    <w:rsid w:val="00792F38"/>
    <w:rsid w:val="00793009"/>
    <w:rsid w:val="007937B1"/>
    <w:rsid w:val="0079543B"/>
    <w:rsid w:val="00795941"/>
    <w:rsid w:val="007959FE"/>
    <w:rsid w:val="00796241"/>
    <w:rsid w:val="007969A8"/>
    <w:rsid w:val="00797574"/>
    <w:rsid w:val="007A0CF1"/>
    <w:rsid w:val="007A0EC2"/>
    <w:rsid w:val="007A1678"/>
    <w:rsid w:val="007A2AF7"/>
    <w:rsid w:val="007A334C"/>
    <w:rsid w:val="007A4021"/>
    <w:rsid w:val="007A577E"/>
    <w:rsid w:val="007A64E0"/>
    <w:rsid w:val="007A6DEF"/>
    <w:rsid w:val="007A78EB"/>
    <w:rsid w:val="007A7FA0"/>
    <w:rsid w:val="007B3040"/>
    <w:rsid w:val="007B32ED"/>
    <w:rsid w:val="007B3FE5"/>
    <w:rsid w:val="007B4CEA"/>
    <w:rsid w:val="007B4CF3"/>
    <w:rsid w:val="007B54A1"/>
    <w:rsid w:val="007B5F3B"/>
    <w:rsid w:val="007B6418"/>
    <w:rsid w:val="007B6721"/>
    <w:rsid w:val="007B6BA5"/>
    <w:rsid w:val="007B6CC2"/>
    <w:rsid w:val="007B7029"/>
    <w:rsid w:val="007B7246"/>
    <w:rsid w:val="007B7598"/>
    <w:rsid w:val="007B75E3"/>
    <w:rsid w:val="007B7D74"/>
    <w:rsid w:val="007C186E"/>
    <w:rsid w:val="007C2171"/>
    <w:rsid w:val="007C3390"/>
    <w:rsid w:val="007C3A1C"/>
    <w:rsid w:val="007C4179"/>
    <w:rsid w:val="007C42D8"/>
    <w:rsid w:val="007C4B43"/>
    <w:rsid w:val="007C4D0A"/>
    <w:rsid w:val="007C4F4B"/>
    <w:rsid w:val="007C559C"/>
    <w:rsid w:val="007C5806"/>
    <w:rsid w:val="007C5A37"/>
    <w:rsid w:val="007C61CE"/>
    <w:rsid w:val="007C7010"/>
    <w:rsid w:val="007C70BE"/>
    <w:rsid w:val="007C7FA5"/>
    <w:rsid w:val="007D0CED"/>
    <w:rsid w:val="007D0F2C"/>
    <w:rsid w:val="007D160B"/>
    <w:rsid w:val="007D305A"/>
    <w:rsid w:val="007D30D2"/>
    <w:rsid w:val="007D3245"/>
    <w:rsid w:val="007D4303"/>
    <w:rsid w:val="007D4346"/>
    <w:rsid w:val="007D673D"/>
    <w:rsid w:val="007D6ACC"/>
    <w:rsid w:val="007D6D43"/>
    <w:rsid w:val="007D7362"/>
    <w:rsid w:val="007D7C64"/>
    <w:rsid w:val="007E01AA"/>
    <w:rsid w:val="007E0395"/>
    <w:rsid w:val="007E0439"/>
    <w:rsid w:val="007E0511"/>
    <w:rsid w:val="007E162B"/>
    <w:rsid w:val="007E1E89"/>
    <w:rsid w:val="007E272E"/>
    <w:rsid w:val="007E28BE"/>
    <w:rsid w:val="007E2DFD"/>
    <w:rsid w:val="007E5AA4"/>
    <w:rsid w:val="007E5C74"/>
    <w:rsid w:val="007E6866"/>
    <w:rsid w:val="007F033F"/>
    <w:rsid w:val="007F0F11"/>
    <w:rsid w:val="007F1C8B"/>
    <w:rsid w:val="007F3240"/>
    <w:rsid w:val="007F348D"/>
    <w:rsid w:val="007F3ECA"/>
    <w:rsid w:val="007F44D7"/>
    <w:rsid w:val="007F4BF4"/>
    <w:rsid w:val="007F54C6"/>
    <w:rsid w:val="007F5CE2"/>
    <w:rsid w:val="007F5F22"/>
    <w:rsid w:val="007F6611"/>
    <w:rsid w:val="007F68D6"/>
    <w:rsid w:val="007F6C4D"/>
    <w:rsid w:val="007F6F50"/>
    <w:rsid w:val="007F79D1"/>
    <w:rsid w:val="00801DB8"/>
    <w:rsid w:val="00802BDA"/>
    <w:rsid w:val="00802C3B"/>
    <w:rsid w:val="00803579"/>
    <w:rsid w:val="008037CF"/>
    <w:rsid w:val="00804B59"/>
    <w:rsid w:val="008057DC"/>
    <w:rsid w:val="0081043D"/>
    <w:rsid w:val="008106E4"/>
    <w:rsid w:val="00810830"/>
    <w:rsid w:val="00810BAC"/>
    <w:rsid w:val="0081116B"/>
    <w:rsid w:val="008116B5"/>
    <w:rsid w:val="008133DA"/>
    <w:rsid w:val="00814D86"/>
    <w:rsid w:val="008150D6"/>
    <w:rsid w:val="0081539C"/>
    <w:rsid w:val="00815E16"/>
    <w:rsid w:val="008161EC"/>
    <w:rsid w:val="00816625"/>
    <w:rsid w:val="00816D2B"/>
    <w:rsid w:val="008171A7"/>
    <w:rsid w:val="008175E9"/>
    <w:rsid w:val="00820BD9"/>
    <w:rsid w:val="008242D7"/>
    <w:rsid w:val="00824464"/>
    <w:rsid w:val="008248B1"/>
    <w:rsid w:val="0082577B"/>
    <w:rsid w:val="00827084"/>
    <w:rsid w:val="0083001A"/>
    <w:rsid w:val="0083010D"/>
    <w:rsid w:val="008304EB"/>
    <w:rsid w:val="00830FF2"/>
    <w:rsid w:val="008311D3"/>
    <w:rsid w:val="00831AF6"/>
    <w:rsid w:val="00831FB7"/>
    <w:rsid w:val="00832073"/>
    <w:rsid w:val="0083255F"/>
    <w:rsid w:val="008336C7"/>
    <w:rsid w:val="00833BB6"/>
    <w:rsid w:val="008346EE"/>
    <w:rsid w:val="00834796"/>
    <w:rsid w:val="00834F19"/>
    <w:rsid w:val="008357E3"/>
    <w:rsid w:val="00835EB6"/>
    <w:rsid w:val="00837134"/>
    <w:rsid w:val="0083777C"/>
    <w:rsid w:val="008412A9"/>
    <w:rsid w:val="008426A5"/>
    <w:rsid w:val="00843558"/>
    <w:rsid w:val="00847D0F"/>
    <w:rsid w:val="00850D2E"/>
    <w:rsid w:val="00851F37"/>
    <w:rsid w:val="00852570"/>
    <w:rsid w:val="0085277B"/>
    <w:rsid w:val="00852FEB"/>
    <w:rsid w:val="00853A75"/>
    <w:rsid w:val="00853CD0"/>
    <w:rsid w:val="00853CDC"/>
    <w:rsid w:val="00854C50"/>
    <w:rsid w:val="00855712"/>
    <w:rsid w:val="0085664F"/>
    <w:rsid w:val="008568F7"/>
    <w:rsid w:val="00856E36"/>
    <w:rsid w:val="008578D3"/>
    <w:rsid w:val="008613B0"/>
    <w:rsid w:val="00861F31"/>
    <w:rsid w:val="008650C9"/>
    <w:rsid w:val="008650F6"/>
    <w:rsid w:val="00865928"/>
    <w:rsid w:val="00865A3E"/>
    <w:rsid w:val="00865B00"/>
    <w:rsid w:val="00866509"/>
    <w:rsid w:val="00866893"/>
    <w:rsid w:val="00866F02"/>
    <w:rsid w:val="00867661"/>
    <w:rsid w:val="00867D18"/>
    <w:rsid w:val="008709F9"/>
    <w:rsid w:val="00871F9A"/>
    <w:rsid w:val="00871FD5"/>
    <w:rsid w:val="0087219E"/>
    <w:rsid w:val="00872E34"/>
    <w:rsid w:val="008735CA"/>
    <w:rsid w:val="00873914"/>
    <w:rsid w:val="00873CEB"/>
    <w:rsid w:val="008740C1"/>
    <w:rsid w:val="00880AC6"/>
    <w:rsid w:val="00880C81"/>
    <w:rsid w:val="008810C7"/>
    <w:rsid w:val="00881654"/>
    <w:rsid w:val="0088172E"/>
    <w:rsid w:val="00881E81"/>
    <w:rsid w:val="00881EFA"/>
    <w:rsid w:val="0088221A"/>
    <w:rsid w:val="008830B7"/>
    <w:rsid w:val="00884537"/>
    <w:rsid w:val="00885693"/>
    <w:rsid w:val="0088747D"/>
    <w:rsid w:val="008879CB"/>
    <w:rsid w:val="00887AF1"/>
    <w:rsid w:val="00891189"/>
    <w:rsid w:val="00891A02"/>
    <w:rsid w:val="00892A07"/>
    <w:rsid w:val="008939A0"/>
    <w:rsid w:val="00893E2C"/>
    <w:rsid w:val="00893EA2"/>
    <w:rsid w:val="00895059"/>
    <w:rsid w:val="00895ADA"/>
    <w:rsid w:val="00896B06"/>
    <w:rsid w:val="00896BB0"/>
    <w:rsid w:val="00896FEF"/>
    <w:rsid w:val="0089741A"/>
    <w:rsid w:val="008979B1"/>
    <w:rsid w:val="008A13FE"/>
    <w:rsid w:val="008A269E"/>
    <w:rsid w:val="008A4B06"/>
    <w:rsid w:val="008A528E"/>
    <w:rsid w:val="008A6205"/>
    <w:rsid w:val="008A6B25"/>
    <w:rsid w:val="008A6C4F"/>
    <w:rsid w:val="008A758B"/>
    <w:rsid w:val="008A76C4"/>
    <w:rsid w:val="008B0343"/>
    <w:rsid w:val="008B0514"/>
    <w:rsid w:val="008B05C9"/>
    <w:rsid w:val="008B097B"/>
    <w:rsid w:val="008B161B"/>
    <w:rsid w:val="008B2964"/>
    <w:rsid w:val="008B2C23"/>
    <w:rsid w:val="008B2FDA"/>
    <w:rsid w:val="008B389E"/>
    <w:rsid w:val="008B3F7F"/>
    <w:rsid w:val="008B4174"/>
    <w:rsid w:val="008B4807"/>
    <w:rsid w:val="008B53D1"/>
    <w:rsid w:val="008B56A5"/>
    <w:rsid w:val="008B6A15"/>
    <w:rsid w:val="008B6E2D"/>
    <w:rsid w:val="008B71B1"/>
    <w:rsid w:val="008B7B0E"/>
    <w:rsid w:val="008C2837"/>
    <w:rsid w:val="008C4835"/>
    <w:rsid w:val="008C4849"/>
    <w:rsid w:val="008C613E"/>
    <w:rsid w:val="008D045E"/>
    <w:rsid w:val="008D052C"/>
    <w:rsid w:val="008D1B53"/>
    <w:rsid w:val="008D1F8E"/>
    <w:rsid w:val="008D3562"/>
    <w:rsid w:val="008D3F25"/>
    <w:rsid w:val="008D4D82"/>
    <w:rsid w:val="008D675C"/>
    <w:rsid w:val="008D6B2C"/>
    <w:rsid w:val="008E0E46"/>
    <w:rsid w:val="008E152C"/>
    <w:rsid w:val="008E1AA9"/>
    <w:rsid w:val="008E28B8"/>
    <w:rsid w:val="008E41CA"/>
    <w:rsid w:val="008E4536"/>
    <w:rsid w:val="008E557B"/>
    <w:rsid w:val="008E5911"/>
    <w:rsid w:val="008E6841"/>
    <w:rsid w:val="008E6FAF"/>
    <w:rsid w:val="008E7116"/>
    <w:rsid w:val="008E7283"/>
    <w:rsid w:val="008E7BB1"/>
    <w:rsid w:val="008F12C9"/>
    <w:rsid w:val="008F143B"/>
    <w:rsid w:val="008F1986"/>
    <w:rsid w:val="008F1DCC"/>
    <w:rsid w:val="008F27DB"/>
    <w:rsid w:val="008F2910"/>
    <w:rsid w:val="008F2DB2"/>
    <w:rsid w:val="008F337C"/>
    <w:rsid w:val="008F3882"/>
    <w:rsid w:val="008F4B7C"/>
    <w:rsid w:val="008F5446"/>
    <w:rsid w:val="008F5BF8"/>
    <w:rsid w:val="008F659B"/>
    <w:rsid w:val="009009B6"/>
    <w:rsid w:val="009010E2"/>
    <w:rsid w:val="009011E7"/>
    <w:rsid w:val="009016BA"/>
    <w:rsid w:val="009029CB"/>
    <w:rsid w:val="00904173"/>
    <w:rsid w:val="009046D9"/>
    <w:rsid w:val="00904D37"/>
    <w:rsid w:val="00906121"/>
    <w:rsid w:val="00906445"/>
    <w:rsid w:val="009100FD"/>
    <w:rsid w:val="009106EA"/>
    <w:rsid w:val="0091189F"/>
    <w:rsid w:val="009137E7"/>
    <w:rsid w:val="00914626"/>
    <w:rsid w:val="00914922"/>
    <w:rsid w:val="00915B4C"/>
    <w:rsid w:val="00915B4E"/>
    <w:rsid w:val="00915F6D"/>
    <w:rsid w:val="0091652F"/>
    <w:rsid w:val="009165CC"/>
    <w:rsid w:val="0092028B"/>
    <w:rsid w:val="0092117A"/>
    <w:rsid w:val="009215DB"/>
    <w:rsid w:val="009217A3"/>
    <w:rsid w:val="0092434A"/>
    <w:rsid w:val="00924CCD"/>
    <w:rsid w:val="009254B4"/>
    <w:rsid w:val="00926E47"/>
    <w:rsid w:val="00927199"/>
    <w:rsid w:val="00930004"/>
    <w:rsid w:val="009320CB"/>
    <w:rsid w:val="00932BB5"/>
    <w:rsid w:val="0093411A"/>
    <w:rsid w:val="0093438D"/>
    <w:rsid w:val="00934450"/>
    <w:rsid w:val="00934C26"/>
    <w:rsid w:val="00934CE9"/>
    <w:rsid w:val="00935EEF"/>
    <w:rsid w:val="00936C55"/>
    <w:rsid w:val="009407CE"/>
    <w:rsid w:val="00940CC0"/>
    <w:rsid w:val="009417A2"/>
    <w:rsid w:val="00942A1D"/>
    <w:rsid w:val="00942B4B"/>
    <w:rsid w:val="00944324"/>
    <w:rsid w:val="00947162"/>
    <w:rsid w:val="00950FCC"/>
    <w:rsid w:val="0095216B"/>
    <w:rsid w:val="009529B8"/>
    <w:rsid w:val="009536A8"/>
    <w:rsid w:val="00953919"/>
    <w:rsid w:val="00953D09"/>
    <w:rsid w:val="00953DF6"/>
    <w:rsid w:val="009547F0"/>
    <w:rsid w:val="00955831"/>
    <w:rsid w:val="009562A6"/>
    <w:rsid w:val="00956587"/>
    <w:rsid w:val="009567CB"/>
    <w:rsid w:val="009577A5"/>
    <w:rsid w:val="00957C90"/>
    <w:rsid w:val="009610D0"/>
    <w:rsid w:val="009610D2"/>
    <w:rsid w:val="009612A2"/>
    <w:rsid w:val="00961C47"/>
    <w:rsid w:val="00962F52"/>
    <w:rsid w:val="0096375C"/>
    <w:rsid w:val="00963E95"/>
    <w:rsid w:val="009645B0"/>
    <w:rsid w:val="00964902"/>
    <w:rsid w:val="00965079"/>
    <w:rsid w:val="009662E6"/>
    <w:rsid w:val="009664C1"/>
    <w:rsid w:val="009676E5"/>
    <w:rsid w:val="00970366"/>
    <w:rsid w:val="009705EE"/>
    <w:rsid w:val="0097095E"/>
    <w:rsid w:val="00971C5F"/>
    <w:rsid w:val="00973114"/>
    <w:rsid w:val="00973347"/>
    <w:rsid w:val="00974024"/>
    <w:rsid w:val="00974642"/>
    <w:rsid w:val="00974C03"/>
    <w:rsid w:val="0097576B"/>
    <w:rsid w:val="009759A0"/>
    <w:rsid w:val="00975B51"/>
    <w:rsid w:val="009767CB"/>
    <w:rsid w:val="00976906"/>
    <w:rsid w:val="009771B0"/>
    <w:rsid w:val="00980456"/>
    <w:rsid w:val="009815AC"/>
    <w:rsid w:val="0098424C"/>
    <w:rsid w:val="0098592B"/>
    <w:rsid w:val="00985FC4"/>
    <w:rsid w:val="009872CA"/>
    <w:rsid w:val="00987C0B"/>
    <w:rsid w:val="00987F46"/>
    <w:rsid w:val="009905EF"/>
    <w:rsid w:val="00990766"/>
    <w:rsid w:val="00991261"/>
    <w:rsid w:val="00991A67"/>
    <w:rsid w:val="00991CED"/>
    <w:rsid w:val="00993537"/>
    <w:rsid w:val="0099488E"/>
    <w:rsid w:val="00995333"/>
    <w:rsid w:val="009964C4"/>
    <w:rsid w:val="00997AE9"/>
    <w:rsid w:val="009A00F2"/>
    <w:rsid w:val="009A0D0E"/>
    <w:rsid w:val="009A16A3"/>
    <w:rsid w:val="009A2AC5"/>
    <w:rsid w:val="009A39AF"/>
    <w:rsid w:val="009A3E33"/>
    <w:rsid w:val="009A43AF"/>
    <w:rsid w:val="009A63B6"/>
    <w:rsid w:val="009A6C45"/>
    <w:rsid w:val="009A77F1"/>
    <w:rsid w:val="009A7B81"/>
    <w:rsid w:val="009B050A"/>
    <w:rsid w:val="009B167F"/>
    <w:rsid w:val="009B2066"/>
    <w:rsid w:val="009B2E88"/>
    <w:rsid w:val="009B329B"/>
    <w:rsid w:val="009B58F4"/>
    <w:rsid w:val="009B5B3C"/>
    <w:rsid w:val="009B65CB"/>
    <w:rsid w:val="009B6E1A"/>
    <w:rsid w:val="009B6F03"/>
    <w:rsid w:val="009B6FAA"/>
    <w:rsid w:val="009B72DA"/>
    <w:rsid w:val="009B7CEF"/>
    <w:rsid w:val="009C199D"/>
    <w:rsid w:val="009C2444"/>
    <w:rsid w:val="009C2628"/>
    <w:rsid w:val="009C310C"/>
    <w:rsid w:val="009C3AD4"/>
    <w:rsid w:val="009C3C17"/>
    <w:rsid w:val="009C5658"/>
    <w:rsid w:val="009C5CB0"/>
    <w:rsid w:val="009C6FDA"/>
    <w:rsid w:val="009C76CD"/>
    <w:rsid w:val="009C7DB3"/>
    <w:rsid w:val="009D01C0"/>
    <w:rsid w:val="009D2799"/>
    <w:rsid w:val="009D2843"/>
    <w:rsid w:val="009D3B70"/>
    <w:rsid w:val="009D4901"/>
    <w:rsid w:val="009D6A08"/>
    <w:rsid w:val="009D6B58"/>
    <w:rsid w:val="009D7B3F"/>
    <w:rsid w:val="009E063C"/>
    <w:rsid w:val="009E0781"/>
    <w:rsid w:val="009E0A16"/>
    <w:rsid w:val="009E0F77"/>
    <w:rsid w:val="009E3245"/>
    <w:rsid w:val="009E3807"/>
    <w:rsid w:val="009E4CCE"/>
    <w:rsid w:val="009E4E7E"/>
    <w:rsid w:val="009E5E10"/>
    <w:rsid w:val="009E682A"/>
    <w:rsid w:val="009E6AA2"/>
    <w:rsid w:val="009E6CB7"/>
    <w:rsid w:val="009E7970"/>
    <w:rsid w:val="009E7D91"/>
    <w:rsid w:val="009F0340"/>
    <w:rsid w:val="009F09EA"/>
    <w:rsid w:val="009F0AAB"/>
    <w:rsid w:val="009F1892"/>
    <w:rsid w:val="009F1963"/>
    <w:rsid w:val="009F21AD"/>
    <w:rsid w:val="009F2E38"/>
    <w:rsid w:val="009F2EAC"/>
    <w:rsid w:val="009F39D2"/>
    <w:rsid w:val="009F39DE"/>
    <w:rsid w:val="009F4555"/>
    <w:rsid w:val="009F5342"/>
    <w:rsid w:val="009F57E3"/>
    <w:rsid w:val="009F68FE"/>
    <w:rsid w:val="00A00393"/>
    <w:rsid w:val="00A005C1"/>
    <w:rsid w:val="00A016BF"/>
    <w:rsid w:val="00A018C6"/>
    <w:rsid w:val="00A02270"/>
    <w:rsid w:val="00A032ED"/>
    <w:rsid w:val="00A045EB"/>
    <w:rsid w:val="00A069C1"/>
    <w:rsid w:val="00A06A2C"/>
    <w:rsid w:val="00A109C7"/>
    <w:rsid w:val="00A10E10"/>
    <w:rsid w:val="00A10F4F"/>
    <w:rsid w:val="00A11067"/>
    <w:rsid w:val="00A11095"/>
    <w:rsid w:val="00A1123F"/>
    <w:rsid w:val="00A12ABD"/>
    <w:rsid w:val="00A12E9A"/>
    <w:rsid w:val="00A14990"/>
    <w:rsid w:val="00A1643D"/>
    <w:rsid w:val="00A16486"/>
    <w:rsid w:val="00A16C24"/>
    <w:rsid w:val="00A1704A"/>
    <w:rsid w:val="00A17525"/>
    <w:rsid w:val="00A178EF"/>
    <w:rsid w:val="00A20165"/>
    <w:rsid w:val="00A22712"/>
    <w:rsid w:val="00A22BA2"/>
    <w:rsid w:val="00A22E56"/>
    <w:rsid w:val="00A23353"/>
    <w:rsid w:val="00A235BB"/>
    <w:rsid w:val="00A23D08"/>
    <w:rsid w:val="00A24DCC"/>
    <w:rsid w:val="00A250AA"/>
    <w:rsid w:val="00A2537C"/>
    <w:rsid w:val="00A25658"/>
    <w:rsid w:val="00A27C85"/>
    <w:rsid w:val="00A27D0C"/>
    <w:rsid w:val="00A3066D"/>
    <w:rsid w:val="00A308A4"/>
    <w:rsid w:val="00A31701"/>
    <w:rsid w:val="00A31B2D"/>
    <w:rsid w:val="00A31E00"/>
    <w:rsid w:val="00A3384E"/>
    <w:rsid w:val="00A34918"/>
    <w:rsid w:val="00A35A3B"/>
    <w:rsid w:val="00A372F8"/>
    <w:rsid w:val="00A374C1"/>
    <w:rsid w:val="00A40010"/>
    <w:rsid w:val="00A40655"/>
    <w:rsid w:val="00A410AF"/>
    <w:rsid w:val="00A41D91"/>
    <w:rsid w:val="00A4242A"/>
    <w:rsid w:val="00A425EB"/>
    <w:rsid w:val="00A42738"/>
    <w:rsid w:val="00A42815"/>
    <w:rsid w:val="00A428ED"/>
    <w:rsid w:val="00A429D4"/>
    <w:rsid w:val="00A42A60"/>
    <w:rsid w:val="00A432C8"/>
    <w:rsid w:val="00A43433"/>
    <w:rsid w:val="00A4371B"/>
    <w:rsid w:val="00A45067"/>
    <w:rsid w:val="00A45F9D"/>
    <w:rsid w:val="00A46585"/>
    <w:rsid w:val="00A46F2C"/>
    <w:rsid w:val="00A47261"/>
    <w:rsid w:val="00A47499"/>
    <w:rsid w:val="00A5038E"/>
    <w:rsid w:val="00A51B58"/>
    <w:rsid w:val="00A52372"/>
    <w:rsid w:val="00A52703"/>
    <w:rsid w:val="00A5287F"/>
    <w:rsid w:val="00A5321A"/>
    <w:rsid w:val="00A53D6B"/>
    <w:rsid w:val="00A53D90"/>
    <w:rsid w:val="00A54C70"/>
    <w:rsid w:val="00A54EF3"/>
    <w:rsid w:val="00A5627C"/>
    <w:rsid w:val="00A563F7"/>
    <w:rsid w:val="00A610EE"/>
    <w:rsid w:val="00A61C55"/>
    <w:rsid w:val="00A620ED"/>
    <w:rsid w:val="00A63E45"/>
    <w:rsid w:val="00A64517"/>
    <w:rsid w:val="00A64F59"/>
    <w:rsid w:val="00A65CC4"/>
    <w:rsid w:val="00A65F57"/>
    <w:rsid w:val="00A66E70"/>
    <w:rsid w:val="00A67764"/>
    <w:rsid w:val="00A702AE"/>
    <w:rsid w:val="00A70661"/>
    <w:rsid w:val="00A70FB6"/>
    <w:rsid w:val="00A71A6C"/>
    <w:rsid w:val="00A71DD4"/>
    <w:rsid w:val="00A72955"/>
    <w:rsid w:val="00A72D00"/>
    <w:rsid w:val="00A72F22"/>
    <w:rsid w:val="00A7339D"/>
    <w:rsid w:val="00A733BC"/>
    <w:rsid w:val="00A73DFF"/>
    <w:rsid w:val="00A748A6"/>
    <w:rsid w:val="00A76A69"/>
    <w:rsid w:val="00A8033D"/>
    <w:rsid w:val="00A803AD"/>
    <w:rsid w:val="00A829E4"/>
    <w:rsid w:val="00A83A06"/>
    <w:rsid w:val="00A83BFB"/>
    <w:rsid w:val="00A8443F"/>
    <w:rsid w:val="00A84ACB"/>
    <w:rsid w:val="00A84C63"/>
    <w:rsid w:val="00A851DE"/>
    <w:rsid w:val="00A8556D"/>
    <w:rsid w:val="00A861DF"/>
    <w:rsid w:val="00A8719B"/>
    <w:rsid w:val="00A8731C"/>
    <w:rsid w:val="00A874EC"/>
    <w:rsid w:val="00A8750B"/>
    <w:rsid w:val="00A876D8"/>
    <w:rsid w:val="00A877F1"/>
    <w:rsid w:val="00A87946"/>
    <w:rsid w:val="00A879A4"/>
    <w:rsid w:val="00A90DA6"/>
    <w:rsid w:val="00A910C6"/>
    <w:rsid w:val="00A91194"/>
    <w:rsid w:val="00A912DB"/>
    <w:rsid w:val="00A91F33"/>
    <w:rsid w:val="00A92F6B"/>
    <w:rsid w:val="00A934B1"/>
    <w:rsid w:val="00A945DC"/>
    <w:rsid w:val="00A94768"/>
    <w:rsid w:val="00A958EF"/>
    <w:rsid w:val="00A95B39"/>
    <w:rsid w:val="00A9649C"/>
    <w:rsid w:val="00A972D6"/>
    <w:rsid w:val="00A97FE1"/>
    <w:rsid w:val="00AA009D"/>
    <w:rsid w:val="00AA0968"/>
    <w:rsid w:val="00AA0D5F"/>
    <w:rsid w:val="00AA0FF8"/>
    <w:rsid w:val="00AA1837"/>
    <w:rsid w:val="00AA1F4B"/>
    <w:rsid w:val="00AA2535"/>
    <w:rsid w:val="00AA27BB"/>
    <w:rsid w:val="00AA2A29"/>
    <w:rsid w:val="00AA2FF5"/>
    <w:rsid w:val="00AA3389"/>
    <w:rsid w:val="00AA364F"/>
    <w:rsid w:val="00AA3B71"/>
    <w:rsid w:val="00AA4D57"/>
    <w:rsid w:val="00AA5406"/>
    <w:rsid w:val="00AA5FF7"/>
    <w:rsid w:val="00AA7E9A"/>
    <w:rsid w:val="00AB25B7"/>
    <w:rsid w:val="00AB2B1E"/>
    <w:rsid w:val="00AB2DD0"/>
    <w:rsid w:val="00AB3172"/>
    <w:rsid w:val="00AB3598"/>
    <w:rsid w:val="00AB417B"/>
    <w:rsid w:val="00AB4954"/>
    <w:rsid w:val="00AB4F1E"/>
    <w:rsid w:val="00AB5877"/>
    <w:rsid w:val="00AB5D01"/>
    <w:rsid w:val="00AB5E14"/>
    <w:rsid w:val="00AB7F4E"/>
    <w:rsid w:val="00AC0F2C"/>
    <w:rsid w:val="00AC22B1"/>
    <w:rsid w:val="00AC28EB"/>
    <w:rsid w:val="00AC2F7A"/>
    <w:rsid w:val="00AC502A"/>
    <w:rsid w:val="00AC6164"/>
    <w:rsid w:val="00AD02CF"/>
    <w:rsid w:val="00AD15F8"/>
    <w:rsid w:val="00AD28F0"/>
    <w:rsid w:val="00AD35D3"/>
    <w:rsid w:val="00AD369E"/>
    <w:rsid w:val="00AD3A46"/>
    <w:rsid w:val="00AD4733"/>
    <w:rsid w:val="00AD477F"/>
    <w:rsid w:val="00AD4DA2"/>
    <w:rsid w:val="00AD6210"/>
    <w:rsid w:val="00AD68E0"/>
    <w:rsid w:val="00AD6D47"/>
    <w:rsid w:val="00AD6DC8"/>
    <w:rsid w:val="00AE0274"/>
    <w:rsid w:val="00AE0333"/>
    <w:rsid w:val="00AE04C7"/>
    <w:rsid w:val="00AE0F46"/>
    <w:rsid w:val="00AE132A"/>
    <w:rsid w:val="00AE5038"/>
    <w:rsid w:val="00AE5054"/>
    <w:rsid w:val="00AE5C64"/>
    <w:rsid w:val="00AE5FCD"/>
    <w:rsid w:val="00AE71AE"/>
    <w:rsid w:val="00AF02AE"/>
    <w:rsid w:val="00AF05F0"/>
    <w:rsid w:val="00AF36E1"/>
    <w:rsid w:val="00AF38BB"/>
    <w:rsid w:val="00AF4C2E"/>
    <w:rsid w:val="00AF508C"/>
    <w:rsid w:val="00AF579A"/>
    <w:rsid w:val="00AF57DA"/>
    <w:rsid w:val="00AF58C1"/>
    <w:rsid w:val="00AF6292"/>
    <w:rsid w:val="00AF6750"/>
    <w:rsid w:val="00AF7BEC"/>
    <w:rsid w:val="00B0148C"/>
    <w:rsid w:val="00B02463"/>
    <w:rsid w:val="00B02BA5"/>
    <w:rsid w:val="00B0334C"/>
    <w:rsid w:val="00B03525"/>
    <w:rsid w:val="00B046E1"/>
    <w:rsid w:val="00B04758"/>
    <w:rsid w:val="00B04A3F"/>
    <w:rsid w:val="00B06146"/>
    <w:rsid w:val="00B06321"/>
    <w:rsid w:val="00B06643"/>
    <w:rsid w:val="00B0666D"/>
    <w:rsid w:val="00B06989"/>
    <w:rsid w:val="00B07904"/>
    <w:rsid w:val="00B11570"/>
    <w:rsid w:val="00B115A2"/>
    <w:rsid w:val="00B1254F"/>
    <w:rsid w:val="00B12635"/>
    <w:rsid w:val="00B13027"/>
    <w:rsid w:val="00B13600"/>
    <w:rsid w:val="00B15055"/>
    <w:rsid w:val="00B172E4"/>
    <w:rsid w:val="00B20551"/>
    <w:rsid w:val="00B21889"/>
    <w:rsid w:val="00B21ADA"/>
    <w:rsid w:val="00B225E5"/>
    <w:rsid w:val="00B23E5A"/>
    <w:rsid w:val="00B24808"/>
    <w:rsid w:val="00B2572C"/>
    <w:rsid w:val="00B26171"/>
    <w:rsid w:val="00B26510"/>
    <w:rsid w:val="00B266EE"/>
    <w:rsid w:val="00B27EAA"/>
    <w:rsid w:val="00B3008D"/>
    <w:rsid w:val="00B30179"/>
    <w:rsid w:val="00B30598"/>
    <w:rsid w:val="00B31C9E"/>
    <w:rsid w:val="00B31DB6"/>
    <w:rsid w:val="00B3376C"/>
    <w:rsid w:val="00B33AF4"/>
    <w:rsid w:val="00B33FC7"/>
    <w:rsid w:val="00B347F4"/>
    <w:rsid w:val="00B361CE"/>
    <w:rsid w:val="00B37AE1"/>
    <w:rsid w:val="00B37B15"/>
    <w:rsid w:val="00B40563"/>
    <w:rsid w:val="00B40C09"/>
    <w:rsid w:val="00B41402"/>
    <w:rsid w:val="00B415FC"/>
    <w:rsid w:val="00B41778"/>
    <w:rsid w:val="00B4239F"/>
    <w:rsid w:val="00B42F29"/>
    <w:rsid w:val="00B44E76"/>
    <w:rsid w:val="00B44ECF"/>
    <w:rsid w:val="00B452F8"/>
    <w:rsid w:val="00B4554C"/>
    <w:rsid w:val="00B45C02"/>
    <w:rsid w:val="00B45EBA"/>
    <w:rsid w:val="00B45F0A"/>
    <w:rsid w:val="00B4647F"/>
    <w:rsid w:val="00B469AB"/>
    <w:rsid w:val="00B47749"/>
    <w:rsid w:val="00B50D1C"/>
    <w:rsid w:val="00B51C49"/>
    <w:rsid w:val="00B53216"/>
    <w:rsid w:val="00B535B5"/>
    <w:rsid w:val="00B5373D"/>
    <w:rsid w:val="00B53D41"/>
    <w:rsid w:val="00B53D46"/>
    <w:rsid w:val="00B53D74"/>
    <w:rsid w:val="00B571F9"/>
    <w:rsid w:val="00B572D2"/>
    <w:rsid w:val="00B61695"/>
    <w:rsid w:val="00B61A91"/>
    <w:rsid w:val="00B62EC9"/>
    <w:rsid w:val="00B637D1"/>
    <w:rsid w:val="00B6466F"/>
    <w:rsid w:val="00B64E85"/>
    <w:rsid w:val="00B6538F"/>
    <w:rsid w:val="00B65726"/>
    <w:rsid w:val="00B65AAB"/>
    <w:rsid w:val="00B66EB6"/>
    <w:rsid w:val="00B67652"/>
    <w:rsid w:val="00B70420"/>
    <w:rsid w:val="00B705DA"/>
    <w:rsid w:val="00B70B63"/>
    <w:rsid w:val="00B70C3C"/>
    <w:rsid w:val="00B72075"/>
    <w:rsid w:val="00B72A1E"/>
    <w:rsid w:val="00B72D02"/>
    <w:rsid w:val="00B7315D"/>
    <w:rsid w:val="00B7376B"/>
    <w:rsid w:val="00B737F1"/>
    <w:rsid w:val="00B73DA0"/>
    <w:rsid w:val="00B73F92"/>
    <w:rsid w:val="00B74F05"/>
    <w:rsid w:val="00B75078"/>
    <w:rsid w:val="00B7676B"/>
    <w:rsid w:val="00B81E12"/>
    <w:rsid w:val="00B8248D"/>
    <w:rsid w:val="00B82CA3"/>
    <w:rsid w:val="00B85B09"/>
    <w:rsid w:val="00B85EA4"/>
    <w:rsid w:val="00B8617D"/>
    <w:rsid w:val="00B875C2"/>
    <w:rsid w:val="00B87AA4"/>
    <w:rsid w:val="00B906CA"/>
    <w:rsid w:val="00B91D76"/>
    <w:rsid w:val="00B92B39"/>
    <w:rsid w:val="00B93189"/>
    <w:rsid w:val="00B962C1"/>
    <w:rsid w:val="00B97EEF"/>
    <w:rsid w:val="00BA1254"/>
    <w:rsid w:val="00BA171A"/>
    <w:rsid w:val="00BA339B"/>
    <w:rsid w:val="00BA4363"/>
    <w:rsid w:val="00BA53F8"/>
    <w:rsid w:val="00BB0D1E"/>
    <w:rsid w:val="00BB183E"/>
    <w:rsid w:val="00BB2894"/>
    <w:rsid w:val="00BB28BD"/>
    <w:rsid w:val="00BB338D"/>
    <w:rsid w:val="00BB42BA"/>
    <w:rsid w:val="00BB654C"/>
    <w:rsid w:val="00BB6804"/>
    <w:rsid w:val="00BB7595"/>
    <w:rsid w:val="00BB7869"/>
    <w:rsid w:val="00BB7A57"/>
    <w:rsid w:val="00BB7EFE"/>
    <w:rsid w:val="00BC1E7E"/>
    <w:rsid w:val="00BC20B4"/>
    <w:rsid w:val="00BC211B"/>
    <w:rsid w:val="00BC2F0B"/>
    <w:rsid w:val="00BC3DEB"/>
    <w:rsid w:val="00BC509A"/>
    <w:rsid w:val="00BC52E8"/>
    <w:rsid w:val="00BC6638"/>
    <w:rsid w:val="00BC6B33"/>
    <w:rsid w:val="00BC74E9"/>
    <w:rsid w:val="00BC7973"/>
    <w:rsid w:val="00BD0B8F"/>
    <w:rsid w:val="00BD0F50"/>
    <w:rsid w:val="00BD11B4"/>
    <w:rsid w:val="00BD5875"/>
    <w:rsid w:val="00BD63D3"/>
    <w:rsid w:val="00BD6BC3"/>
    <w:rsid w:val="00BD6C36"/>
    <w:rsid w:val="00BD6C74"/>
    <w:rsid w:val="00BD7066"/>
    <w:rsid w:val="00BD767C"/>
    <w:rsid w:val="00BE0733"/>
    <w:rsid w:val="00BE0986"/>
    <w:rsid w:val="00BE14D3"/>
    <w:rsid w:val="00BE282F"/>
    <w:rsid w:val="00BE288C"/>
    <w:rsid w:val="00BE289A"/>
    <w:rsid w:val="00BE2D4B"/>
    <w:rsid w:val="00BE36A9"/>
    <w:rsid w:val="00BE3DBA"/>
    <w:rsid w:val="00BE4DB9"/>
    <w:rsid w:val="00BE60B9"/>
    <w:rsid w:val="00BE618E"/>
    <w:rsid w:val="00BE686D"/>
    <w:rsid w:val="00BE78F4"/>
    <w:rsid w:val="00BE7A98"/>
    <w:rsid w:val="00BE7BEC"/>
    <w:rsid w:val="00BF07E6"/>
    <w:rsid w:val="00BF07F1"/>
    <w:rsid w:val="00BF0A5A"/>
    <w:rsid w:val="00BF0E63"/>
    <w:rsid w:val="00BF12A3"/>
    <w:rsid w:val="00BF16D7"/>
    <w:rsid w:val="00BF2373"/>
    <w:rsid w:val="00BF3602"/>
    <w:rsid w:val="00BF464B"/>
    <w:rsid w:val="00BF46F5"/>
    <w:rsid w:val="00BF47D3"/>
    <w:rsid w:val="00BF5422"/>
    <w:rsid w:val="00C0000D"/>
    <w:rsid w:val="00C00D99"/>
    <w:rsid w:val="00C00DB8"/>
    <w:rsid w:val="00C013B1"/>
    <w:rsid w:val="00C02396"/>
    <w:rsid w:val="00C02B02"/>
    <w:rsid w:val="00C032A9"/>
    <w:rsid w:val="00C044E2"/>
    <w:rsid w:val="00C0484D"/>
    <w:rsid w:val="00C048CB"/>
    <w:rsid w:val="00C0591A"/>
    <w:rsid w:val="00C05F71"/>
    <w:rsid w:val="00C060D7"/>
    <w:rsid w:val="00C066F3"/>
    <w:rsid w:val="00C076DB"/>
    <w:rsid w:val="00C102EC"/>
    <w:rsid w:val="00C1061F"/>
    <w:rsid w:val="00C10A92"/>
    <w:rsid w:val="00C119FC"/>
    <w:rsid w:val="00C12386"/>
    <w:rsid w:val="00C128F6"/>
    <w:rsid w:val="00C12F6F"/>
    <w:rsid w:val="00C14336"/>
    <w:rsid w:val="00C14CF9"/>
    <w:rsid w:val="00C16736"/>
    <w:rsid w:val="00C17A2E"/>
    <w:rsid w:val="00C2039F"/>
    <w:rsid w:val="00C20C32"/>
    <w:rsid w:val="00C210FE"/>
    <w:rsid w:val="00C216B7"/>
    <w:rsid w:val="00C226EE"/>
    <w:rsid w:val="00C24F51"/>
    <w:rsid w:val="00C26A1D"/>
    <w:rsid w:val="00C27102"/>
    <w:rsid w:val="00C27AC9"/>
    <w:rsid w:val="00C30C3C"/>
    <w:rsid w:val="00C312CB"/>
    <w:rsid w:val="00C355B6"/>
    <w:rsid w:val="00C3693D"/>
    <w:rsid w:val="00C36C35"/>
    <w:rsid w:val="00C37B71"/>
    <w:rsid w:val="00C40C89"/>
    <w:rsid w:val="00C4124F"/>
    <w:rsid w:val="00C41439"/>
    <w:rsid w:val="00C439BB"/>
    <w:rsid w:val="00C43F0A"/>
    <w:rsid w:val="00C43F3F"/>
    <w:rsid w:val="00C450AC"/>
    <w:rsid w:val="00C45B49"/>
    <w:rsid w:val="00C463DD"/>
    <w:rsid w:val="00C46AFB"/>
    <w:rsid w:val="00C46F12"/>
    <w:rsid w:val="00C506DF"/>
    <w:rsid w:val="00C508D4"/>
    <w:rsid w:val="00C50EEE"/>
    <w:rsid w:val="00C55004"/>
    <w:rsid w:val="00C553EF"/>
    <w:rsid w:val="00C55F57"/>
    <w:rsid w:val="00C562EB"/>
    <w:rsid w:val="00C5666D"/>
    <w:rsid w:val="00C57C59"/>
    <w:rsid w:val="00C60304"/>
    <w:rsid w:val="00C603EC"/>
    <w:rsid w:val="00C607DD"/>
    <w:rsid w:val="00C61AF9"/>
    <w:rsid w:val="00C6208C"/>
    <w:rsid w:val="00C62A32"/>
    <w:rsid w:val="00C649CA"/>
    <w:rsid w:val="00C65D35"/>
    <w:rsid w:val="00C66AC7"/>
    <w:rsid w:val="00C66C56"/>
    <w:rsid w:val="00C6767B"/>
    <w:rsid w:val="00C67CED"/>
    <w:rsid w:val="00C71CF5"/>
    <w:rsid w:val="00C723F2"/>
    <w:rsid w:val="00C727D5"/>
    <w:rsid w:val="00C74084"/>
    <w:rsid w:val="00C745C3"/>
    <w:rsid w:val="00C7517F"/>
    <w:rsid w:val="00C751F0"/>
    <w:rsid w:val="00C7523F"/>
    <w:rsid w:val="00C75FF5"/>
    <w:rsid w:val="00C82D47"/>
    <w:rsid w:val="00C841E1"/>
    <w:rsid w:val="00C86A1D"/>
    <w:rsid w:val="00C86EEC"/>
    <w:rsid w:val="00C92647"/>
    <w:rsid w:val="00C93B66"/>
    <w:rsid w:val="00C94875"/>
    <w:rsid w:val="00C960B6"/>
    <w:rsid w:val="00C96A08"/>
    <w:rsid w:val="00C978F5"/>
    <w:rsid w:val="00CA07E9"/>
    <w:rsid w:val="00CA11DD"/>
    <w:rsid w:val="00CA1A5C"/>
    <w:rsid w:val="00CA243A"/>
    <w:rsid w:val="00CA24A4"/>
    <w:rsid w:val="00CA27C9"/>
    <w:rsid w:val="00CA379B"/>
    <w:rsid w:val="00CA53F6"/>
    <w:rsid w:val="00CA56E1"/>
    <w:rsid w:val="00CA632F"/>
    <w:rsid w:val="00CA64BF"/>
    <w:rsid w:val="00CA6E7A"/>
    <w:rsid w:val="00CB02D4"/>
    <w:rsid w:val="00CB1477"/>
    <w:rsid w:val="00CB1EF2"/>
    <w:rsid w:val="00CB2892"/>
    <w:rsid w:val="00CB2985"/>
    <w:rsid w:val="00CB2E01"/>
    <w:rsid w:val="00CB348D"/>
    <w:rsid w:val="00CB3E25"/>
    <w:rsid w:val="00CB4B5C"/>
    <w:rsid w:val="00CB52A9"/>
    <w:rsid w:val="00CB5BCE"/>
    <w:rsid w:val="00CB62CD"/>
    <w:rsid w:val="00CB7934"/>
    <w:rsid w:val="00CB7A5D"/>
    <w:rsid w:val="00CC0FFA"/>
    <w:rsid w:val="00CC1EEB"/>
    <w:rsid w:val="00CC26B5"/>
    <w:rsid w:val="00CC2EE6"/>
    <w:rsid w:val="00CC3923"/>
    <w:rsid w:val="00CC5F56"/>
    <w:rsid w:val="00CC6FBC"/>
    <w:rsid w:val="00CC7582"/>
    <w:rsid w:val="00CC7BDB"/>
    <w:rsid w:val="00CD0001"/>
    <w:rsid w:val="00CD058F"/>
    <w:rsid w:val="00CD2892"/>
    <w:rsid w:val="00CD46F5"/>
    <w:rsid w:val="00CD4D03"/>
    <w:rsid w:val="00CD6DE5"/>
    <w:rsid w:val="00CD6E54"/>
    <w:rsid w:val="00CD705A"/>
    <w:rsid w:val="00CE0451"/>
    <w:rsid w:val="00CE0CBF"/>
    <w:rsid w:val="00CE1260"/>
    <w:rsid w:val="00CE150B"/>
    <w:rsid w:val="00CE1BBD"/>
    <w:rsid w:val="00CE1F36"/>
    <w:rsid w:val="00CE1F7A"/>
    <w:rsid w:val="00CE2EBE"/>
    <w:rsid w:val="00CE33A3"/>
    <w:rsid w:val="00CE35A4"/>
    <w:rsid w:val="00CE3A4C"/>
    <w:rsid w:val="00CE4453"/>
    <w:rsid w:val="00CE4A8F"/>
    <w:rsid w:val="00CE50FD"/>
    <w:rsid w:val="00CE5780"/>
    <w:rsid w:val="00CE5DAA"/>
    <w:rsid w:val="00CE67C9"/>
    <w:rsid w:val="00CE6E0A"/>
    <w:rsid w:val="00CF071D"/>
    <w:rsid w:val="00CF0D41"/>
    <w:rsid w:val="00CF1851"/>
    <w:rsid w:val="00CF2209"/>
    <w:rsid w:val="00CF38B3"/>
    <w:rsid w:val="00CF4053"/>
    <w:rsid w:val="00CF530F"/>
    <w:rsid w:val="00CF5319"/>
    <w:rsid w:val="00CF7556"/>
    <w:rsid w:val="00CF7708"/>
    <w:rsid w:val="00CF7A83"/>
    <w:rsid w:val="00D00F72"/>
    <w:rsid w:val="00D010BE"/>
    <w:rsid w:val="00D0123D"/>
    <w:rsid w:val="00D033EA"/>
    <w:rsid w:val="00D05494"/>
    <w:rsid w:val="00D05C4F"/>
    <w:rsid w:val="00D06A54"/>
    <w:rsid w:val="00D11193"/>
    <w:rsid w:val="00D128A3"/>
    <w:rsid w:val="00D137B0"/>
    <w:rsid w:val="00D14A51"/>
    <w:rsid w:val="00D15504"/>
    <w:rsid w:val="00D15B04"/>
    <w:rsid w:val="00D17393"/>
    <w:rsid w:val="00D17711"/>
    <w:rsid w:val="00D17A2B"/>
    <w:rsid w:val="00D20163"/>
    <w:rsid w:val="00D201C2"/>
    <w:rsid w:val="00D2031B"/>
    <w:rsid w:val="00D20791"/>
    <w:rsid w:val="00D20DA2"/>
    <w:rsid w:val="00D21B3F"/>
    <w:rsid w:val="00D21D3B"/>
    <w:rsid w:val="00D23D71"/>
    <w:rsid w:val="00D23F08"/>
    <w:rsid w:val="00D25FE2"/>
    <w:rsid w:val="00D262A2"/>
    <w:rsid w:val="00D2742F"/>
    <w:rsid w:val="00D275E4"/>
    <w:rsid w:val="00D31E41"/>
    <w:rsid w:val="00D3246F"/>
    <w:rsid w:val="00D3291D"/>
    <w:rsid w:val="00D3312C"/>
    <w:rsid w:val="00D33C50"/>
    <w:rsid w:val="00D342FB"/>
    <w:rsid w:val="00D346D2"/>
    <w:rsid w:val="00D37094"/>
    <w:rsid w:val="00D37DA9"/>
    <w:rsid w:val="00D37DAE"/>
    <w:rsid w:val="00D406A7"/>
    <w:rsid w:val="00D4077D"/>
    <w:rsid w:val="00D41127"/>
    <w:rsid w:val="00D41891"/>
    <w:rsid w:val="00D4285C"/>
    <w:rsid w:val="00D42A07"/>
    <w:rsid w:val="00D431CD"/>
    <w:rsid w:val="00D43252"/>
    <w:rsid w:val="00D4357F"/>
    <w:rsid w:val="00D43890"/>
    <w:rsid w:val="00D43E0B"/>
    <w:rsid w:val="00D44768"/>
    <w:rsid w:val="00D44AF6"/>
    <w:rsid w:val="00D44D86"/>
    <w:rsid w:val="00D44DA6"/>
    <w:rsid w:val="00D44F85"/>
    <w:rsid w:val="00D45508"/>
    <w:rsid w:val="00D5015F"/>
    <w:rsid w:val="00D50542"/>
    <w:rsid w:val="00D50B30"/>
    <w:rsid w:val="00D50B7D"/>
    <w:rsid w:val="00D51166"/>
    <w:rsid w:val="00D51526"/>
    <w:rsid w:val="00D51954"/>
    <w:rsid w:val="00D52012"/>
    <w:rsid w:val="00D533CF"/>
    <w:rsid w:val="00D53618"/>
    <w:rsid w:val="00D5424E"/>
    <w:rsid w:val="00D5745C"/>
    <w:rsid w:val="00D57D04"/>
    <w:rsid w:val="00D61D76"/>
    <w:rsid w:val="00D61F49"/>
    <w:rsid w:val="00D65DC8"/>
    <w:rsid w:val="00D665C1"/>
    <w:rsid w:val="00D66F2B"/>
    <w:rsid w:val="00D67279"/>
    <w:rsid w:val="00D672C9"/>
    <w:rsid w:val="00D700F0"/>
    <w:rsid w:val="00D704E5"/>
    <w:rsid w:val="00D70703"/>
    <w:rsid w:val="00D70BCC"/>
    <w:rsid w:val="00D7195A"/>
    <w:rsid w:val="00D72361"/>
    <w:rsid w:val="00D72727"/>
    <w:rsid w:val="00D73363"/>
    <w:rsid w:val="00D74C03"/>
    <w:rsid w:val="00D7519A"/>
    <w:rsid w:val="00D75705"/>
    <w:rsid w:val="00D76148"/>
    <w:rsid w:val="00D7661C"/>
    <w:rsid w:val="00D7699F"/>
    <w:rsid w:val="00D76DBF"/>
    <w:rsid w:val="00D7768A"/>
    <w:rsid w:val="00D77914"/>
    <w:rsid w:val="00D77E0F"/>
    <w:rsid w:val="00D801EC"/>
    <w:rsid w:val="00D80375"/>
    <w:rsid w:val="00D8091E"/>
    <w:rsid w:val="00D81372"/>
    <w:rsid w:val="00D8299E"/>
    <w:rsid w:val="00D837D9"/>
    <w:rsid w:val="00D848E7"/>
    <w:rsid w:val="00D8515F"/>
    <w:rsid w:val="00D85868"/>
    <w:rsid w:val="00D86E39"/>
    <w:rsid w:val="00D8767E"/>
    <w:rsid w:val="00D91E3B"/>
    <w:rsid w:val="00D9236B"/>
    <w:rsid w:val="00D9243A"/>
    <w:rsid w:val="00D93BE4"/>
    <w:rsid w:val="00D9657D"/>
    <w:rsid w:val="00D978C6"/>
    <w:rsid w:val="00D97B1E"/>
    <w:rsid w:val="00DA0956"/>
    <w:rsid w:val="00DA0ED8"/>
    <w:rsid w:val="00DA1464"/>
    <w:rsid w:val="00DA19DB"/>
    <w:rsid w:val="00DA1D58"/>
    <w:rsid w:val="00DA1F2C"/>
    <w:rsid w:val="00DA303C"/>
    <w:rsid w:val="00DA3283"/>
    <w:rsid w:val="00DA357F"/>
    <w:rsid w:val="00DA3E12"/>
    <w:rsid w:val="00DA47C3"/>
    <w:rsid w:val="00DA4C83"/>
    <w:rsid w:val="00DA522D"/>
    <w:rsid w:val="00DA56A5"/>
    <w:rsid w:val="00DA6706"/>
    <w:rsid w:val="00DA6D37"/>
    <w:rsid w:val="00DB086A"/>
    <w:rsid w:val="00DB1441"/>
    <w:rsid w:val="00DB266A"/>
    <w:rsid w:val="00DB369F"/>
    <w:rsid w:val="00DB4B4F"/>
    <w:rsid w:val="00DB4D4A"/>
    <w:rsid w:val="00DB5904"/>
    <w:rsid w:val="00DB635F"/>
    <w:rsid w:val="00DB67EE"/>
    <w:rsid w:val="00DB7E53"/>
    <w:rsid w:val="00DC0AD1"/>
    <w:rsid w:val="00DC18AD"/>
    <w:rsid w:val="00DC1E48"/>
    <w:rsid w:val="00DC2305"/>
    <w:rsid w:val="00DC2FD1"/>
    <w:rsid w:val="00DC3540"/>
    <w:rsid w:val="00DC3C00"/>
    <w:rsid w:val="00DC4466"/>
    <w:rsid w:val="00DC6D1A"/>
    <w:rsid w:val="00DC759E"/>
    <w:rsid w:val="00DC7FEE"/>
    <w:rsid w:val="00DD06AE"/>
    <w:rsid w:val="00DD0991"/>
    <w:rsid w:val="00DD0A7A"/>
    <w:rsid w:val="00DD0AA0"/>
    <w:rsid w:val="00DD3EC6"/>
    <w:rsid w:val="00DD4885"/>
    <w:rsid w:val="00DD493A"/>
    <w:rsid w:val="00DD52A0"/>
    <w:rsid w:val="00DD5308"/>
    <w:rsid w:val="00DD624D"/>
    <w:rsid w:val="00DD6BBB"/>
    <w:rsid w:val="00DD7323"/>
    <w:rsid w:val="00DD7F82"/>
    <w:rsid w:val="00DE0376"/>
    <w:rsid w:val="00DE0AE5"/>
    <w:rsid w:val="00DE28D8"/>
    <w:rsid w:val="00DE2C02"/>
    <w:rsid w:val="00DE3A4D"/>
    <w:rsid w:val="00DE3F88"/>
    <w:rsid w:val="00DE4CF7"/>
    <w:rsid w:val="00DE4EA7"/>
    <w:rsid w:val="00DE57AE"/>
    <w:rsid w:val="00DE5CB5"/>
    <w:rsid w:val="00DE5D42"/>
    <w:rsid w:val="00DE7D46"/>
    <w:rsid w:val="00DF18E7"/>
    <w:rsid w:val="00DF23C0"/>
    <w:rsid w:val="00DF25B4"/>
    <w:rsid w:val="00DF347B"/>
    <w:rsid w:val="00DF37BE"/>
    <w:rsid w:val="00DF3BB8"/>
    <w:rsid w:val="00DF61DE"/>
    <w:rsid w:val="00DF6727"/>
    <w:rsid w:val="00DF7500"/>
    <w:rsid w:val="00DF7CAE"/>
    <w:rsid w:val="00DF7FAF"/>
    <w:rsid w:val="00E00A24"/>
    <w:rsid w:val="00E01810"/>
    <w:rsid w:val="00E0214D"/>
    <w:rsid w:val="00E0317D"/>
    <w:rsid w:val="00E03302"/>
    <w:rsid w:val="00E07D7E"/>
    <w:rsid w:val="00E107E4"/>
    <w:rsid w:val="00E11BCC"/>
    <w:rsid w:val="00E11EA0"/>
    <w:rsid w:val="00E12E42"/>
    <w:rsid w:val="00E13C8D"/>
    <w:rsid w:val="00E13E6D"/>
    <w:rsid w:val="00E149DA"/>
    <w:rsid w:val="00E16EEB"/>
    <w:rsid w:val="00E17BBA"/>
    <w:rsid w:val="00E20B8A"/>
    <w:rsid w:val="00E20CB1"/>
    <w:rsid w:val="00E20D5C"/>
    <w:rsid w:val="00E20F0B"/>
    <w:rsid w:val="00E223CD"/>
    <w:rsid w:val="00E22D5B"/>
    <w:rsid w:val="00E23CC4"/>
    <w:rsid w:val="00E23D02"/>
    <w:rsid w:val="00E24273"/>
    <w:rsid w:val="00E2474E"/>
    <w:rsid w:val="00E25425"/>
    <w:rsid w:val="00E25754"/>
    <w:rsid w:val="00E25FDB"/>
    <w:rsid w:val="00E26BEE"/>
    <w:rsid w:val="00E27153"/>
    <w:rsid w:val="00E275B9"/>
    <w:rsid w:val="00E27664"/>
    <w:rsid w:val="00E277BE"/>
    <w:rsid w:val="00E30D07"/>
    <w:rsid w:val="00E32CED"/>
    <w:rsid w:val="00E32D7A"/>
    <w:rsid w:val="00E337D2"/>
    <w:rsid w:val="00E33DCF"/>
    <w:rsid w:val="00E35187"/>
    <w:rsid w:val="00E35627"/>
    <w:rsid w:val="00E36458"/>
    <w:rsid w:val="00E36E2A"/>
    <w:rsid w:val="00E370E8"/>
    <w:rsid w:val="00E37A32"/>
    <w:rsid w:val="00E40419"/>
    <w:rsid w:val="00E406F8"/>
    <w:rsid w:val="00E41CE1"/>
    <w:rsid w:val="00E423C0"/>
    <w:rsid w:val="00E428DE"/>
    <w:rsid w:val="00E43231"/>
    <w:rsid w:val="00E45563"/>
    <w:rsid w:val="00E45B47"/>
    <w:rsid w:val="00E46714"/>
    <w:rsid w:val="00E476D2"/>
    <w:rsid w:val="00E50758"/>
    <w:rsid w:val="00E52173"/>
    <w:rsid w:val="00E52F53"/>
    <w:rsid w:val="00E54344"/>
    <w:rsid w:val="00E550AE"/>
    <w:rsid w:val="00E55197"/>
    <w:rsid w:val="00E55823"/>
    <w:rsid w:val="00E560D3"/>
    <w:rsid w:val="00E56E02"/>
    <w:rsid w:val="00E57F88"/>
    <w:rsid w:val="00E61895"/>
    <w:rsid w:val="00E6285C"/>
    <w:rsid w:val="00E62D37"/>
    <w:rsid w:val="00E62DE4"/>
    <w:rsid w:val="00E6414C"/>
    <w:rsid w:val="00E64670"/>
    <w:rsid w:val="00E64911"/>
    <w:rsid w:val="00E6499E"/>
    <w:rsid w:val="00E64D12"/>
    <w:rsid w:val="00E65716"/>
    <w:rsid w:val="00E661F1"/>
    <w:rsid w:val="00E66558"/>
    <w:rsid w:val="00E67FDE"/>
    <w:rsid w:val="00E7260F"/>
    <w:rsid w:val="00E7403C"/>
    <w:rsid w:val="00E75D30"/>
    <w:rsid w:val="00E763FD"/>
    <w:rsid w:val="00E764CC"/>
    <w:rsid w:val="00E76A01"/>
    <w:rsid w:val="00E81E9F"/>
    <w:rsid w:val="00E82C7E"/>
    <w:rsid w:val="00E82DEC"/>
    <w:rsid w:val="00E840D4"/>
    <w:rsid w:val="00E84254"/>
    <w:rsid w:val="00E84307"/>
    <w:rsid w:val="00E86C54"/>
    <w:rsid w:val="00E86E74"/>
    <w:rsid w:val="00E8702D"/>
    <w:rsid w:val="00E8721E"/>
    <w:rsid w:val="00E8739E"/>
    <w:rsid w:val="00E905F4"/>
    <w:rsid w:val="00E90679"/>
    <w:rsid w:val="00E90986"/>
    <w:rsid w:val="00E916A9"/>
    <w:rsid w:val="00E916DE"/>
    <w:rsid w:val="00E91924"/>
    <w:rsid w:val="00E92282"/>
    <w:rsid w:val="00E925AD"/>
    <w:rsid w:val="00E93069"/>
    <w:rsid w:val="00E93E3A"/>
    <w:rsid w:val="00E95108"/>
    <w:rsid w:val="00E95791"/>
    <w:rsid w:val="00E95CD9"/>
    <w:rsid w:val="00E962F3"/>
    <w:rsid w:val="00E96630"/>
    <w:rsid w:val="00E97E53"/>
    <w:rsid w:val="00EA1542"/>
    <w:rsid w:val="00EA169C"/>
    <w:rsid w:val="00EA1EBC"/>
    <w:rsid w:val="00EA3AB0"/>
    <w:rsid w:val="00EA3B7B"/>
    <w:rsid w:val="00EA6D49"/>
    <w:rsid w:val="00EB02F0"/>
    <w:rsid w:val="00EB03BC"/>
    <w:rsid w:val="00EB0B34"/>
    <w:rsid w:val="00EB1C4F"/>
    <w:rsid w:val="00EB1EB0"/>
    <w:rsid w:val="00EB23DB"/>
    <w:rsid w:val="00EB27B1"/>
    <w:rsid w:val="00EB2A82"/>
    <w:rsid w:val="00EB39AC"/>
    <w:rsid w:val="00EB5F12"/>
    <w:rsid w:val="00EB64C6"/>
    <w:rsid w:val="00EB6668"/>
    <w:rsid w:val="00EB79A1"/>
    <w:rsid w:val="00EC0718"/>
    <w:rsid w:val="00EC2CAA"/>
    <w:rsid w:val="00EC34D9"/>
    <w:rsid w:val="00EC52DA"/>
    <w:rsid w:val="00EC659F"/>
    <w:rsid w:val="00EC6FF3"/>
    <w:rsid w:val="00EC743C"/>
    <w:rsid w:val="00EC7D6A"/>
    <w:rsid w:val="00ED00C5"/>
    <w:rsid w:val="00ED18DC"/>
    <w:rsid w:val="00ED2C8C"/>
    <w:rsid w:val="00ED2DB3"/>
    <w:rsid w:val="00ED3678"/>
    <w:rsid w:val="00ED6201"/>
    <w:rsid w:val="00ED7268"/>
    <w:rsid w:val="00ED7348"/>
    <w:rsid w:val="00ED747A"/>
    <w:rsid w:val="00ED7A2A"/>
    <w:rsid w:val="00ED7AAD"/>
    <w:rsid w:val="00EE1C77"/>
    <w:rsid w:val="00EE21D7"/>
    <w:rsid w:val="00EE4057"/>
    <w:rsid w:val="00EE54D3"/>
    <w:rsid w:val="00EE5BA9"/>
    <w:rsid w:val="00EF1D7F"/>
    <w:rsid w:val="00EF2802"/>
    <w:rsid w:val="00EF3A14"/>
    <w:rsid w:val="00EF3B63"/>
    <w:rsid w:val="00EF3C16"/>
    <w:rsid w:val="00EF415C"/>
    <w:rsid w:val="00EF6ED5"/>
    <w:rsid w:val="00EF7055"/>
    <w:rsid w:val="00EF70CE"/>
    <w:rsid w:val="00EF7115"/>
    <w:rsid w:val="00EF760D"/>
    <w:rsid w:val="00F0137E"/>
    <w:rsid w:val="00F01642"/>
    <w:rsid w:val="00F018B6"/>
    <w:rsid w:val="00F019E1"/>
    <w:rsid w:val="00F01EC2"/>
    <w:rsid w:val="00F02175"/>
    <w:rsid w:val="00F02B14"/>
    <w:rsid w:val="00F02DA5"/>
    <w:rsid w:val="00F03719"/>
    <w:rsid w:val="00F047A9"/>
    <w:rsid w:val="00F052A0"/>
    <w:rsid w:val="00F0582C"/>
    <w:rsid w:val="00F06457"/>
    <w:rsid w:val="00F0755F"/>
    <w:rsid w:val="00F10E9E"/>
    <w:rsid w:val="00F11A85"/>
    <w:rsid w:val="00F144A4"/>
    <w:rsid w:val="00F1481B"/>
    <w:rsid w:val="00F17FF6"/>
    <w:rsid w:val="00F20153"/>
    <w:rsid w:val="00F20155"/>
    <w:rsid w:val="00F20C98"/>
    <w:rsid w:val="00F20D21"/>
    <w:rsid w:val="00F21786"/>
    <w:rsid w:val="00F2190A"/>
    <w:rsid w:val="00F2295C"/>
    <w:rsid w:val="00F2398F"/>
    <w:rsid w:val="00F23B69"/>
    <w:rsid w:val="00F26691"/>
    <w:rsid w:val="00F26827"/>
    <w:rsid w:val="00F2739E"/>
    <w:rsid w:val="00F276CD"/>
    <w:rsid w:val="00F27DD0"/>
    <w:rsid w:val="00F31229"/>
    <w:rsid w:val="00F3528A"/>
    <w:rsid w:val="00F35B07"/>
    <w:rsid w:val="00F36556"/>
    <w:rsid w:val="00F3742B"/>
    <w:rsid w:val="00F40E3D"/>
    <w:rsid w:val="00F41F3F"/>
    <w:rsid w:val="00F41FDB"/>
    <w:rsid w:val="00F42202"/>
    <w:rsid w:val="00F4255D"/>
    <w:rsid w:val="00F42D37"/>
    <w:rsid w:val="00F50D4A"/>
    <w:rsid w:val="00F51056"/>
    <w:rsid w:val="00F51697"/>
    <w:rsid w:val="00F52DAF"/>
    <w:rsid w:val="00F540C2"/>
    <w:rsid w:val="00F55028"/>
    <w:rsid w:val="00F55B4D"/>
    <w:rsid w:val="00F55B68"/>
    <w:rsid w:val="00F55C40"/>
    <w:rsid w:val="00F5605A"/>
    <w:rsid w:val="00F56078"/>
    <w:rsid w:val="00F56D63"/>
    <w:rsid w:val="00F570E6"/>
    <w:rsid w:val="00F57710"/>
    <w:rsid w:val="00F609A9"/>
    <w:rsid w:val="00F6162F"/>
    <w:rsid w:val="00F61AC1"/>
    <w:rsid w:val="00F634EA"/>
    <w:rsid w:val="00F63A5F"/>
    <w:rsid w:val="00F6423D"/>
    <w:rsid w:val="00F64286"/>
    <w:rsid w:val="00F6601B"/>
    <w:rsid w:val="00F66573"/>
    <w:rsid w:val="00F70781"/>
    <w:rsid w:val="00F7080C"/>
    <w:rsid w:val="00F7150D"/>
    <w:rsid w:val="00F73D10"/>
    <w:rsid w:val="00F7556F"/>
    <w:rsid w:val="00F75CFE"/>
    <w:rsid w:val="00F76243"/>
    <w:rsid w:val="00F76263"/>
    <w:rsid w:val="00F76C44"/>
    <w:rsid w:val="00F77BCC"/>
    <w:rsid w:val="00F80C99"/>
    <w:rsid w:val="00F81581"/>
    <w:rsid w:val="00F8169D"/>
    <w:rsid w:val="00F8219C"/>
    <w:rsid w:val="00F8235F"/>
    <w:rsid w:val="00F8254A"/>
    <w:rsid w:val="00F851ED"/>
    <w:rsid w:val="00F854A8"/>
    <w:rsid w:val="00F857EE"/>
    <w:rsid w:val="00F867EC"/>
    <w:rsid w:val="00F86D86"/>
    <w:rsid w:val="00F87ED6"/>
    <w:rsid w:val="00F9110B"/>
    <w:rsid w:val="00F91B2B"/>
    <w:rsid w:val="00F9219B"/>
    <w:rsid w:val="00F926B1"/>
    <w:rsid w:val="00F930A1"/>
    <w:rsid w:val="00F932AA"/>
    <w:rsid w:val="00F935D4"/>
    <w:rsid w:val="00F94612"/>
    <w:rsid w:val="00F95046"/>
    <w:rsid w:val="00F95406"/>
    <w:rsid w:val="00F955C8"/>
    <w:rsid w:val="00F959EF"/>
    <w:rsid w:val="00F95E2A"/>
    <w:rsid w:val="00F96F17"/>
    <w:rsid w:val="00FA0B44"/>
    <w:rsid w:val="00FA0DB1"/>
    <w:rsid w:val="00FA12A4"/>
    <w:rsid w:val="00FA3516"/>
    <w:rsid w:val="00FA37CB"/>
    <w:rsid w:val="00FA505C"/>
    <w:rsid w:val="00FA5965"/>
    <w:rsid w:val="00FA68F4"/>
    <w:rsid w:val="00FA7B0E"/>
    <w:rsid w:val="00FB1878"/>
    <w:rsid w:val="00FB235C"/>
    <w:rsid w:val="00FB32B3"/>
    <w:rsid w:val="00FB3378"/>
    <w:rsid w:val="00FB5198"/>
    <w:rsid w:val="00FB64C4"/>
    <w:rsid w:val="00FC03CD"/>
    <w:rsid w:val="00FC0646"/>
    <w:rsid w:val="00FC09FC"/>
    <w:rsid w:val="00FC0FB9"/>
    <w:rsid w:val="00FC132C"/>
    <w:rsid w:val="00FC1879"/>
    <w:rsid w:val="00FC19BA"/>
    <w:rsid w:val="00FC32C0"/>
    <w:rsid w:val="00FC3477"/>
    <w:rsid w:val="00FC507E"/>
    <w:rsid w:val="00FC5B25"/>
    <w:rsid w:val="00FC5F48"/>
    <w:rsid w:val="00FC64C7"/>
    <w:rsid w:val="00FC65BF"/>
    <w:rsid w:val="00FC68B7"/>
    <w:rsid w:val="00FC73CE"/>
    <w:rsid w:val="00FD035B"/>
    <w:rsid w:val="00FD1C20"/>
    <w:rsid w:val="00FD1C2F"/>
    <w:rsid w:val="00FD2549"/>
    <w:rsid w:val="00FD2865"/>
    <w:rsid w:val="00FD3EB9"/>
    <w:rsid w:val="00FD4982"/>
    <w:rsid w:val="00FD549E"/>
    <w:rsid w:val="00FD6578"/>
    <w:rsid w:val="00FD7714"/>
    <w:rsid w:val="00FD7838"/>
    <w:rsid w:val="00FE0168"/>
    <w:rsid w:val="00FE0F96"/>
    <w:rsid w:val="00FE2225"/>
    <w:rsid w:val="00FE3A11"/>
    <w:rsid w:val="00FE3EB1"/>
    <w:rsid w:val="00FE465C"/>
    <w:rsid w:val="00FE4A45"/>
    <w:rsid w:val="00FE4AEA"/>
    <w:rsid w:val="00FE636F"/>
    <w:rsid w:val="00FE6985"/>
    <w:rsid w:val="00FE6DDF"/>
    <w:rsid w:val="00FE6EA4"/>
    <w:rsid w:val="00FE6EC0"/>
    <w:rsid w:val="00FF1A86"/>
    <w:rsid w:val="00FF201E"/>
    <w:rsid w:val="00FF2C1D"/>
    <w:rsid w:val="00FF34C5"/>
    <w:rsid w:val="00FF4938"/>
    <w:rsid w:val="00FF5346"/>
    <w:rsid w:val="00FF6A4A"/>
    <w:rsid w:val="00FF719C"/>
    <w:rsid w:val="00FF787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BF8DB"/>
  <w15:docId w15:val="{30DC4431-511C-49E4-A7AB-2DD24EE5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E36"/>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link w:val="Heading6Char"/>
    <w:uiPriority w:val="9"/>
    <w:qFormat/>
    <w:rsid w:val="00E925AD"/>
    <w:pPr>
      <w:spacing w:line="240" w:lineRule="auto"/>
      <w:outlineLvl w:val="5"/>
    </w:pPr>
  </w:style>
  <w:style w:type="paragraph" w:styleId="Heading7">
    <w:name w:val="heading 7"/>
    <w:basedOn w:val="Normal"/>
    <w:next w:val="Normal"/>
    <w:link w:val="Heading7Char"/>
    <w:uiPriority w:val="9"/>
    <w:qFormat/>
    <w:rsid w:val="00E925AD"/>
    <w:pPr>
      <w:spacing w:line="240" w:lineRule="auto"/>
      <w:outlineLvl w:val="6"/>
    </w:pPr>
  </w:style>
  <w:style w:type="paragraph" w:styleId="Heading8">
    <w:name w:val="heading 8"/>
    <w:basedOn w:val="Normal"/>
    <w:next w:val="Normal"/>
    <w:link w:val="Heading8Char"/>
    <w:uiPriority w:val="9"/>
    <w:qFormat/>
    <w:rsid w:val="00E925AD"/>
    <w:pPr>
      <w:spacing w:line="240" w:lineRule="auto"/>
      <w:outlineLvl w:val="7"/>
    </w:pPr>
  </w:style>
  <w:style w:type="paragraph" w:styleId="Heading9">
    <w:name w:val="heading 9"/>
    <w:basedOn w:val="Normal"/>
    <w:next w:val="Normal"/>
    <w:link w:val="Heading9Char"/>
    <w:uiPriority w:val="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D00C5"/>
    <w:pPr>
      <w:keepNext/>
      <w:keepLines/>
      <w:tabs>
        <w:tab w:val="right" w:pos="1134"/>
      </w:tabs>
      <w:spacing w:before="360" w:after="240" w:line="300" w:lineRule="exact"/>
      <w:ind w:left="1215" w:right="1134" w:hanging="648"/>
      <w:outlineLvl w:val="0"/>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16 Point,Superscript 6 Point,Знак сноски-FN,Ciae niinee-FN,Знак сноски 1,SUPERS,JFR-Fußnotenzeichen,Appel note de bas de page,Çíàê ñíîñêè-FN,Çíàê ñíîñêè 1,JFR-Fu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HChG"/>
    <w:next w:val="Normal"/>
    <w:qFormat/>
    <w:rsid w:val="00D50542"/>
    <w:pPr>
      <w:tabs>
        <w:tab w:val="clear" w:pos="1134"/>
        <w:tab w:val="right" w:pos="1276"/>
      </w:tabs>
      <w:spacing w:line="270" w:lineRule="exact"/>
      <w:ind w:left="0" w:firstLine="0"/>
      <w:outlineLvl w:val="1"/>
    </w:pPr>
    <w:rPr>
      <w:sz w:val="24"/>
    </w:rPr>
  </w:style>
  <w:style w:type="paragraph" w:customStyle="1" w:styleId="H23G">
    <w:name w:val="_ H_2/3_G"/>
    <w:basedOn w:val="H1G"/>
    <w:next w:val="Normal"/>
    <w:qFormat/>
    <w:rsid w:val="009407CE"/>
    <w:pPr>
      <w:numPr>
        <w:numId w:val="7"/>
      </w:numPr>
      <w:spacing w:before="240" w:after="120"/>
      <w:ind w:right="1138"/>
    </w:pPr>
    <w:rPr>
      <w:sz w:val="22"/>
      <w:szCs w:val="16"/>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7B75E3"/>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7B75E3"/>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1D3E07"/>
    <w:pPr>
      <w:numPr>
        <w:numId w:val="3"/>
      </w:numPr>
      <w:suppressAutoHyphens w:val="0"/>
    </w:pPr>
  </w:style>
  <w:style w:type="character" w:customStyle="1" w:styleId="Heading1Char">
    <w:name w:val="Heading 1 Char"/>
    <w:aliases w:val="Table_G Char"/>
    <w:basedOn w:val="DefaultParagraphFont"/>
    <w:link w:val="Heading1"/>
    <w:uiPriority w:val="9"/>
    <w:rsid w:val="00DF3BB8"/>
    <w:rPr>
      <w:lang w:val="en-GB"/>
    </w:rPr>
  </w:style>
  <w:style w:type="character" w:customStyle="1" w:styleId="Heading2Char">
    <w:name w:val="Heading 2 Char"/>
    <w:basedOn w:val="DefaultParagraphFont"/>
    <w:link w:val="Heading2"/>
    <w:uiPriority w:val="9"/>
    <w:rsid w:val="00DF3BB8"/>
    <w:rPr>
      <w:lang w:val="en-GB"/>
    </w:rPr>
  </w:style>
  <w:style w:type="character" w:customStyle="1" w:styleId="Heading3Char">
    <w:name w:val="Heading 3 Char"/>
    <w:basedOn w:val="DefaultParagraphFont"/>
    <w:link w:val="Heading3"/>
    <w:uiPriority w:val="9"/>
    <w:rsid w:val="00DF3BB8"/>
    <w:rPr>
      <w:lang w:val="en-GB"/>
    </w:rPr>
  </w:style>
  <w:style w:type="character" w:customStyle="1" w:styleId="Heading4Char">
    <w:name w:val="Heading 4 Char"/>
    <w:basedOn w:val="DefaultParagraphFont"/>
    <w:link w:val="Heading4"/>
    <w:uiPriority w:val="9"/>
    <w:rsid w:val="00DF3BB8"/>
    <w:rPr>
      <w:lang w:val="en-GB"/>
    </w:rPr>
  </w:style>
  <w:style w:type="character" w:customStyle="1" w:styleId="Heading5Char">
    <w:name w:val="Heading 5 Char"/>
    <w:basedOn w:val="DefaultParagraphFont"/>
    <w:link w:val="Heading5"/>
    <w:uiPriority w:val="9"/>
    <w:rsid w:val="00DF3BB8"/>
    <w:rPr>
      <w:lang w:val="en-GB"/>
    </w:rPr>
  </w:style>
  <w:style w:type="character" w:customStyle="1" w:styleId="Heading6Char">
    <w:name w:val="Heading 6 Char"/>
    <w:basedOn w:val="DefaultParagraphFont"/>
    <w:link w:val="Heading6"/>
    <w:uiPriority w:val="9"/>
    <w:rsid w:val="00DF3BB8"/>
    <w:rPr>
      <w:lang w:val="en-GB"/>
    </w:rPr>
  </w:style>
  <w:style w:type="character" w:customStyle="1" w:styleId="Heading7Char">
    <w:name w:val="Heading 7 Char"/>
    <w:basedOn w:val="DefaultParagraphFont"/>
    <w:link w:val="Heading7"/>
    <w:uiPriority w:val="9"/>
    <w:rsid w:val="00DF3BB8"/>
    <w:rPr>
      <w:lang w:val="en-GB"/>
    </w:rPr>
  </w:style>
  <w:style w:type="character" w:customStyle="1" w:styleId="Heading8Char">
    <w:name w:val="Heading 8 Char"/>
    <w:basedOn w:val="DefaultParagraphFont"/>
    <w:link w:val="Heading8"/>
    <w:uiPriority w:val="9"/>
    <w:rsid w:val="00DF3BB8"/>
    <w:rPr>
      <w:lang w:val="en-GB"/>
    </w:rPr>
  </w:style>
  <w:style w:type="character" w:customStyle="1" w:styleId="Heading9Char">
    <w:name w:val="Heading 9 Char"/>
    <w:basedOn w:val="DefaultParagraphFont"/>
    <w:link w:val="Heading9"/>
    <w:uiPriority w:val="9"/>
    <w:rsid w:val="00DF3BB8"/>
    <w:rPr>
      <w:lang w:val="en-GB"/>
    </w:rPr>
  </w:style>
  <w:style w:type="character" w:customStyle="1" w:styleId="FootnoteTextChar">
    <w:name w:val="Footnote Text Char"/>
    <w:aliases w:val="5_G Char"/>
    <w:basedOn w:val="DefaultParagraphFont"/>
    <w:link w:val="FootnoteText"/>
    <w:rsid w:val="00DF3BB8"/>
    <w:rPr>
      <w:sz w:val="18"/>
      <w:lang w:val="en-GB"/>
    </w:rPr>
  </w:style>
  <w:style w:type="character" w:customStyle="1" w:styleId="EndnoteTextChar">
    <w:name w:val="Endnote Text Char"/>
    <w:aliases w:val="2_G Char"/>
    <w:basedOn w:val="DefaultParagraphFont"/>
    <w:link w:val="EndnoteText"/>
    <w:rsid w:val="00DF3BB8"/>
    <w:rPr>
      <w:sz w:val="18"/>
      <w:lang w:val="en-GB"/>
    </w:rPr>
  </w:style>
  <w:style w:type="character" w:customStyle="1" w:styleId="FooterChar">
    <w:name w:val="Footer Char"/>
    <w:aliases w:val="3_G Char"/>
    <w:basedOn w:val="DefaultParagraphFont"/>
    <w:link w:val="Footer"/>
    <w:rsid w:val="00DF3BB8"/>
    <w:rPr>
      <w:sz w:val="16"/>
      <w:lang w:val="en-GB"/>
    </w:rPr>
  </w:style>
  <w:style w:type="character" w:customStyle="1" w:styleId="HeaderChar">
    <w:name w:val="Header Char"/>
    <w:aliases w:val="6_G Char"/>
    <w:basedOn w:val="DefaultParagraphFont"/>
    <w:link w:val="Header"/>
    <w:rsid w:val="00DF3BB8"/>
    <w:rPr>
      <w:b/>
      <w:sz w:val="18"/>
      <w:lang w:val="en-GB"/>
    </w:rPr>
  </w:style>
  <w:style w:type="paragraph" w:styleId="Title">
    <w:name w:val="Title"/>
    <w:basedOn w:val="Normal"/>
    <w:next w:val="Normal"/>
    <w:link w:val="TitleChar"/>
    <w:uiPriority w:val="10"/>
    <w:qFormat/>
    <w:rsid w:val="00DF3BB8"/>
    <w:pPr>
      <w:suppressAutoHyphens w:val="0"/>
      <w:spacing w:line="240" w:lineRule="auto"/>
      <w:contextualSpacing/>
    </w:pPr>
    <w:rPr>
      <w:rFonts w:asciiTheme="majorHAnsi" w:eastAsiaTheme="majorEastAsia" w:hAnsiTheme="majorHAnsi" w:cstheme="majorBidi"/>
      <w:color w:val="000000" w:themeColor="text1"/>
      <w:sz w:val="56"/>
      <w:szCs w:val="56"/>
      <w:lang w:val="en-US" w:eastAsia="zh-CN"/>
    </w:rPr>
  </w:style>
  <w:style w:type="character" w:customStyle="1" w:styleId="TitleChar">
    <w:name w:val="Title Char"/>
    <w:basedOn w:val="DefaultParagraphFont"/>
    <w:link w:val="Title"/>
    <w:uiPriority w:val="10"/>
    <w:rsid w:val="00DF3BB8"/>
    <w:rPr>
      <w:rFonts w:asciiTheme="majorHAnsi" w:eastAsiaTheme="majorEastAsia" w:hAnsiTheme="majorHAnsi" w:cstheme="majorBidi"/>
      <w:color w:val="000000" w:themeColor="text1"/>
      <w:sz w:val="56"/>
      <w:szCs w:val="56"/>
      <w:lang w:val="en-US" w:eastAsia="zh-CN"/>
    </w:rPr>
  </w:style>
  <w:style w:type="paragraph" w:styleId="ListParagraph">
    <w:name w:val="List Paragraph"/>
    <w:basedOn w:val="Normal"/>
    <w:link w:val="ListParagraphChar"/>
    <w:qFormat/>
    <w:rsid w:val="00DF3BB8"/>
    <w:pPr>
      <w:suppressAutoHyphens w:val="0"/>
      <w:spacing w:after="160" w:line="259" w:lineRule="auto"/>
      <w:ind w:left="720"/>
      <w:contextualSpacing/>
      <w:jc w:val="both"/>
    </w:pPr>
    <w:rPr>
      <w:rFonts w:asciiTheme="minorHAnsi" w:eastAsiaTheme="minorEastAsia" w:hAnsiTheme="minorHAnsi" w:cstheme="minorBidi"/>
      <w:sz w:val="22"/>
      <w:szCs w:val="22"/>
      <w:lang w:val="en-US" w:eastAsia="zh-CN"/>
    </w:rPr>
  </w:style>
  <w:style w:type="character" w:styleId="Strong">
    <w:name w:val="Strong"/>
    <w:basedOn w:val="DefaultParagraphFont"/>
    <w:uiPriority w:val="22"/>
    <w:qFormat/>
    <w:rsid w:val="00DF3BB8"/>
    <w:rPr>
      <w:b/>
      <w:bCs/>
      <w:color w:val="000000" w:themeColor="text1"/>
    </w:rPr>
  </w:style>
  <w:style w:type="character" w:customStyle="1" w:styleId="SingleTxtGChar">
    <w:name w:val="_ Single Txt_G Char"/>
    <w:link w:val="SingleTxtG"/>
    <w:rsid w:val="00DF3BB8"/>
    <w:rPr>
      <w:lang w:val="en-GB"/>
    </w:rPr>
  </w:style>
  <w:style w:type="character" w:customStyle="1" w:styleId="ListParagraphChar">
    <w:name w:val="List Paragraph Char"/>
    <w:basedOn w:val="DefaultParagraphFont"/>
    <w:link w:val="ListParagraph"/>
    <w:uiPriority w:val="34"/>
    <w:rsid w:val="00DF3BB8"/>
    <w:rPr>
      <w:rFonts w:asciiTheme="minorHAnsi" w:eastAsiaTheme="minorEastAsia" w:hAnsiTheme="minorHAnsi" w:cstheme="minorBidi"/>
      <w:sz w:val="22"/>
      <w:szCs w:val="22"/>
      <w:lang w:val="en-US" w:eastAsia="zh-CN"/>
    </w:rPr>
  </w:style>
  <w:style w:type="character" w:customStyle="1" w:styleId="UnresolvedMention1">
    <w:name w:val="Unresolved Mention1"/>
    <w:basedOn w:val="DefaultParagraphFont"/>
    <w:uiPriority w:val="99"/>
    <w:semiHidden/>
    <w:unhideWhenUsed/>
    <w:rsid w:val="00DF3BB8"/>
    <w:rPr>
      <w:color w:val="605E5C"/>
      <w:shd w:val="clear" w:color="auto" w:fill="E1DFDD"/>
    </w:rPr>
  </w:style>
  <w:style w:type="character" w:styleId="CommentReference">
    <w:name w:val="annotation reference"/>
    <w:basedOn w:val="DefaultParagraphFont"/>
    <w:unhideWhenUsed/>
    <w:rsid w:val="00DF3BB8"/>
    <w:rPr>
      <w:sz w:val="16"/>
      <w:szCs w:val="16"/>
    </w:rPr>
  </w:style>
  <w:style w:type="paragraph" w:styleId="CommentText">
    <w:name w:val="annotation text"/>
    <w:basedOn w:val="Normal"/>
    <w:link w:val="CommentTextChar"/>
    <w:unhideWhenUsed/>
    <w:rsid w:val="00DF3BB8"/>
    <w:pPr>
      <w:spacing w:line="240" w:lineRule="auto"/>
    </w:pPr>
    <w:rPr>
      <w:lang w:eastAsia="en-US"/>
    </w:rPr>
  </w:style>
  <w:style w:type="character" w:customStyle="1" w:styleId="CommentTextChar">
    <w:name w:val="Comment Text Char"/>
    <w:basedOn w:val="DefaultParagraphFont"/>
    <w:link w:val="CommentText"/>
    <w:rsid w:val="00DF3BB8"/>
    <w:rPr>
      <w:lang w:val="en-GB" w:eastAsia="en-US"/>
    </w:rPr>
  </w:style>
  <w:style w:type="paragraph" w:styleId="CommentSubject">
    <w:name w:val="annotation subject"/>
    <w:basedOn w:val="CommentText"/>
    <w:next w:val="CommentText"/>
    <w:link w:val="CommentSubjectChar"/>
    <w:semiHidden/>
    <w:unhideWhenUsed/>
    <w:rsid w:val="00DF3BB8"/>
    <w:rPr>
      <w:b/>
      <w:bCs/>
    </w:rPr>
  </w:style>
  <w:style w:type="character" w:customStyle="1" w:styleId="CommentSubjectChar">
    <w:name w:val="Comment Subject Char"/>
    <w:basedOn w:val="CommentTextChar"/>
    <w:link w:val="CommentSubject"/>
    <w:semiHidden/>
    <w:rsid w:val="00DF3BB8"/>
    <w:rPr>
      <w:b/>
      <w:bCs/>
      <w:lang w:val="en-GB" w:eastAsia="en-US"/>
    </w:rPr>
  </w:style>
  <w:style w:type="character" w:styleId="UnresolvedMention">
    <w:name w:val="Unresolved Mention"/>
    <w:basedOn w:val="DefaultParagraphFont"/>
    <w:uiPriority w:val="99"/>
    <w:semiHidden/>
    <w:unhideWhenUsed/>
    <w:rsid w:val="00DF3BB8"/>
    <w:rPr>
      <w:color w:val="605E5C"/>
      <w:shd w:val="clear" w:color="auto" w:fill="E1DFDD"/>
    </w:rPr>
  </w:style>
  <w:style w:type="character" w:customStyle="1" w:styleId="A3">
    <w:name w:val="A3"/>
    <w:uiPriority w:val="99"/>
    <w:rsid w:val="00DF3BB8"/>
    <w:rPr>
      <w:rFonts w:cs="Calibri"/>
      <w:color w:val="000000"/>
      <w:sz w:val="20"/>
      <w:szCs w:val="20"/>
    </w:rPr>
  </w:style>
  <w:style w:type="paragraph" w:styleId="TOCHeading">
    <w:name w:val="TOC Heading"/>
    <w:basedOn w:val="Heading1"/>
    <w:next w:val="Normal"/>
    <w:uiPriority w:val="39"/>
    <w:unhideWhenUsed/>
    <w:qFormat/>
    <w:rsid w:val="00DF3BB8"/>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1E49E6"/>
    <w:pPr>
      <w:tabs>
        <w:tab w:val="left" w:pos="851"/>
        <w:tab w:val="left" w:pos="1134"/>
        <w:tab w:val="left" w:pos="1418"/>
        <w:tab w:val="right" w:leader="dot" w:pos="9629"/>
      </w:tabs>
      <w:spacing w:after="100"/>
      <w:ind w:left="567"/>
    </w:pPr>
    <w:rPr>
      <w:lang w:eastAsia="en-US"/>
    </w:rPr>
  </w:style>
  <w:style w:type="paragraph" w:styleId="TOC3">
    <w:name w:val="toc 3"/>
    <w:basedOn w:val="Normal"/>
    <w:next w:val="Normal"/>
    <w:autoRedefine/>
    <w:uiPriority w:val="39"/>
    <w:unhideWhenUsed/>
    <w:rsid w:val="00DF3BB8"/>
    <w:pPr>
      <w:spacing w:after="100"/>
      <w:ind w:left="400"/>
    </w:pPr>
    <w:rPr>
      <w:lang w:eastAsia="en-US"/>
    </w:rPr>
  </w:style>
  <w:style w:type="character" w:customStyle="1" w:styleId="e24kjd">
    <w:name w:val="e24kjd"/>
    <w:basedOn w:val="DefaultParagraphFont"/>
    <w:rsid w:val="00DF3BB8"/>
  </w:style>
  <w:style w:type="paragraph" w:styleId="TOC1">
    <w:name w:val="toc 1"/>
    <w:basedOn w:val="Normal"/>
    <w:next w:val="Normal"/>
    <w:autoRedefine/>
    <w:uiPriority w:val="39"/>
    <w:unhideWhenUsed/>
    <w:rsid w:val="00A72D00"/>
    <w:pPr>
      <w:tabs>
        <w:tab w:val="left" w:pos="567"/>
        <w:tab w:val="right" w:leader="dot" w:pos="9629"/>
      </w:tabs>
      <w:spacing w:after="100"/>
      <w:ind w:left="567" w:hanging="425"/>
    </w:pPr>
  </w:style>
  <w:style w:type="paragraph" w:styleId="TOC8">
    <w:name w:val="toc 8"/>
    <w:basedOn w:val="Normal"/>
    <w:next w:val="Normal"/>
    <w:autoRedefine/>
    <w:semiHidden/>
    <w:unhideWhenUsed/>
    <w:rsid w:val="00953D09"/>
    <w:pPr>
      <w:spacing w:after="100"/>
      <w:ind w:left="1400"/>
    </w:pPr>
  </w:style>
  <w:style w:type="character" w:customStyle="1" w:styleId="st">
    <w:name w:val="st"/>
    <w:basedOn w:val="DefaultParagraphFont"/>
    <w:rsid w:val="0092434A"/>
  </w:style>
  <w:style w:type="paragraph" w:styleId="Revision">
    <w:name w:val="Revision"/>
    <w:hidden/>
    <w:uiPriority w:val="99"/>
    <w:semiHidden/>
    <w:rsid w:val="006B0DC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175">
      <w:bodyDiv w:val="1"/>
      <w:marLeft w:val="0"/>
      <w:marRight w:val="0"/>
      <w:marTop w:val="0"/>
      <w:marBottom w:val="0"/>
      <w:divBdr>
        <w:top w:val="none" w:sz="0" w:space="0" w:color="auto"/>
        <w:left w:val="none" w:sz="0" w:space="0" w:color="auto"/>
        <w:bottom w:val="none" w:sz="0" w:space="0" w:color="auto"/>
        <w:right w:val="none" w:sz="0" w:space="0" w:color="auto"/>
      </w:divBdr>
    </w:div>
    <w:div w:id="135874209">
      <w:bodyDiv w:val="1"/>
      <w:marLeft w:val="0"/>
      <w:marRight w:val="0"/>
      <w:marTop w:val="0"/>
      <w:marBottom w:val="0"/>
      <w:divBdr>
        <w:top w:val="none" w:sz="0" w:space="0" w:color="auto"/>
        <w:left w:val="none" w:sz="0" w:space="0" w:color="auto"/>
        <w:bottom w:val="none" w:sz="0" w:space="0" w:color="auto"/>
        <w:right w:val="none" w:sz="0" w:space="0" w:color="auto"/>
      </w:divBdr>
    </w:div>
    <w:div w:id="225801840">
      <w:bodyDiv w:val="1"/>
      <w:marLeft w:val="0"/>
      <w:marRight w:val="0"/>
      <w:marTop w:val="0"/>
      <w:marBottom w:val="0"/>
      <w:divBdr>
        <w:top w:val="none" w:sz="0" w:space="0" w:color="auto"/>
        <w:left w:val="none" w:sz="0" w:space="0" w:color="auto"/>
        <w:bottom w:val="none" w:sz="0" w:space="0" w:color="auto"/>
        <w:right w:val="none" w:sz="0" w:space="0" w:color="auto"/>
      </w:divBdr>
    </w:div>
    <w:div w:id="332491665">
      <w:bodyDiv w:val="1"/>
      <w:marLeft w:val="0"/>
      <w:marRight w:val="0"/>
      <w:marTop w:val="0"/>
      <w:marBottom w:val="0"/>
      <w:divBdr>
        <w:top w:val="none" w:sz="0" w:space="0" w:color="auto"/>
        <w:left w:val="none" w:sz="0" w:space="0" w:color="auto"/>
        <w:bottom w:val="none" w:sz="0" w:space="0" w:color="auto"/>
        <w:right w:val="none" w:sz="0" w:space="0" w:color="auto"/>
      </w:divBdr>
    </w:div>
    <w:div w:id="346910166">
      <w:bodyDiv w:val="1"/>
      <w:marLeft w:val="0"/>
      <w:marRight w:val="0"/>
      <w:marTop w:val="0"/>
      <w:marBottom w:val="0"/>
      <w:divBdr>
        <w:top w:val="none" w:sz="0" w:space="0" w:color="auto"/>
        <w:left w:val="none" w:sz="0" w:space="0" w:color="auto"/>
        <w:bottom w:val="none" w:sz="0" w:space="0" w:color="auto"/>
        <w:right w:val="none" w:sz="0" w:space="0" w:color="auto"/>
      </w:divBdr>
    </w:div>
    <w:div w:id="432173013">
      <w:bodyDiv w:val="1"/>
      <w:marLeft w:val="0"/>
      <w:marRight w:val="0"/>
      <w:marTop w:val="0"/>
      <w:marBottom w:val="0"/>
      <w:divBdr>
        <w:top w:val="none" w:sz="0" w:space="0" w:color="auto"/>
        <w:left w:val="none" w:sz="0" w:space="0" w:color="auto"/>
        <w:bottom w:val="none" w:sz="0" w:space="0" w:color="auto"/>
        <w:right w:val="none" w:sz="0" w:space="0" w:color="auto"/>
      </w:divBdr>
    </w:div>
    <w:div w:id="475150406">
      <w:bodyDiv w:val="1"/>
      <w:marLeft w:val="0"/>
      <w:marRight w:val="0"/>
      <w:marTop w:val="0"/>
      <w:marBottom w:val="0"/>
      <w:divBdr>
        <w:top w:val="none" w:sz="0" w:space="0" w:color="auto"/>
        <w:left w:val="none" w:sz="0" w:space="0" w:color="auto"/>
        <w:bottom w:val="none" w:sz="0" w:space="0" w:color="auto"/>
        <w:right w:val="none" w:sz="0" w:space="0" w:color="auto"/>
      </w:divBdr>
    </w:div>
    <w:div w:id="542601004">
      <w:bodyDiv w:val="1"/>
      <w:marLeft w:val="0"/>
      <w:marRight w:val="0"/>
      <w:marTop w:val="0"/>
      <w:marBottom w:val="0"/>
      <w:divBdr>
        <w:top w:val="none" w:sz="0" w:space="0" w:color="auto"/>
        <w:left w:val="none" w:sz="0" w:space="0" w:color="auto"/>
        <w:bottom w:val="none" w:sz="0" w:space="0" w:color="auto"/>
        <w:right w:val="none" w:sz="0" w:space="0" w:color="auto"/>
      </w:divBdr>
    </w:div>
    <w:div w:id="799692183">
      <w:bodyDiv w:val="1"/>
      <w:marLeft w:val="0"/>
      <w:marRight w:val="0"/>
      <w:marTop w:val="0"/>
      <w:marBottom w:val="0"/>
      <w:divBdr>
        <w:top w:val="none" w:sz="0" w:space="0" w:color="auto"/>
        <w:left w:val="none" w:sz="0" w:space="0" w:color="auto"/>
        <w:bottom w:val="none" w:sz="0" w:space="0" w:color="auto"/>
        <w:right w:val="none" w:sz="0" w:space="0" w:color="auto"/>
      </w:divBdr>
    </w:div>
    <w:div w:id="913320823">
      <w:bodyDiv w:val="1"/>
      <w:marLeft w:val="0"/>
      <w:marRight w:val="0"/>
      <w:marTop w:val="0"/>
      <w:marBottom w:val="0"/>
      <w:divBdr>
        <w:top w:val="none" w:sz="0" w:space="0" w:color="auto"/>
        <w:left w:val="none" w:sz="0" w:space="0" w:color="auto"/>
        <w:bottom w:val="none" w:sz="0" w:space="0" w:color="auto"/>
        <w:right w:val="none" w:sz="0" w:space="0" w:color="auto"/>
      </w:divBdr>
    </w:div>
    <w:div w:id="999692363">
      <w:bodyDiv w:val="1"/>
      <w:marLeft w:val="0"/>
      <w:marRight w:val="0"/>
      <w:marTop w:val="0"/>
      <w:marBottom w:val="0"/>
      <w:divBdr>
        <w:top w:val="none" w:sz="0" w:space="0" w:color="auto"/>
        <w:left w:val="none" w:sz="0" w:space="0" w:color="auto"/>
        <w:bottom w:val="none" w:sz="0" w:space="0" w:color="auto"/>
        <w:right w:val="none" w:sz="0" w:space="0" w:color="auto"/>
      </w:divBdr>
    </w:div>
    <w:div w:id="1025712581">
      <w:bodyDiv w:val="1"/>
      <w:marLeft w:val="0"/>
      <w:marRight w:val="0"/>
      <w:marTop w:val="0"/>
      <w:marBottom w:val="0"/>
      <w:divBdr>
        <w:top w:val="none" w:sz="0" w:space="0" w:color="auto"/>
        <w:left w:val="none" w:sz="0" w:space="0" w:color="auto"/>
        <w:bottom w:val="none" w:sz="0" w:space="0" w:color="auto"/>
        <w:right w:val="none" w:sz="0" w:space="0" w:color="auto"/>
      </w:divBdr>
    </w:div>
    <w:div w:id="1193885921">
      <w:bodyDiv w:val="1"/>
      <w:marLeft w:val="0"/>
      <w:marRight w:val="0"/>
      <w:marTop w:val="0"/>
      <w:marBottom w:val="0"/>
      <w:divBdr>
        <w:top w:val="none" w:sz="0" w:space="0" w:color="auto"/>
        <w:left w:val="none" w:sz="0" w:space="0" w:color="auto"/>
        <w:bottom w:val="none" w:sz="0" w:space="0" w:color="auto"/>
        <w:right w:val="none" w:sz="0" w:space="0" w:color="auto"/>
      </w:divBdr>
    </w:div>
    <w:div w:id="1270627818">
      <w:bodyDiv w:val="1"/>
      <w:marLeft w:val="0"/>
      <w:marRight w:val="0"/>
      <w:marTop w:val="0"/>
      <w:marBottom w:val="0"/>
      <w:divBdr>
        <w:top w:val="none" w:sz="0" w:space="0" w:color="auto"/>
        <w:left w:val="none" w:sz="0" w:space="0" w:color="auto"/>
        <w:bottom w:val="none" w:sz="0" w:space="0" w:color="auto"/>
        <w:right w:val="none" w:sz="0" w:space="0" w:color="auto"/>
      </w:divBdr>
    </w:div>
    <w:div w:id="1473281819">
      <w:bodyDiv w:val="1"/>
      <w:marLeft w:val="0"/>
      <w:marRight w:val="0"/>
      <w:marTop w:val="0"/>
      <w:marBottom w:val="0"/>
      <w:divBdr>
        <w:top w:val="none" w:sz="0" w:space="0" w:color="auto"/>
        <w:left w:val="none" w:sz="0" w:space="0" w:color="auto"/>
        <w:bottom w:val="none" w:sz="0" w:space="0" w:color="auto"/>
        <w:right w:val="none" w:sz="0" w:space="0" w:color="auto"/>
      </w:divBdr>
    </w:div>
    <w:div w:id="1795294431">
      <w:bodyDiv w:val="1"/>
      <w:marLeft w:val="0"/>
      <w:marRight w:val="0"/>
      <w:marTop w:val="0"/>
      <w:marBottom w:val="0"/>
      <w:divBdr>
        <w:top w:val="none" w:sz="0" w:space="0" w:color="auto"/>
        <w:left w:val="none" w:sz="0" w:space="0" w:color="auto"/>
        <w:bottom w:val="none" w:sz="0" w:space="0" w:color="auto"/>
        <w:right w:val="none" w:sz="0" w:space="0" w:color="auto"/>
      </w:divBdr>
    </w:div>
    <w:div w:id="1884823761">
      <w:bodyDiv w:val="1"/>
      <w:marLeft w:val="0"/>
      <w:marRight w:val="0"/>
      <w:marTop w:val="0"/>
      <w:marBottom w:val="0"/>
      <w:divBdr>
        <w:top w:val="none" w:sz="0" w:space="0" w:color="auto"/>
        <w:left w:val="none" w:sz="0" w:space="0" w:color="auto"/>
        <w:bottom w:val="none" w:sz="0" w:space="0" w:color="auto"/>
        <w:right w:val="none" w:sz="0" w:space="0" w:color="auto"/>
      </w:divBdr>
    </w:div>
    <w:div w:id="1989094457">
      <w:bodyDiv w:val="1"/>
      <w:marLeft w:val="0"/>
      <w:marRight w:val="0"/>
      <w:marTop w:val="0"/>
      <w:marBottom w:val="0"/>
      <w:divBdr>
        <w:top w:val="none" w:sz="0" w:space="0" w:color="auto"/>
        <w:left w:val="none" w:sz="0" w:space="0" w:color="auto"/>
        <w:bottom w:val="none" w:sz="0" w:space="0" w:color="auto"/>
        <w:right w:val="none" w:sz="0" w:space="0" w:color="auto"/>
      </w:divBdr>
    </w:div>
    <w:div w:id="2055540365">
      <w:bodyDiv w:val="1"/>
      <w:marLeft w:val="0"/>
      <w:marRight w:val="0"/>
      <w:marTop w:val="0"/>
      <w:marBottom w:val="0"/>
      <w:divBdr>
        <w:top w:val="none" w:sz="0" w:space="0" w:color="auto"/>
        <w:left w:val="none" w:sz="0" w:space="0" w:color="auto"/>
        <w:bottom w:val="none" w:sz="0" w:space="0" w:color="auto"/>
        <w:right w:val="none" w:sz="0" w:space="0" w:color="auto"/>
      </w:divBdr>
    </w:div>
    <w:div w:id="20874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grandviewresearch.com/industry-analysis/waste-to-energy-technology-industry" TargetMode="External"/><Relationship Id="rId18" Type="http://schemas.openxmlformats.org/officeDocument/2006/relationships/hyperlink" Target="http://gwcouncil.org/the-list-of-waste-to-energy-facilities-in-the-world" TargetMode="External"/><Relationship Id="rId26" Type="http://schemas.openxmlformats.org/officeDocument/2006/relationships/hyperlink" Target="https://eur-lex.europa.eu/legal-content/EN/TXT/?uri=CELEX:31991L0156" TargetMode="External"/><Relationship Id="rId39" Type="http://schemas.openxmlformats.org/officeDocument/2006/relationships/hyperlink" Target="https://eur-lex.europa.eu/legal-content/EN/TXT/PDF/?uri=CELEX%3A32017D1442&amp;from=EN" TargetMode="External"/><Relationship Id="rId21" Type="http://schemas.openxmlformats.org/officeDocument/2006/relationships/hyperlink" Target="https://openknowledge.worldbank.org/handle/10986/30317" TargetMode="External"/><Relationship Id="rId34" Type="http://schemas.openxmlformats.org/officeDocument/2006/relationships/hyperlink" Target="https://eur-lex.europa.eu/eli/dir/2010/75/2011-01-06" TargetMode="External"/><Relationship Id="rId42" Type="http://schemas.openxmlformats.org/officeDocument/2006/relationships/hyperlink" Target="https://eur-lex.europa.eu/legal-content/EN/TXT/PDF/?uri=CELEX:32018L0851&amp;from=EN" TargetMode="External"/><Relationship Id="rId47" Type="http://schemas.openxmlformats.org/officeDocument/2006/relationships/hyperlink" Target="https://www.unhcr.org/news/briefing/2019/2/5c540fe74/worlds-biggest-refugee-settlement-gets-biggest-waste-facility.html" TargetMode="External"/><Relationship Id="rId7" Type="http://schemas.openxmlformats.org/officeDocument/2006/relationships/hyperlink" Target="http://www.stats.gov.cn/tjsj/ndsj/2016/indexeh.htm" TargetMode="External"/><Relationship Id="rId2" Type="http://schemas.openxmlformats.org/officeDocument/2006/relationships/hyperlink" Target="https://data.worldbank.org/indicator/SP.POP.TOTL" TargetMode="External"/><Relationship Id="rId16" Type="http://schemas.openxmlformats.org/officeDocument/2006/relationships/hyperlink" Target="https://ec.europa.eu/eurostat/statistics-explained/index.php?title=File:Municipal_waste_treatment,_EU-27,_(kg_per_capita)_new.png&amp;oldid=323975" TargetMode="External"/><Relationship Id="rId29" Type="http://schemas.openxmlformats.org/officeDocument/2006/relationships/hyperlink" Target="https://eur-lex.europa.eu/legal-content/EN/TXT/PDF/?uri=CELEX:32001L0077&amp;from=EN" TargetMode="External"/><Relationship Id="rId1" Type="http://schemas.openxmlformats.org/officeDocument/2006/relationships/hyperlink" Target="https://openknowledge.worldbank.org/handle/10986/30317" TargetMode="External"/><Relationship Id="rId6" Type="http://schemas.openxmlformats.org/officeDocument/2006/relationships/hyperlink" Target="https://nems.nih.gov/environmental-programs/Pages/Benefits-of-Recycling.aspx" TargetMode="External"/><Relationship Id="rId11" Type="http://schemas.openxmlformats.org/officeDocument/2006/relationships/hyperlink" Target="https://www.sciencedirect.com/science/article/pii/S0956053X19300017?via%3Dihub" TargetMode="External"/><Relationship Id="rId24" Type="http://schemas.openxmlformats.org/officeDocument/2006/relationships/hyperlink" Target="https://wiki.unece.org/display/pppp/Impact+Assessment+Tool" TargetMode="External"/><Relationship Id="rId32" Type="http://schemas.openxmlformats.org/officeDocument/2006/relationships/hyperlink" Target="https://ec.europa.eu/environment/waste/framework/pdf/guidance.pdf" TargetMode="External"/><Relationship Id="rId37" Type="http://schemas.openxmlformats.org/officeDocument/2006/relationships/hyperlink" Target="https://eur-lex.europa.eu/resource.html?uri=cellar:8a8ef5e8-99a0-11e5-b3b7-01aa75ed71a1.0012.03/DOC_3&amp;format=HTML&amp;lang=EN&amp;parentUrn=COM:2015:614:FIN" TargetMode="External"/><Relationship Id="rId40" Type="http://schemas.openxmlformats.org/officeDocument/2006/relationships/hyperlink" Target="https://eur-lex.europa.eu/legal-content/EN/TXT/PDF/?uri=CELEX:52018PC0353&amp;from=EN" TargetMode="External"/><Relationship Id="rId45" Type="http://schemas.openxmlformats.org/officeDocument/2006/relationships/hyperlink" Target="https://eur-lex.europa.eu/legal-content/EN/TXT/PDF/?uri=CELEX:32018L0851&amp;from=EN" TargetMode="External"/><Relationship Id="rId5" Type="http://schemas.openxmlformats.org/officeDocument/2006/relationships/hyperlink" Target="https://datatopics.worldbank.org/what-a-waste/trends_in_solid_waste_management.html" TargetMode="External"/><Relationship Id="rId15" Type="http://schemas.openxmlformats.org/officeDocument/2006/relationships/hyperlink" Target="https://ec.europa.eu/environment/industry/stationary/ied/legislation.htm" TargetMode="External"/><Relationship Id="rId23" Type="http://schemas.openxmlformats.org/officeDocument/2006/relationships/hyperlink" Target="https://www.iea.org/countries/Switzerland" TargetMode="External"/><Relationship Id="rId28" Type="http://schemas.openxmlformats.org/officeDocument/2006/relationships/hyperlink" Target="https://eur-lex.europa.eu/LexUriServ/LexUriServ.do?uri=CONSLEG:2000L0076:20081211:EN:PDF" TargetMode="External"/><Relationship Id="rId36" Type="http://schemas.openxmlformats.org/officeDocument/2006/relationships/hyperlink" Target="https://ec.europa.eu/environment/circular-economy/index_en.htm" TargetMode="External"/><Relationship Id="rId10" Type="http://schemas.openxmlformats.org/officeDocument/2006/relationships/hyperlink" Target="http://energyrecoverycouncil.org/wp-content/uploads/2016/06/ERC-2016-directory.pdf" TargetMode="External"/><Relationship Id="rId19" Type="http://schemas.openxmlformats.org/officeDocument/2006/relationships/hyperlink" Target="https://www.cewep.eu/wte-climate-protection/" TargetMode="External"/><Relationship Id="rId31" Type="http://schemas.openxmlformats.org/officeDocument/2006/relationships/hyperlink" Target="https://ec.europa.eu/environment/waste/framework/" TargetMode="External"/><Relationship Id="rId44" Type="http://schemas.openxmlformats.org/officeDocument/2006/relationships/hyperlink" Target="https://www.cewep.eu/wp-content/uploads/2019/02/Joint-statement-taxonomy-February-2019.pdf" TargetMode="External"/><Relationship Id="rId4" Type="http://schemas.openxmlformats.org/officeDocument/2006/relationships/hyperlink" Target="https://data.worldbank.org/indicator/EN.ATM.CO2E.KT" TargetMode="External"/><Relationship Id="rId9" Type="http://schemas.openxmlformats.org/officeDocument/2006/relationships/hyperlink" Target="http://gwcouncil.org/the-list-of-waste-to-energy-facilities-in-the-world/" TargetMode="External"/><Relationship Id="rId14" Type="http://schemas.openxmlformats.org/officeDocument/2006/relationships/hyperlink" Target="https://www.prnewswire.com/news-releases/top-20-companies-in-the-waste-to-energy-wte-market-2018-visiongain-report-868219369.html" TargetMode="External"/><Relationship Id="rId22" Type="http://schemas.openxmlformats.org/officeDocument/2006/relationships/hyperlink" Target="https://www.unece.org/fileadmin/DAM/ceci/ppp/Standards/ECE_CECI_WP_PPP_2017_04-en.pdf" TargetMode="External"/><Relationship Id="rId27" Type="http://schemas.openxmlformats.org/officeDocument/2006/relationships/hyperlink" Target="https://ec.europa.eu/environment/waste/landfill/index.htm" TargetMode="External"/><Relationship Id="rId30" Type="http://schemas.openxmlformats.org/officeDocument/2006/relationships/hyperlink" Target="https://eur-lex.europa.eu/legal-content/en/TXT/?uri=CELEX:32006L0012" TargetMode="External"/><Relationship Id="rId35" Type="http://schemas.openxmlformats.org/officeDocument/2006/relationships/hyperlink" Target="https://ec.europa.eu/info/strategy/priorities-2019-2024" TargetMode="External"/><Relationship Id="rId43" Type="http://schemas.openxmlformats.org/officeDocument/2006/relationships/hyperlink" Target="https://eur-lex.europa.eu/legal-content/EN/TXT/PDF/?uri=CELEX:32018L2001&amp;from=EN" TargetMode="External"/><Relationship Id="rId48" Type="http://schemas.openxmlformats.org/officeDocument/2006/relationships/hyperlink" Target="https://www.ebrd.com/work-with-us/procurement/pn-51281.html" TargetMode="External"/><Relationship Id="rId8" Type="http://schemas.openxmlformats.org/officeDocument/2006/relationships/hyperlink" Target="https://www.cewep.eu/waste-to-energy-plants-in-europe-in-2017/" TargetMode="External"/><Relationship Id="rId3" Type="http://schemas.openxmlformats.org/officeDocument/2006/relationships/hyperlink" Target="https://www.iea.org/reports/world-energy-balances-overview" TargetMode="External"/><Relationship Id="rId12" Type="http://schemas.openxmlformats.org/officeDocument/2006/relationships/hyperlink" Target="https://www.nea.gov.sg/our-services/waste-management/3r-programmes-and-resources/waste-management-infrastructure/solid-waste-management-infrastructure" TargetMode="External"/><Relationship Id="rId17" Type="http://schemas.openxmlformats.org/officeDocument/2006/relationships/hyperlink" Target="https://www.wtienergy.com/sites/default/files/ERC-2014-Berenyi-recycling-study-1.pdf" TargetMode="External"/><Relationship Id="rId25" Type="http://schemas.openxmlformats.org/officeDocument/2006/relationships/hyperlink" Target="https://eur-lex.europa.eu/legal-content/EN/TXT/?uri=CELEX:31975L0442" TargetMode="External"/><Relationship Id="rId33" Type="http://schemas.openxmlformats.org/officeDocument/2006/relationships/hyperlink" Target="https://eur-lex.europa.eu/legal-content/EN/TXT/PDF/?uri=CELEX:32009L0028&amp;from=EN" TargetMode="External"/><Relationship Id="rId38" Type="http://schemas.openxmlformats.org/officeDocument/2006/relationships/hyperlink" Target="https://ec.europa.eu/environment/waste/waste-to-energy.pdf" TargetMode="External"/><Relationship Id="rId46" Type="http://schemas.openxmlformats.org/officeDocument/2006/relationships/hyperlink" Target="https://www.eib.org/en/publications/the-eib-in-the-circular-economy-guide" TargetMode="External"/><Relationship Id="rId20" Type="http://schemas.openxmlformats.org/officeDocument/2006/relationships/hyperlink" Target="https://home.kpmg/xx/en/home/insights/2019/10/waste-to-energy-green-solutions-for-emerging-markets.html" TargetMode="External"/><Relationship Id="rId41" Type="http://schemas.openxmlformats.org/officeDocument/2006/relationships/hyperlink" Target="https://eur-lex.europa.eu/legal-content/EN/TXT/PDF/?uri=CELEX:32018L0850&amp;from=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Open dump</c:v>
                </c:pt>
              </c:strCache>
            </c:strRef>
          </c:tx>
          <c:spPr>
            <a:solidFill>
              <a:schemeClr val="accent1"/>
            </a:solidFill>
            <a:ln>
              <a:noFill/>
            </a:ln>
            <a:effectLst/>
          </c:spPr>
          <c:invertIfNegative val="0"/>
          <c:dLbls>
            <c:dLbl>
              <c:idx val="3"/>
              <c:layout>
                <c:manualLayout>
                  <c:x val="3.0156815440289506E-2"/>
                  <c:y val="-6.4325917984454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21-49E9-92F2-95774D06DCB8}"/>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Low-income</c:v>
                </c:pt>
                <c:pt idx="1">
                  <c:v>Lower-middle-income</c:v>
                </c:pt>
                <c:pt idx="2">
                  <c:v>Upper-middle-income</c:v>
                </c:pt>
                <c:pt idx="3">
                  <c:v>High-income</c:v>
                </c:pt>
              </c:strCache>
            </c:strRef>
          </c:cat>
          <c:val>
            <c:numRef>
              <c:f>Sheet1!$B$2:$B$5</c:f>
              <c:numCache>
                <c:formatCode>0%</c:formatCode>
                <c:ptCount val="4"/>
                <c:pt idx="0">
                  <c:v>0.93</c:v>
                </c:pt>
                <c:pt idx="1">
                  <c:v>0.66</c:v>
                </c:pt>
                <c:pt idx="2">
                  <c:v>0.3</c:v>
                </c:pt>
                <c:pt idx="3">
                  <c:v>0.02</c:v>
                </c:pt>
              </c:numCache>
            </c:numRef>
          </c:val>
          <c:extLst>
            <c:ext xmlns:c16="http://schemas.microsoft.com/office/drawing/2014/chart" uri="{C3380CC4-5D6E-409C-BE32-E72D297353CC}">
              <c16:uniqueId val="{00000001-6A21-4AE0-BFE7-C921308B8472}"/>
            </c:ext>
          </c:extLst>
        </c:ser>
        <c:ser>
          <c:idx val="1"/>
          <c:order val="1"/>
          <c:tx>
            <c:strRef>
              <c:f>Sheet1!$C$1</c:f>
              <c:strCache>
                <c:ptCount val="1"/>
                <c:pt idx="0">
                  <c:v>Landfill</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Low-income</c:v>
                </c:pt>
                <c:pt idx="1">
                  <c:v>Lower-middle-income</c:v>
                </c:pt>
                <c:pt idx="2">
                  <c:v>Upper-middle-income</c:v>
                </c:pt>
                <c:pt idx="3">
                  <c:v>High-income</c:v>
                </c:pt>
              </c:strCache>
            </c:strRef>
          </c:cat>
          <c:val>
            <c:numRef>
              <c:f>Sheet1!$C$2:$C$5</c:f>
              <c:numCache>
                <c:formatCode>0%</c:formatCode>
                <c:ptCount val="4"/>
                <c:pt idx="0">
                  <c:v>0.03</c:v>
                </c:pt>
                <c:pt idx="1">
                  <c:v>0.18</c:v>
                </c:pt>
                <c:pt idx="2">
                  <c:v>0.54</c:v>
                </c:pt>
                <c:pt idx="3">
                  <c:v>0.39</c:v>
                </c:pt>
              </c:numCache>
            </c:numRef>
          </c:val>
          <c:extLst>
            <c:ext xmlns:c16="http://schemas.microsoft.com/office/drawing/2014/chart" uri="{C3380CC4-5D6E-409C-BE32-E72D297353CC}">
              <c16:uniqueId val="{00000002-6A21-4AE0-BFE7-C921308B8472}"/>
            </c:ext>
          </c:extLst>
        </c:ser>
        <c:ser>
          <c:idx val="2"/>
          <c:order val="2"/>
          <c:tx>
            <c:strRef>
              <c:f>Sheet1!$D$1</c:f>
              <c:strCache>
                <c:ptCount val="1"/>
                <c:pt idx="0">
                  <c:v>Composting</c:v>
                </c:pt>
              </c:strCache>
            </c:strRef>
          </c:tx>
          <c:spPr>
            <a:solidFill>
              <a:schemeClr val="accent3"/>
            </a:solidFill>
            <a:ln>
              <a:noFill/>
            </a:ln>
            <a:effectLst/>
          </c:spPr>
          <c:invertIfNegative val="0"/>
          <c:dLbls>
            <c:dLbl>
              <c:idx val="0"/>
              <c:layout>
                <c:manualLayout>
                  <c:x val="1.1057371259076471E-16"/>
                  <c:y val="6.4325917984454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21-4AE0-BFE7-C921308B8472}"/>
                </c:ext>
              </c:extLst>
            </c:dLbl>
            <c:dLbl>
              <c:idx val="1"/>
              <c:layout>
                <c:manualLayout>
                  <c:x val="-3.0156815440289505E-3"/>
                  <c:y val="-5.360493165371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21-49E9-92F2-95774D06DCB8}"/>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Low-income</c:v>
                </c:pt>
                <c:pt idx="1">
                  <c:v>Lower-middle-income</c:v>
                </c:pt>
                <c:pt idx="2">
                  <c:v>Upper-middle-income</c:v>
                </c:pt>
                <c:pt idx="3">
                  <c:v>High-income</c:v>
                </c:pt>
              </c:strCache>
            </c:strRef>
          </c:cat>
          <c:val>
            <c:numRef>
              <c:f>Sheet1!$D$2:$D$5</c:f>
              <c:numCache>
                <c:formatCode>0%</c:formatCode>
                <c:ptCount val="4"/>
                <c:pt idx="0" formatCode="0.00%">
                  <c:v>3.0000000000000001E-3</c:v>
                </c:pt>
                <c:pt idx="1">
                  <c:v>0.1</c:v>
                </c:pt>
                <c:pt idx="2">
                  <c:v>0.02</c:v>
                </c:pt>
                <c:pt idx="3">
                  <c:v>0.06</c:v>
                </c:pt>
              </c:numCache>
            </c:numRef>
          </c:val>
          <c:extLst>
            <c:ext xmlns:c16="http://schemas.microsoft.com/office/drawing/2014/chart" uri="{C3380CC4-5D6E-409C-BE32-E72D297353CC}">
              <c16:uniqueId val="{00000004-6A21-4AE0-BFE7-C921308B8472}"/>
            </c:ext>
          </c:extLst>
        </c:ser>
        <c:ser>
          <c:idx val="3"/>
          <c:order val="3"/>
          <c:tx>
            <c:strRef>
              <c:f>Sheet1!$E$1</c:f>
              <c:strCache>
                <c:ptCount val="1"/>
                <c:pt idx="0">
                  <c:v>Recycling</c:v>
                </c:pt>
              </c:strCache>
            </c:strRef>
          </c:tx>
          <c:spPr>
            <a:solidFill>
              <a:schemeClr val="accent4"/>
            </a:solidFill>
            <a:ln>
              <a:noFill/>
            </a:ln>
            <a:effectLst/>
          </c:spPr>
          <c:invertIfNegative val="0"/>
          <c:dLbls>
            <c:dLbl>
              <c:idx val="0"/>
              <c:layout>
                <c:manualLayout>
                  <c:x val="9.0470446320866302E-3"/>
                  <c:y val="-6.4325917984454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21-4AE0-BFE7-C921308B8472}"/>
                </c:ext>
              </c:extLst>
            </c:dLbl>
            <c:dLbl>
              <c:idx val="1"/>
              <c:layout>
                <c:manualLayout>
                  <c:x val="1.2062726176115802E-2"/>
                  <c:y val="-9.827457275555502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21-49E9-92F2-95774D06DCB8}"/>
                </c:ext>
              </c:extLst>
            </c:dLbl>
            <c:dLbl>
              <c:idx val="2"/>
              <c:layout>
                <c:manualLayout>
                  <c:x val="-1.1057371259076471E-16"/>
                  <c:y val="-6.4325917984454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21-4AE0-BFE7-C921308B8472}"/>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Low-income</c:v>
                </c:pt>
                <c:pt idx="1">
                  <c:v>Lower-middle-income</c:v>
                </c:pt>
                <c:pt idx="2">
                  <c:v>Upper-middle-income</c:v>
                </c:pt>
                <c:pt idx="3">
                  <c:v>High-income</c:v>
                </c:pt>
              </c:strCache>
            </c:strRef>
          </c:cat>
          <c:val>
            <c:numRef>
              <c:f>Sheet1!$E$2:$E$5</c:f>
              <c:numCache>
                <c:formatCode>0%</c:formatCode>
                <c:ptCount val="4"/>
                <c:pt idx="0" formatCode="0.00%">
                  <c:v>3.6999999999999998E-2</c:v>
                </c:pt>
                <c:pt idx="1">
                  <c:v>0.06</c:v>
                </c:pt>
                <c:pt idx="2">
                  <c:v>0.04</c:v>
                </c:pt>
                <c:pt idx="3">
                  <c:v>0.28999999999999998</c:v>
                </c:pt>
              </c:numCache>
            </c:numRef>
          </c:val>
          <c:extLst>
            <c:ext xmlns:c16="http://schemas.microsoft.com/office/drawing/2014/chart" uri="{C3380CC4-5D6E-409C-BE32-E72D297353CC}">
              <c16:uniqueId val="{00000007-6A21-4AE0-BFE7-C921308B8472}"/>
            </c:ext>
          </c:extLst>
        </c:ser>
        <c:ser>
          <c:idx val="4"/>
          <c:order val="4"/>
          <c:tx>
            <c:strRef>
              <c:f>Sheet1!$F$1</c:f>
              <c:strCache>
                <c:ptCount val="1"/>
                <c:pt idx="0">
                  <c:v>Incineration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Low-income</c:v>
                </c:pt>
                <c:pt idx="1">
                  <c:v>Lower-middle-income</c:v>
                </c:pt>
                <c:pt idx="2">
                  <c:v>Upper-middle-income</c:v>
                </c:pt>
                <c:pt idx="3">
                  <c:v>High-income</c:v>
                </c:pt>
              </c:strCache>
            </c:strRef>
          </c:cat>
          <c:val>
            <c:numRef>
              <c:f>Sheet1!$F$2:$F$5</c:f>
              <c:numCache>
                <c:formatCode>General</c:formatCode>
                <c:ptCount val="4"/>
                <c:pt idx="2" formatCode="0%">
                  <c:v>0.1</c:v>
                </c:pt>
                <c:pt idx="3" formatCode="0%">
                  <c:v>0.22</c:v>
                </c:pt>
              </c:numCache>
            </c:numRef>
          </c:val>
          <c:extLst>
            <c:ext xmlns:c16="http://schemas.microsoft.com/office/drawing/2014/chart" uri="{C3380CC4-5D6E-409C-BE32-E72D297353CC}">
              <c16:uniqueId val="{00000008-6A21-4AE0-BFE7-C921308B8472}"/>
            </c:ext>
          </c:extLst>
        </c:ser>
        <c:ser>
          <c:idx val="5"/>
          <c:order val="5"/>
          <c:tx>
            <c:strRef>
              <c:f>Sheet1!$G$1</c:f>
              <c:strCache>
                <c:ptCount val="1"/>
                <c:pt idx="0">
                  <c:v>Other advanced methods</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Low-income</c:v>
                </c:pt>
                <c:pt idx="1">
                  <c:v>Lower-middle-income</c:v>
                </c:pt>
                <c:pt idx="2">
                  <c:v>Upper-middle-income</c:v>
                </c:pt>
                <c:pt idx="3">
                  <c:v>High-income</c:v>
                </c:pt>
              </c:strCache>
            </c:strRef>
          </c:cat>
          <c:val>
            <c:numRef>
              <c:f>Sheet1!$G$2:$G$5</c:f>
              <c:numCache>
                <c:formatCode>General</c:formatCode>
                <c:ptCount val="4"/>
                <c:pt idx="3" formatCode="0%">
                  <c:v>0.02</c:v>
                </c:pt>
              </c:numCache>
            </c:numRef>
          </c:val>
          <c:extLst>
            <c:ext xmlns:c16="http://schemas.microsoft.com/office/drawing/2014/chart" uri="{C3380CC4-5D6E-409C-BE32-E72D297353CC}">
              <c16:uniqueId val="{00000009-6A21-4AE0-BFE7-C921308B8472}"/>
            </c:ext>
          </c:extLst>
        </c:ser>
        <c:dLbls>
          <c:dLblPos val="ctr"/>
          <c:showLegendKey val="0"/>
          <c:showVal val="1"/>
          <c:showCatName val="0"/>
          <c:showSerName val="0"/>
          <c:showPercent val="0"/>
          <c:showBubbleSize val="0"/>
        </c:dLbls>
        <c:gapWidth val="150"/>
        <c:overlap val="100"/>
        <c:axId val="555266872"/>
        <c:axId val="555267856"/>
      </c:barChart>
      <c:catAx>
        <c:axId val="555266872"/>
        <c:scaling>
          <c:orientation val="minMax"/>
        </c:scaling>
        <c:delete val="0"/>
        <c:axPos val="l"/>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5267856"/>
        <c:crosses val="autoZero"/>
        <c:auto val="1"/>
        <c:lblAlgn val="ctr"/>
        <c:lblOffset val="100"/>
        <c:noMultiLvlLbl val="0"/>
      </c:catAx>
      <c:valAx>
        <c:axId val="5552678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in"/>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5266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df115c9565ebf608dfa67385aaf0957d">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1eefc07a77bc1eedb47d45fafc9c3c74"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AA3F-5A5E-4EDC-8815-E8FF103F5AEA}">
  <ds:schemaRefs>
    <ds:schemaRef ds:uri="http://schemas.microsoft.com/sharepoint/v3/contenttype/forms"/>
  </ds:schemaRefs>
</ds:datastoreItem>
</file>

<file path=customXml/itemProps2.xml><?xml version="1.0" encoding="utf-8"?>
<ds:datastoreItem xmlns:ds="http://schemas.openxmlformats.org/officeDocument/2006/customXml" ds:itemID="{36095A1B-A02A-4223-BCE2-93FA8FCDD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0C627-8D6F-4039-9C0E-9230F54E9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20539-0B16-C648-9164-F4D07BE1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13708</Words>
  <Characters>78142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BOURTSALAS</dc:creator>
  <cp:keywords/>
  <dc:description/>
  <cp:lastModifiedBy>Camille Malafosse</cp:lastModifiedBy>
  <cp:revision>2</cp:revision>
  <cp:lastPrinted>2020-10-16T12:52:00Z</cp:lastPrinted>
  <dcterms:created xsi:type="dcterms:W3CDTF">2021-06-30T16:46:00Z</dcterms:created>
  <dcterms:modified xsi:type="dcterms:W3CDTF">2021-06-30T16:46:00Z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