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DD697BC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08F6580" w14:textId="77777777" w:rsidR="00F35BAF" w:rsidRPr="00DB58B5" w:rsidRDefault="00F35BAF" w:rsidP="000C3F7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835A1A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C87B924" w14:textId="28346887" w:rsidR="00F35BAF" w:rsidRPr="00DB58B5" w:rsidRDefault="000C3F77" w:rsidP="000C3F77">
            <w:pPr>
              <w:jc w:val="right"/>
            </w:pPr>
            <w:r w:rsidRPr="000C3F77">
              <w:rPr>
                <w:sz w:val="40"/>
              </w:rPr>
              <w:t>ECE</w:t>
            </w:r>
            <w:r>
              <w:t>/TRANS/WP.29/GRE/2021/21</w:t>
            </w:r>
          </w:p>
        </w:tc>
      </w:tr>
      <w:tr w:rsidR="00F35BAF" w:rsidRPr="00DB58B5" w14:paraId="338AF123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C87D24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48E13B9" wp14:editId="199789D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9BA6F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DF97A6E" w14:textId="77777777" w:rsidR="00F35BAF" w:rsidRDefault="000C3F77" w:rsidP="00C97039">
            <w:pPr>
              <w:spacing w:before="240"/>
            </w:pPr>
            <w:r>
              <w:t>Distr. générale</w:t>
            </w:r>
          </w:p>
          <w:p w14:paraId="632D9EEA" w14:textId="77777777" w:rsidR="000C3F77" w:rsidRDefault="000C3F77" w:rsidP="000C3F77">
            <w:pPr>
              <w:spacing w:line="240" w:lineRule="exact"/>
            </w:pPr>
            <w:r>
              <w:t>9 août 2021</w:t>
            </w:r>
          </w:p>
          <w:p w14:paraId="491854AD" w14:textId="77777777" w:rsidR="000C3F77" w:rsidRDefault="000C3F77" w:rsidP="000C3F77">
            <w:pPr>
              <w:spacing w:line="240" w:lineRule="exact"/>
            </w:pPr>
            <w:r>
              <w:t>Français</w:t>
            </w:r>
          </w:p>
          <w:p w14:paraId="6B624200" w14:textId="40DE86AD" w:rsidR="000C3F77" w:rsidRPr="00DB58B5" w:rsidRDefault="000C3F77" w:rsidP="000C3F77">
            <w:pPr>
              <w:spacing w:line="240" w:lineRule="exact"/>
            </w:pPr>
            <w:r>
              <w:t>Original : anglais</w:t>
            </w:r>
          </w:p>
        </w:tc>
      </w:tr>
    </w:tbl>
    <w:p w14:paraId="74519E5C" w14:textId="2A7E8965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C3F77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A3516A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57314EF" w14:textId="17FF14F0" w:rsidR="000C3F77" w:rsidRDefault="000C3F77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7AF6DC01" w14:textId="4D92F978" w:rsidR="000C3F77" w:rsidRDefault="000C3F77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14:paraId="34230192" w14:textId="77777777" w:rsidR="000C3F77" w:rsidRPr="00C16270" w:rsidRDefault="000C3F77" w:rsidP="000C3F77">
      <w:pPr>
        <w:rPr>
          <w:b/>
        </w:rPr>
      </w:pPr>
      <w:r>
        <w:rPr>
          <w:b/>
          <w:bCs/>
          <w:lang w:val="fr-FR"/>
        </w:rPr>
        <w:t>Quatre-vingt-cinquième session</w:t>
      </w:r>
    </w:p>
    <w:p w14:paraId="3E001B36" w14:textId="77777777" w:rsidR="000C3F77" w:rsidRPr="00C16270" w:rsidRDefault="000C3F77" w:rsidP="000C3F77">
      <w:pPr>
        <w:rPr>
          <w:bCs/>
        </w:rPr>
      </w:pPr>
      <w:r>
        <w:rPr>
          <w:lang w:val="fr-FR"/>
        </w:rPr>
        <w:t>Genève, 26-29 octobre 2021</w:t>
      </w:r>
    </w:p>
    <w:p w14:paraId="2520CEA8" w14:textId="38FB8393" w:rsidR="000C3F77" w:rsidRPr="00C16270" w:rsidRDefault="000C3F77" w:rsidP="000C3F77">
      <w:pPr>
        <w:ind w:right="1134"/>
        <w:rPr>
          <w:bCs/>
        </w:rPr>
      </w:pPr>
      <w:r>
        <w:rPr>
          <w:lang w:val="fr-FR"/>
        </w:rPr>
        <w:t>Point 4 e) 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14:paraId="76A4D1B4" w14:textId="1BCE0E4F" w:rsidR="000C3F77" w:rsidRPr="00C16270" w:rsidRDefault="000C3F77" w:rsidP="000C3F77">
      <w:pPr>
        <w:ind w:right="1134"/>
        <w:rPr>
          <w:b/>
          <w:bCs/>
        </w:rPr>
      </w:pPr>
      <w:r>
        <w:rPr>
          <w:b/>
          <w:bCs/>
          <w:lang w:val="fr-FR"/>
        </w:rPr>
        <w:t xml:space="preserve">Simplification des Règlements ONU relatifs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à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éclairage et à la signalisation lumineuse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</w:p>
    <w:p w14:paraId="2C0DDBF4" w14:textId="77777777" w:rsidR="000C3F77" w:rsidRPr="00C16270" w:rsidRDefault="000C3F77" w:rsidP="000C3F77">
      <w:pPr>
        <w:ind w:right="1134"/>
        <w:rPr>
          <w:b/>
        </w:rPr>
      </w:pPr>
      <w:r>
        <w:rPr>
          <w:b/>
          <w:bCs/>
          <w:lang w:val="fr-FR"/>
        </w:rPr>
        <w:t xml:space="preserve">Simplification des Règlements ONU </w:t>
      </w:r>
      <w:r w:rsidRPr="00F523BE">
        <w:rPr>
          <w:b/>
          <w:bCs/>
          <w:lang w:val="fr-FR"/>
        </w:rPr>
        <w:t>n</w:t>
      </w:r>
      <w:r w:rsidRPr="00F523BE">
        <w:rPr>
          <w:b/>
          <w:bCs/>
          <w:vertAlign w:val="superscript"/>
          <w:lang w:val="fr-FR"/>
        </w:rPr>
        <w:t>o</w:t>
      </w:r>
      <w:r>
        <w:rPr>
          <w:b/>
          <w:bCs/>
          <w:vertAlign w:val="superscript"/>
          <w:lang w:val="fr-FR"/>
        </w:rPr>
        <w:t>s </w:t>
      </w:r>
      <w:r>
        <w:rPr>
          <w:b/>
          <w:bCs/>
          <w:lang w:val="fr-FR"/>
        </w:rPr>
        <w:t>48, 53, 74 et 86</w:t>
      </w:r>
    </w:p>
    <w:p w14:paraId="2ABBF955" w14:textId="5D88A542" w:rsidR="000C3F77" w:rsidRPr="00C16270" w:rsidRDefault="000C3F77" w:rsidP="000C3F77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de complément aux séries 01 et 02 d</w:t>
      </w:r>
      <w:r>
        <w:rPr>
          <w:lang w:val="fr-FR"/>
        </w:rPr>
        <w:t>’</w:t>
      </w:r>
      <w:r>
        <w:rPr>
          <w:lang w:val="fr-FR"/>
        </w:rPr>
        <w:t xml:space="preserve">amendements au Règlement ONU </w:t>
      </w:r>
      <w:r w:rsidRPr="00C16270">
        <w:rPr>
          <w:lang w:val="fr-FR"/>
        </w:rPr>
        <w:t>n</w:t>
      </w:r>
      <w:r w:rsidRPr="00C16270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 </w:t>
      </w:r>
      <w:r>
        <w:rPr>
          <w:lang w:val="fr-FR"/>
        </w:rPr>
        <w:t xml:space="preserve">74 </w:t>
      </w:r>
      <w:r>
        <w:rPr>
          <w:lang w:val="fr-FR"/>
        </w:rPr>
        <w:br/>
      </w:r>
      <w:r>
        <w:rPr>
          <w:lang w:val="fr-FR"/>
        </w:rPr>
        <w:t>(Installation des dispositifs d</w:t>
      </w:r>
      <w:r>
        <w:rPr>
          <w:lang w:val="fr-FR"/>
        </w:rPr>
        <w:t>’</w:t>
      </w:r>
      <w:r>
        <w:rPr>
          <w:lang w:val="fr-FR"/>
        </w:rPr>
        <w:t xml:space="preserve">éclairage et </w:t>
      </w:r>
      <w:r>
        <w:rPr>
          <w:lang w:val="fr-FR"/>
        </w:rPr>
        <w:br/>
      </w:r>
      <w:r>
        <w:rPr>
          <w:lang w:val="fr-FR"/>
        </w:rPr>
        <w:t xml:space="preserve">de signalisation lumineuse sur les cyclomoteurs) </w:t>
      </w:r>
    </w:p>
    <w:p w14:paraId="0858F59E" w14:textId="2773C1D6" w:rsidR="000C3F77" w:rsidRPr="00C16270" w:rsidRDefault="000C3F77" w:rsidP="000C3F77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groupe de travail informel de la simplification </w:t>
      </w:r>
      <w:r>
        <w:rPr>
          <w:lang w:val="fr-FR"/>
        </w:rPr>
        <w:br/>
      </w:r>
      <w:r>
        <w:rPr>
          <w:lang w:val="fr-FR"/>
        </w:rPr>
        <w:t>des Règlements relatifs à l</w:t>
      </w:r>
      <w:r>
        <w:rPr>
          <w:lang w:val="fr-FR"/>
        </w:rPr>
        <w:t>’</w:t>
      </w:r>
      <w:r>
        <w:rPr>
          <w:lang w:val="fr-FR"/>
        </w:rPr>
        <w:t>éclairage et à la signalisation lumineuse</w:t>
      </w:r>
      <w:r w:rsidRPr="000C3F77">
        <w:rPr>
          <w:b w:val="0"/>
          <w:bCs/>
          <w:sz w:val="20"/>
          <w:lang w:val="fr-FR"/>
        </w:rPr>
        <w:footnoteReference w:customMarkFollows="1" w:id="2"/>
        <w:t>*</w:t>
      </w:r>
      <w:bookmarkStart w:id="0" w:name="_Hlk79392708"/>
      <w:bookmarkEnd w:id="0"/>
    </w:p>
    <w:p w14:paraId="57D369AA" w14:textId="400B9EB2" w:rsidR="000C3F77" w:rsidRPr="00C16270" w:rsidRDefault="000C3F77" w:rsidP="000C3F77">
      <w:pPr>
        <w:pStyle w:val="SingleTxtG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Le texte ci-après, établi par le groupe de travail informel de la simplification des Règlements relatifs à l</w:t>
      </w:r>
      <w:r>
        <w:rPr>
          <w:lang w:val="fr-FR"/>
        </w:rPr>
        <w:t>’</w:t>
      </w:r>
      <w:r>
        <w:rPr>
          <w:lang w:val="fr-FR"/>
        </w:rPr>
        <w:t>éclairage et à la signalisation lumineuse (groupe SLR), est fondé sur le document GRE-84-09. Il vise à ajouter dans les séries 01 et 02 d</w:t>
      </w:r>
      <w:r>
        <w:rPr>
          <w:lang w:val="fr-FR"/>
        </w:rPr>
        <w:t>’</w:t>
      </w:r>
      <w:r>
        <w:rPr>
          <w:lang w:val="fr-FR"/>
        </w:rPr>
        <w:t xml:space="preserve">amendements au Règlement ONU </w:t>
      </w:r>
      <w:r w:rsidRPr="00C16270">
        <w:rPr>
          <w:lang w:val="fr-FR"/>
        </w:rPr>
        <w:t>n</w:t>
      </w:r>
      <w:r w:rsidRPr="00C16270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 </w:t>
      </w:r>
      <w:r>
        <w:rPr>
          <w:lang w:val="fr-FR"/>
        </w:rPr>
        <w:t>74 des références aux classes de projecteurs de la série 01 d</w:t>
      </w:r>
      <w:r>
        <w:rPr>
          <w:lang w:val="fr-FR"/>
        </w:rPr>
        <w:t>’</w:t>
      </w:r>
      <w:r>
        <w:rPr>
          <w:lang w:val="fr-FR"/>
        </w:rPr>
        <w:t xml:space="preserve">amendements au Règlement ONU </w:t>
      </w:r>
      <w:r w:rsidRPr="00C16270">
        <w:rPr>
          <w:lang w:val="fr-FR"/>
        </w:rPr>
        <w:t>n</w:t>
      </w:r>
      <w:r w:rsidRPr="00C16270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 </w:t>
      </w:r>
      <w:r>
        <w:rPr>
          <w:lang w:val="fr-FR"/>
        </w:rPr>
        <w:t>149. Les modifications qu</w:t>
      </w:r>
      <w:r>
        <w:rPr>
          <w:lang w:val="fr-FR"/>
        </w:rPr>
        <w:t>’</w:t>
      </w:r>
      <w:r>
        <w:rPr>
          <w:lang w:val="fr-FR"/>
        </w:rPr>
        <w:t>il est proposé d</w:t>
      </w:r>
      <w:r>
        <w:rPr>
          <w:lang w:val="fr-FR"/>
        </w:rPr>
        <w:t>’</w:t>
      </w:r>
      <w:r>
        <w:rPr>
          <w:lang w:val="fr-FR"/>
        </w:rPr>
        <w:t xml:space="preserve">apporter au texte actuel du Règlement ONU </w:t>
      </w:r>
      <w:r w:rsidRPr="000C3F77">
        <w:rPr>
          <w:rFonts w:eastAsia="MS Mincho"/>
          <w:lang w:val="fr-FR"/>
        </w:rPr>
        <w:t>n</w:t>
      </w:r>
      <w:r w:rsidRPr="000C3F77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 </w:t>
      </w:r>
      <w:r>
        <w:rPr>
          <w:lang w:val="fr-FR"/>
        </w:rPr>
        <w:t>74 figurent en caractères gras pour les ajouts et biffés pour les suppressions.</w:t>
      </w:r>
    </w:p>
    <w:p w14:paraId="40494D62" w14:textId="6C68BD3E" w:rsidR="000C3F77" w:rsidRDefault="000C3F77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>
        <w:br w:type="page"/>
      </w:r>
    </w:p>
    <w:p w14:paraId="77523345" w14:textId="290E91D5" w:rsidR="000C3F77" w:rsidRPr="00C16270" w:rsidRDefault="000C3F77" w:rsidP="000C3F77">
      <w:pPr>
        <w:pStyle w:val="HChG"/>
      </w:pPr>
      <w:r>
        <w:rPr>
          <w:lang w:val="fr-FR"/>
        </w:rPr>
        <w:lastRenderedPageBreak/>
        <w:tab/>
      </w:r>
      <w:r>
        <w:rPr>
          <w:lang w:val="fr-FR"/>
        </w:rPr>
        <w:t>I.</w:t>
      </w:r>
      <w:r>
        <w:rPr>
          <w:lang w:val="fr-FR"/>
        </w:rPr>
        <w:tab/>
        <w:t>Proposition</w:t>
      </w:r>
    </w:p>
    <w:p w14:paraId="2785D425" w14:textId="73A2261F" w:rsidR="000C3F77" w:rsidRPr="00C16270" w:rsidRDefault="000C3F77" w:rsidP="000C3F77">
      <w:pPr>
        <w:pStyle w:val="SingleTxtG"/>
        <w:rPr>
          <w:rFonts w:asciiTheme="majorBidi" w:hAnsiTheme="majorBidi" w:cstheme="majorBidi"/>
        </w:rPr>
      </w:pPr>
      <w:r w:rsidRPr="000C3F77">
        <w:rPr>
          <w:i/>
          <w:iCs/>
          <w:lang w:val="fr-FR"/>
        </w:rPr>
        <w:t>Paragraphe 6.1.7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54286456" w14:textId="2E9D72A4" w:rsidR="000C3F77" w:rsidRPr="00C16270" w:rsidRDefault="000C3F77" w:rsidP="000C3F77">
      <w:pPr>
        <w:pStyle w:val="SingleTxtG"/>
        <w:ind w:left="2268" w:right="992" w:hanging="1134"/>
        <w:rPr>
          <w:rFonts w:asciiTheme="majorBidi" w:hAnsiTheme="majorBidi" w:cstheme="majorBidi"/>
        </w:rPr>
      </w:pPr>
      <w:r>
        <w:rPr>
          <w:lang w:val="fr-FR"/>
        </w:rPr>
        <w:t>« 6.1.7</w:t>
      </w:r>
      <w:r>
        <w:rPr>
          <w:lang w:val="fr-FR"/>
        </w:rPr>
        <w:tab/>
        <w:t xml:space="preserve">Branchements électriques </w:t>
      </w:r>
    </w:p>
    <w:p w14:paraId="2C9E095D" w14:textId="6044C893" w:rsidR="000C3F77" w:rsidRPr="00C16270" w:rsidRDefault="000C3F77" w:rsidP="000C3F77">
      <w:pPr>
        <w:pStyle w:val="SingleTxtG"/>
        <w:ind w:left="2268" w:right="992"/>
      </w:pPr>
      <w:r>
        <w:rPr>
          <w:lang w:val="fr-FR"/>
        </w:rPr>
        <w:t>Le ou les feux</w:t>
      </w:r>
      <w:r>
        <w:rPr>
          <w:lang w:val="fr-FR"/>
        </w:rPr>
        <w:t xml:space="preserve"> de </w:t>
      </w:r>
      <w:r>
        <w:rPr>
          <w:lang w:val="fr-FR"/>
        </w:rPr>
        <w:t>croisement peuvent rester allumés en même temps que le ou les feux</w:t>
      </w:r>
      <w:r>
        <w:rPr>
          <w:lang w:val="fr-FR"/>
        </w:rPr>
        <w:t xml:space="preserve"> de </w:t>
      </w:r>
      <w:r>
        <w:rPr>
          <w:lang w:val="fr-FR"/>
        </w:rPr>
        <w:t>route.</w:t>
      </w:r>
    </w:p>
    <w:p w14:paraId="45DA119F" w14:textId="5A759F35" w:rsidR="000C3F77" w:rsidRPr="00C16270" w:rsidRDefault="000C3F77" w:rsidP="000C3F77">
      <w:pPr>
        <w:pStyle w:val="SingleTxtG"/>
        <w:ind w:left="2268" w:right="992"/>
        <w:rPr>
          <w:b/>
          <w:bCs/>
        </w:rPr>
      </w:pPr>
      <w:r>
        <w:rPr>
          <w:b/>
          <w:bCs/>
          <w:lang w:val="fr-FR"/>
        </w:rPr>
        <w:t>Toutefois, lorsque le véhicule est équipé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un ou de plusieurs feux</w:t>
      </w:r>
      <w:r>
        <w:rPr>
          <w:b/>
          <w:bCs/>
          <w:lang w:val="fr-FR"/>
        </w:rPr>
        <w:t xml:space="preserve"> de </w:t>
      </w:r>
      <w:r>
        <w:rPr>
          <w:b/>
          <w:bCs/>
          <w:lang w:val="fr-FR"/>
        </w:rPr>
        <w:t xml:space="preserve">route secondaires homologués conformément aux Règlements ONU </w:t>
      </w:r>
      <w:r w:rsidRPr="00C16270">
        <w:rPr>
          <w:b/>
          <w:bCs/>
          <w:lang w:val="fr-FR"/>
        </w:rPr>
        <w:t>n</w:t>
      </w:r>
      <w:r w:rsidRPr="00C16270">
        <w:rPr>
          <w:b/>
          <w:bCs/>
          <w:vertAlign w:val="superscript"/>
          <w:lang w:val="fr-FR"/>
        </w:rPr>
        <w:t>o</w:t>
      </w:r>
      <w:r>
        <w:rPr>
          <w:b/>
          <w:bCs/>
          <w:vertAlign w:val="superscript"/>
          <w:lang w:val="fr-FR"/>
        </w:rPr>
        <w:t>s</w:t>
      </w:r>
      <w:r>
        <w:rPr>
          <w:b/>
          <w:bCs/>
          <w:lang w:val="fr-FR"/>
        </w:rPr>
        <w:t>113 ou 149,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un au moins des feux suivants doit rester allumé avec le ou les feux</w:t>
      </w:r>
      <w:r>
        <w:rPr>
          <w:b/>
          <w:bCs/>
          <w:lang w:val="fr-FR"/>
        </w:rPr>
        <w:t xml:space="preserve"> de </w:t>
      </w:r>
      <w:r>
        <w:rPr>
          <w:b/>
          <w:bCs/>
          <w:lang w:val="fr-FR"/>
        </w:rPr>
        <w:t>route secondaires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</w:p>
    <w:p w14:paraId="59E2DC9F" w14:textId="323572D1" w:rsidR="000C3F77" w:rsidRPr="00C16270" w:rsidRDefault="000C3F77" w:rsidP="000C3F77">
      <w:pPr>
        <w:pStyle w:val="SingleTxtG"/>
        <w:ind w:left="2835" w:right="992" w:hanging="567"/>
        <w:rPr>
          <w:b/>
          <w:iCs/>
        </w:rPr>
      </w:pPr>
      <w:r>
        <w:rPr>
          <w:b/>
          <w:bCs/>
          <w:lang w:val="fr-FR"/>
        </w:rPr>
        <w:t>a)</w:t>
      </w:r>
      <w:r>
        <w:rPr>
          <w:lang w:val="fr-FR"/>
        </w:rPr>
        <w:tab/>
      </w:r>
      <w:r>
        <w:rPr>
          <w:b/>
          <w:bCs/>
          <w:lang w:val="fr-FR"/>
        </w:rPr>
        <w:t>Feu(x)</w:t>
      </w:r>
      <w:r>
        <w:rPr>
          <w:b/>
          <w:bCs/>
          <w:lang w:val="fr-FR"/>
        </w:rPr>
        <w:t xml:space="preserve"> de </w:t>
      </w:r>
      <w:r>
        <w:rPr>
          <w:b/>
          <w:bCs/>
          <w:lang w:val="fr-FR"/>
        </w:rPr>
        <w:t>croisement ;</w:t>
      </w:r>
    </w:p>
    <w:p w14:paraId="6F36B41F" w14:textId="15ADED92" w:rsidR="000C3F77" w:rsidRPr="00C16270" w:rsidRDefault="000C3F77" w:rsidP="000C3F77">
      <w:pPr>
        <w:pStyle w:val="SingleTxtG"/>
        <w:ind w:left="2835" w:right="992" w:hanging="567"/>
        <w:rPr>
          <w:b/>
          <w:iCs/>
        </w:rPr>
      </w:pPr>
      <w:r>
        <w:rPr>
          <w:b/>
          <w:bCs/>
          <w:lang w:val="fr-FR"/>
        </w:rPr>
        <w:t>b)</w:t>
      </w:r>
      <w:r>
        <w:rPr>
          <w:lang w:val="fr-FR"/>
        </w:rPr>
        <w:tab/>
      </w:r>
      <w:r>
        <w:rPr>
          <w:b/>
          <w:bCs/>
          <w:lang w:val="fr-FR"/>
        </w:rPr>
        <w:t>Feu</w:t>
      </w:r>
      <w:r>
        <w:rPr>
          <w:b/>
          <w:bCs/>
          <w:lang w:val="fr-FR"/>
        </w:rPr>
        <w:t xml:space="preserve"> de </w:t>
      </w:r>
      <w:r>
        <w:rPr>
          <w:b/>
          <w:bCs/>
          <w:lang w:val="fr-FR"/>
        </w:rPr>
        <w:t xml:space="preserve">route primaire homologué conformément aux Règlements ONU </w:t>
      </w:r>
      <w:r w:rsidRPr="00C16270">
        <w:rPr>
          <w:b/>
          <w:bCs/>
          <w:lang w:val="fr-FR"/>
        </w:rPr>
        <w:t>n</w:t>
      </w:r>
      <w:r w:rsidRPr="00C16270">
        <w:rPr>
          <w:b/>
          <w:bCs/>
          <w:vertAlign w:val="superscript"/>
          <w:lang w:val="fr-FR"/>
        </w:rPr>
        <w:t>o</w:t>
      </w:r>
      <w:r>
        <w:rPr>
          <w:b/>
          <w:bCs/>
          <w:vertAlign w:val="superscript"/>
          <w:lang w:val="fr-FR"/>
        </w:rPr>
        <w:t>s </w:t>
      </w:r>
      <w:r>
        <w:rPr>
          <w:b/>
          <w:bCs/>
          <w:lang w:val="fr-FR"/>
        </w:rPr>
        <w:t>113 ou 149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;</w:t>
      </w:r>
    </w:p>
    <w:p w14:paraId="20A90CD7" w14:textId="700F8050" w:rsidR="000C3F77" w:rsidRPr="00C16270" w:rsidRDefault="000C3F77" w:rsidP="000C3F77">
      <w:pPr>
        <w:pStyle w:val="SingleTxtG"/>
        <w:ind w:left="2835" w:right="992" w:hanging="567"/>
        <w:rPr>
          <w:i/>
          <w:iCs/>
          <w:kern w:val="2"/>
        </w:rPr>
      </w:pPr>
      <w:r>
        <w:rPr>
          <w:b/>
          <w:bCs/>
          <w:lang w:val="fr-FR"/>
        </w:rPr>
        <w:t>c)</w:t>
      </w:r>
      <w:r>
        <w:rPr>
          <w:lang w:val="fr-FR"/>
        </w:rPr>
        <w:tab/>
      </w:r>
      <w:r>
        <w:rPr>
          <w:b/>
          <w:bCs/>
          <w:lang w:val="fr-FR"/>
        </w:rPr>
        <w:t>Feu</w:t>
      </w:r>
      <w:r>
        <w:rPr>
          <w:b/>
          <w:bCs/>
          <w:lang w:val="fr-FR"/>
        </w:rPr>
        <w:t xml:space="preserve"> de </w:t>
      </w:r>
      <w:r>
        <w:rPr>
          <w:b/>
          <w:bCs/>
          <w:lang w:val="fr-FR"/>
        </w:rPr>
        <w:t>route de classe A ou B homologué en application de la série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01 et des séries ultérieures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amendements au Règlement ONU </w:t>
      </w:r>
      <w:r w:rsidRPr="00C16270">
        <w:rPr>
          <w:b/>
          <w:bCs/>
          <w:lang w:val="fr-FR"/>
        </w:rPr>
        <w:t>n</w:t>
      </w:r>
      <w:r w:rsidRPr="00C16270">
        <w:rPr>
          <w:b/>
          <w:bCs/>
          <w:vertAlign w:val="superscript"/>
          <w:lang w:val="fr-FR"/>
        </w:rPr>
        <w:t>o</w:t>
      </w:r>
      <w:r>
        <w:rPr>
          <w:b/>
          <w:bCs/>
          <w:vertAlign w:val="superscript"/>
          <w:lang w:val="fr-FR"/>
        </w:rPr>
        <w:t> </w:t>
      </w:r>
      <w:r>
        <w:rPr>
          <w:b/>
          <w:bCs/>
          <w:lang w:val="fr-FR"/>
        </w:rPr>
        <w:t>149. </w:t>
      </w:r>
      <w:r w:rsidRPr="0066372F">
        <w:rPr>
          <w:lang w:val="fr-FR"/>
        </w:rPr>
        <w:t>».</w:t>
      </w:r>
      <w:r>
        <w:rPr>
          <w:lang w:val="fr-FR"/>
        </w:rPr>
        <w:t xml:space="preserve"> </w:t>
      </w:r>
    </w:p>
    <w:p w14:paraId="105E4616" w14:textId="77777777" w:rsidR="000C3F77" w:rsidRPr="00C16270" w:rsidRDefault="000C3F77" w:rsidP="000C3F77">
      <w:pPr>
        <w:pStyle w:val="SingleTxtG"/>
        <w:ind w:left="2268" w:right="1133" w:hanging="1134"/>
        <w:rPr>
          <w:iCs/>
          <w:kern w:val="2"/>
        </w:rPr>
      </w:pPr>
      <w:r>
        <w:rPr>
          <w:i/>
          <w:iCs/>
          <w:lang w:val="fr-FR"/>
        </w:rPr>
        <w:t xml:space="preserve">Paragraphe 6.2.1 et note de bas de page </w:t>
      </w:r>
      <w:r>
        <w:rPr>
          <w:lang w:val="fr-FR"/>
        </w:rPr>
        <w:t>*, lire :</w:t>
      </w:r>
    </w:p>
    <w:p w14:paraId="0BB37364" w14:textId="77777777" w:rsidR="000C3F77" w:rsidRPr="00C16270" w:rsidRDefault="000C3F77" w:rsidP="000C3F77">
      <w:pPr>
        <w:pStyle w:val="SingleTxtG"/>
        <w:ind w:left="2268" w:right="992" w:hanging="1134"/>
        <w:rPr>
          <w:iCs/>
          <w:kern w:val="2"/>
        </w:rPr>
      </w:pPr>
      <w:r>
        <w:rPr>
          <w:lang w:val="fr-FR"/>
        </w:rPr>
        <w:t>« 6.2.1</w:t>
      </w:r>
      <w:r>
        <w:rPr>
          <w:lang w:val="fr-FR"/>
        </w:rPr>
        <w:tab/>
        <w:t>Nombre</w:t>
      </w:r>
    </w:p>
    <w:p w14:paraId="7E5E7C0C" w14:textId="77777777" w:rsidR="000C3F77" w:rsidRPr="00C16270" w:rsidRDefault="000C3F77" w:rsidP="000C3F77">
      <w:pPr>
        <w:pStyle w:val="SingleTxtG"/>
        <w:ind w:left="2268" w:right="992"/>
        <w:rPr>
          <w:iCs/>
          <w:kern w:val="2"/>
        </w:rPr>
      </w:pPr>
      <w:r>
        <w:rPr>
          <w:lang w:val="fr-FR"/>
        </w:rPr>
        <w:t>...</w:t>
      </w:r>
    </w:p>
    <w:p w14:paraId="09C9C575" w14:textId="145CF690" w:rsidR="000C3F77" w:rsidRPr="00C16270" w:rsidRDefault="000C3F77" w:rsidP="000C3F77">
      <w:pPr>
        <w:pStyle w:val="SingleTxtG"/>
        <w:ind w:left="2268" w:right="992"/>
        <w:rPr>
          <w:b/>
          <w:iCs/>
          <w:kern w:val="2"/>
        </w:rPr>
      </w:pPr>
      <w:r>
        <w:rPr>
          <w:lang w:val="fr-FR"/>
        </w:rPr>
        <w:t>i)</w:t>
      </w:r>
      <w:r>
        <w:rPr>
          <w:lang w:val="fr-FR"/>
        </w:rPr>
        <w:tab/>
        <w:t xml:space="preserve">La classe A, B, AS*, BS, CS, DS ou ES du Règlement ONU </w:t>
      </w:r>
      <w:r w:rsidRPr="00F523BE">
        <w:rPr>
          <w:lang w:val="fr-FR"/>
        </w:rPr>
        <w:t>n</w:t>
      </w:r>
      <w:r w:rsidRPr="00F523BE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 </w:t>
      </w:r>
      <w:r>
        <w:rPr>
          <w:lang w:val="fr-FR"/>
        </w:rPr>
        <w:t>149</w:t>
      </w:r>
      <w:r>
        <w:rPr>
          <w:lang w:val="fr-FR"/>
        </w:rPr>
        <w:t> </w:t>
      </w:r>
      <w:r w:rsidRPr="00C16270">
        <w:rPr>
          <w:b/>
          <w:bCs/>
          <w:lang w:val="fr-FR"/>
        </w:rPr>
        <w:t>;</w:t>
      </w:r>
    </w:p>
    <w:p w14:paraId="4F877DC3" w14:textId="19A14C45" w:rsidR="000C3F77" w:rsidRDefault="000C3F77" w:rsidP="000C3F77">
      <w:pPr>
        <w:pStyle w:val="SingleTxtG"/>
        <w:ind w:left="2835" w:right="992" w:hanging="567"/>
        <w:rPr>
          <w:lang w:val="fr-FR"/>
        </w:rPr>
      </w:pPr>
      <w:r>
        <w:rPr>
          <w:b/>
          <w:bCs/>
          <w:lang w:val="fr-FR"/>
        </w:rPr>
        <w:t>j)</w:t>
      </w:r>
      <w:r>
        <w:rPr>
          <w:lang w:val="fr-FR"/>
        </w:rPr>
        <w:tab/>
      </w:r>
      <w:r>
        <w:rPr>
          <w:b/>
          <w:bCs/>
          <w:lang w:val="fr-FR"/>
        </w:rPr>
        <w:t>La classe C ou V de la série 01 et des séries ultérieures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amendements au Règlement ONU </w:t>
      </w:r>
      <w:r w:rsidRPr="00C16270">
        <w:rPr>
          <w:b/>
          <w:bCs/>
          <w:lang w:val="fr-FR"/>
        </w:rPr>
        <w:t>n</w:t>
      </w:r>
      <w:r w:rsidRPr="00C16270">
        <w:rPr>
          <w:b/>
          <w:bCs/>
          <w:vertAlign w:val="superscript"/>
          <w:lang w:val="fr-FR"/>
        </w:rPr>
        <w:t>o</w:t>
      </w:r>
      <w:r>
        <w:rPr>
          <w:b/>
          <w:bCs/>
          <w:vertAlign w:val="superscript"/>
          <w:lang w:val="fr-FR"/>
        </w:rPr>
        <w:t> </w:t>
      </w:r>
      <w:r>
        <w:rPr>
          <w:b/>
          <w:bCs/>
          <w:lang w:val="fr-FR"/>
        </w:rPr>
        <w:t>149. </w:t>
      </w:r>
      <w:r w:rsidRPr="0066372F">
        <w:rPr>
          <w:lang w:val="fr-FR"/>
        </w:rPr>
        <w:t>».</w:t>
      </w:r>
    </w:p>
    <w:p w14:paraId="6EAEA6C8" w14:textId="77777777" w:rsidR="000C3F77" w:rsidRPr="00075BD1" w:rsidRDefault="000C3F77" w:rsidP="000C3F77">
      <w:pPr>
        <w:pStyle w:val="SingleTxtG"/>
        <w:pBdr>
          <w:bottom w:val="single" w:sz="4" w:space="1" w:color="auto"/>
        </w:pBdr>
        <w:ind w:left="567" w:right="7371"/>
        <w:rPr>
          <w:iCs/>
          <w:kern w:val="2"/>
          <w:lang w:eastAsia="ja-JP"/>
        </w:rPr>
      </w:pPr>
    </w:p>
    <w:p w14:paraId="2DFB12B5" w14:textId="53D28D67" w:rsidR="000C3F77" w:rsidRPr="000C3F77" w:rsidRDefault="000C3F77" w:rsidP="000C3F77">
      <w:pPr>
        <w:pStyle w:val="Notedebasdepage"/>
        <w:rPr>
          <w:b/>
        </w:rPr>
      </w:pPr>
      <w:r w:rsidRPr="000149A5">
        <w:tab/>
      </w:r>
      <w:r w:rsidRPr="000C3F77">
        <w:rPr>
          <w:sz w:val="20"/>
          <w:lang w:val="fr-FR"/>
        </w:rPr>
        <w:t>*</w:t>
      </w:r>
      <w:r>
        <w:rPr>
          <w:lang w:val="fr-FR"/>
        </w:rPr>
        <w:tab/>
        <w:t xml:space="preserve">Projecteurs de la classe A du Règlement ONU </w:t>
      </w:r>
      <w:r w:rsidRPr="00F523BE">
        <w:rPr>
          <w:lang w:val="fr-FR"/>
        </w:rPr>
        <w:t>n</w:t>
      </w:r>
      <w:r w:rsidRPr="00F523BE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 </w:t>
      </w:r>
      <w:r>
        <w:rPr>
          <w:lang w:val="fr-FR"/>
        </w:rPr>
        <w:t xml:space="preserve">113 à modules DEL ou de la classe AS du Règlement ONU </w:t>
      </w:r>
      <w:r w:rsidRPr="00C16270">
        <w:rPr>
          <w:lang w:val="fr-FR"/>
        </w:rPr>
        <w:t>n</w:t>
      </w:r>
      <w:r w:rsidRPr="00C16270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 </w:t>
      </w:r>
      <w:r>
        <w:rPr>
          <w:lang w:val="fr-FR"/>
        </w:rPr>
        <w:t>149 à modules DEL seulement sur les véhicules dont la vitesse par construction ne dépasse pas 25 km/h.</w:t>
      </w:r>
    </w:p>
    <w:p w14:paraId="1409852B" w14:textId="120AEF60" w:rsidR="000C3F77" w:rsidRPr="00075BD1" w:rsidRDefault="000C3F77" w:rsidP="000C3F77">
      <w:pPr>
        <w:pStyle w:val="HChG"/>
      </w:pPr>
      <w:r>
        <w:rPr>
          <w:lang w:val="fr-FR"/>
        </w:rPr>
        <w:tab/>
      </w:r>
      <w:r>
        <w:rPr>
          <w:lang w:val="fr-FR"/>
        </w:rPr>
        <w:t>II.</w:t>
      </w:r>
      <w:r>
        <w:rPr>
          <w:lang w:val="fr-FR"/>
        </w:rPr>
        <w:tab/>
        <w:t>Justification</w:t>
      </w:r>
    </w:p>
    <w:p w14:paraId="4C468D2D" w14:textId="6F3C7229" w:rsidR="000C3F77" w:rsidRPr="00C16270" w:rsidRDefault="000C3F77" w:rsidP="000C3F77">
      <w:pPr>
        <w:pStyle w:val="SingleTxtG"/>
        <w:rPr>
          <w:u w:val="single"/>
        </w:rPr>
      </w:pPr>
      <w:r w:rsidRPr="00C16270">
        <w:t>1.</w:t>
      </w:r>
      <w:r w:rsidRPr="00C16270">
        <w:tab/>
      </w:r>
      <w:r>
        <w:rPr>
          <w:lang w:val="fr-FR"/>
        </w:rPr>
        <w:t>Avec l</w:t>
      </w:r>
      <w:r>
        <w:rPr>
          <w:lang w:val="fr-FR"/>
        </w:rPr>
        <w:t>’</w:t>
      </w:r>
      <w:r>
        <w:rPr>
          <w:lang w:val="fr-FR"/>
        </w:rPr>
        <w:t>entrée en vigueur de la nouvelle série 01 d</w:t>
      </w:r>
      <w:r>
        <w:rPr>
          <w:lang w:val="fr-FR"/>
        </w:rPr>
        <w:t>’</w:t>
      </w:r>
      <w:r>
        <w:rPr>
          <w:lang w:val="fr-FR"/>
        </w:rPr>
        <w:t xml:space="preserve">amendements au Règlement ONU </w:t>
      </w:r>
      <w:r w:rsidRPr="00C16270">
        <w:rPr>
          <w:lang w:val="fr-FR"/>
        </w:rPr>
        <w:t>n</w:t>
      </w:r>
      <w:r w:rsidRPr="00C16270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 </w:t>
      </w:r>
      <w:r>
        <w:rPr>
          <w:lang w:val="fr-FR"/>
        </w:rPr>
        <w:t>149, élaborée par le groupe SLR, il est nécessaire d</w:t>
      </w:r>
      <w:r>
        <w:rPr>
          <w:lang w:val="fr-FR"/>
        </w:rPr>
        <w:t>’</w:t>
      </w:r>
      <w:r>
        <w:rPr>
          <w:lang w:val="fr-FR"/>
        </w:rPr>
        <w:t xml:space="preserve">ajouter des références à ce Règlement dans le Règlement ONU </w:t>
      </w:r>
      <w:r w:rsidRPr="00C16270">
        <w:rPr>
          <w:lang w:val="fr-FR"/>
        </w:rPr>
        <w:t>n</w:t>
      </w:r>
      <w:r w:rsidRPr="00C16270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 </w:t>
      </w:r>
      <w:r>
        <w:rPr>
          <w:lang w:val="fr-FR"/>
        </w:rPr>
        <w:t>74. La présente proposition vise à intégrer ces références supplémentaires dans les séries 01 et 02 d</w:t>
      </w:r>
      <w:r>
        <w:rPr>
          <w:lang w:val="fr-FR"/>
        </w:rPr>
        <w:t>’</w:t>
      </w:r>
      <w:r>
        <w:rPr>
          <w:lang w:val="fr-FR"/>
        </w:rPr>
        <w:t xml:space="preserve">amendements au Règlement ONU </w:t>
      </w:r>
      <w:r w:rsidRPr="00C16270">
        <w:rPr>
          <w:lang w:val="fr-FR"/>
        </w:rPr>
        <w:t>n</w:t>
      </w:r>
      <w:r w:rsidRPr="00C16270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 </w:t>
      </w:r>
      <w:r>
        <w:rPr>
          <w:lang w:val="fr-FR"/>
        </w:rPr>
        <w:t>74.</w:t>
      </w:r>
    </w:p>
    <w:p w14:paraId="49A2C6EC" w14:textId="036F50DE" w:rsidR="000C3F77" w:rsidRPr="00C16270" w:rsidRDefault="000C3F77" w:rsidP="000C3F77">
      <w:pPr>
        <w:pStyle w:val="SingleTxtG"/>
        <w:rPr>
          <w:u w:val="single"/>
        </w:rPr>
      </w:pPr>
      <w:r w:rsidRPr="00C16270">
        <w:t>2.</w:t>
      </w:r>
      <w:r w:rsidRPr="00C16270">
        <w:tab/>
      </w:r>
      <w:r>
        <w:rPr>
          <w:lang w:val="fr-FR"/>
        </w:rPr>
        <w:t xml:space="preserve">La présente proposition ajoute également dans le Règlement ONU </w:t>
      </w:r>
      <w:r w:rsidRPr="000C3F77">
        <w:rPr>
          <w:rFonts w:eastAsia="MS Mincho"/>
          <w:lang w:val="fr-FR"/>
        </w:rPr>
        <w:t>n</w:t>
      </w:r>
      <w:r w:rsidRPr="000C3F77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 </w:t>
      </w:r>
      <w:r>
        <w:rPr>
          <w:lang w:val="fr-FR"/>
        </w:rPr>
        <w:t>74 des dispositions relatives à l</w:t>
      </w:r>
      <w:r>
        <w:rPr>
          <w:lang w:val="fr-FR"/>
        </w:rPr>
        <w:t>’</w:t>
      </w:r>
      <w:r>
        <w:rPr>
          <w:lang w:val="fr-FR"/>
        </w:rPr>
        <w:t xml:space="preserve">activation des feux de route secondaires similaires à celles qui figurent déjà dans les Règlements ONU </w:t>
      </w:r>
      <w:r w:rsidRPr="00C16270">
        <w:rPr>
          <w:lang w:val="fr-FR"/>
        </w:rPr>
        <w:t>n</w:t>
      </w:r>
      <w:r w:rsidRPr="00C16270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s </w:t>
      </w:r>
      <w:r>
        <w:rPr>
          <w:lang w:val="fr-FR"/>
        </w:rPr>
        <w:t>113 et 149.</w:t>
      </w:r>
    </w:p>
    <w:p w14:paraId="7321BB40" w14:textId="77777777" w:rsidR="000C3F77" w:rsidRDefault="000C3F77" w:rsidP="000C3F77">
      <w:pPr>
        <w:spacing w:before="240"/>
        <w:jc w:val="center"/>
        <w:rPr>
          <w:u w:val="single"/>
        </w:rPr>
      </w:pPr>
      <w:r w:rsidRPr="00C16270">
        <w:rPr>
          <w:u w:val="single"/>
        </w:rPr>
        <w:tab/>
      </w:r>
      <w:r w:rsidRPr="00C16270">
        <w:rPr>
          <w:u w:val="single"/>
        </w:rPr>
        <w:tab/>
      </w:r>
      <w:r w:rsidRPr="00C16270">
        <w:rPr>
          <w:u w:val="single"/>
        </w:rPr>
        <w:tab/>
      </w:r>
    </w:p>
    <w:p w14:paraId="0930F0A8" w14:textId="1BF07769" w:rsidR="00F9573C" w:rsidRDefault="00F9573C" w:rsidP="000C3F77">
      <w:pPr>
        <w:spacing w:before="120" w:line="240" w:lineRule="exact"/>
      </w:pPr>
    </w:p>
    <w:sectPr w:rsidR="00F9573C" w:rsidSect="000C3F7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EBB72" w14:textId="77777777" w:rsidR="00D04D43" w:rsidRDefault="00D04D43" w:rsidP="00F95C08">
      <w:pPr>
        <w:spacing w:line="240" w:lineRule="auto"/>
      </w:pPr>
    </w:p>
  </w:endnote>
  <w:endnote w:type="continuationSeparator" w:id="0">
    <w:p w14:paraId="55E641A5" w14:textId="77777777" w:rsidR="00D04D43" w:rsidRPr="00AC3823" w:rsidRDefault="00D04D43" w:rsidP="00AC3823">
      <w:pPr>
        <w:pStyle w:val="Pieddepage"/>
      </w:pPr>
    </w:p>
  </w:endnote>
  <w:endnote w:type="continuationNotice" w:id="1">
    <w:p w14:paraId="7974E551" w14:textId="77777777" w:rsidR="00D04D43" w:rsidRDefault="00D04D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74A49" w14:textId="04680741" w:rsidR="000C3F77" w:rsidRPr="000C3F77" w:rsidRDefault="000C3F77" w:rsidP="000C3F77">
    <w:pPr>
      <w:pStyle w:val="Pieddepage"/>
      <w:tabs>
        <w:tab w:val="right" w:pos="9638"/>
      </w:tabs>
    </w:pPr>
    <w:r w:rsidRPr="000C3F77">
      <w:rPr>
        <w:b/>
        <w:sz w:val="18"/>
      </w:rPr>
      <w:fldChar w:fldCharType="begin"/>
    </w:r>
    <w:r w:rsidRPr="000C3F77">
      <w:rPr>
        <w:b/>
        <w:sz w:val="18"/>
      </w:rPr>
      <w:instrText xml:space="preserve"> PAGE  \* MERGEFORMAT </w:instrText>
    </w:r>
    <w:r w:rsidRPr="000C3F77">
      <w:rPr>
        <w:b/>
        <w:sz w:val="18"/>
      </w:rPr>
      <w:fldChar w:fldCharType="separate"/>
    </w:r>
    <w:r w:rsidRPr="000C3F77">
      <w:rPr>
        <w:b/>
        <w:noProof/>
        <w:sz w:val="18"/>
      </w:rPr>
      <w:t>2</w:t>
    </w:r>
    <w:r w:rsidRPr="000C3F77">
      <w:rPr>
        <w:b/>
        <w:sz w:val="18"/>
      </w:rPr>
      <w:fldChar w:fldCharType="end"/>
    </w:r>
    <w:r>
      <w:rPr>
        <w:b/>
        <w:sz w:val="18"/>
      </w:rPr>
      <w:tab/>
    </w:r>
    <w:r>
      <w:t>GE.21-10897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F3289" w14:textId="53457176" w:rsidR="000C3F77" w:rsidRPr="000C3F77" w:rsidRDefault="000C3F77" w:rsidP="000C3F77">
    <w:pPr>
      <w:pStyle w:val="Pieddepage"/>
      <w:tabs>
        <w:tab w:val="right" w:pos="9638"/>
      </w:tabs>
      <w:rPr>
        <w:b/>
        <w:sz w:val="18"/>
      </w:rPr>
    </w:pPr>
    <w:r>
      <w:t>GE.21-10897</w:t>
    </w:r>
    <w:r>
      <w:tab/>
    </w:r>
    <w:r w:rsidRPr="000C3F77">
      <w:rPr>
        <w:b/>
        <w:sz w:val="18"/>
      </w:rPr>
      <w:fldChar w:fldCharType="begin"/>
    </w:r>
    <w:r w:rsidRPr="000C3F77">
      <w:rPr>
        <w:b/>
        <w:sz w:val="18"/>
      </w:rPr>
      <w:instrText xml:space="preserve"> PAGE  \* MERGEFORMAT </w:instrText>
    </w:r>
    <w:r w:rsidRPr="000C3F77">
      <w:rPr>
        <w:b/>
        <w:sz w:val="18"/>
      </w:rPr>
      <w:fldChar w:fldCharType="separate"/>
    </w:r>
    <w:r w:rsidRPr="000C3F77">
      <w:rPr>
        <w:b/>
        <w:noProof/>
        <w:sz w:val="18"/>
      </w:rPr>
      <w:t>3</w:t>
    </w:r>
    <w:r w:rsidRPr="000C3F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AE38" w14:textId="7B291262" w:rsidR="007F20FA" w:rsidRPr="000C3F77" w:rsidRDefault="000C3F77" w:rsidP="000C3F77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774A638" wp14:editId="3B305EF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21-10897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75C9810" wp14:editId="645D9FE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080921    100921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074BE" w14:textId="77777777" w:rsidR="00D04D43" w:rsidRPr="00AC3823" w:rsidRDefault="00D04D4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46189F" w14:textId="77777777" w:rsidR="00D04D43" w:rsidRPr="00AC3823" w:rsidRDefault="00D04D4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8ACC73E" w14:textId="77777777" w:rsidR="00D04D43" w:rsidRPr="00AC3823" w:rsidRDefault="00D04D43">
      <w:pPr>
        <w:spacing w:line="240" w:lineRule="auto"/>
        <w:rPr>
          <w:sz w:val="2"/>
          <w:szCs w:val="2"/>
        </w:rPr>
      </w:pPr>
    </w:p>
  </w:footnote>
  <w:footnote w:id="2">
    <w:p w14:paraId="64899298" w14:textId="77777777" w:rsidR="000C3F77" w:rsidRPr="00C16270" w:rsidRDefault="000C3F77" w:rsidP="000C3F77">
      <w:pPr>
        <w:pStyle w:val="Notedebasdepage"/>
      </w:pPr>
      <w:r>
        <w:rPr>
          <w:lang w:val="fr-FR"/>
        </w:rPr>
        <w:tab/>
      </w:r>
      <w:r w:rsidRPr="000C3F77">
        <w:rPr>
          <w:sz w:val="20"/>
          <w:lang w:val="fr-FR"/>
        </w:rPr>
        <w:t>*</w:t>
      </w:r>
      <w:r>
        <w:rPr>
          <w:lang w:val="fr-FR"/>
        </w:rPr>
        <w:tab/>
        <w:t xml:space="preserve">Conformément au programme de travail du Comité des transports intérieurs pour 2021 tel qu’il figure dans le projet de budget-programme pour 2021 (A/75/6 (Sect. 20), par. 20.51), le Forum mondial a pour mission d’élaborer, d’harmoniser et de mettre à jour les Règlements ONU en vue d’améliorer les caractéristiques fonctionnelles des véhicules. Le présent document est soumis en vertu de ce mandat.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41008" w14:textId="57A94BF0" w:rsidR="000C3F77" w:rsidRPr="000C3F77" w:rsidRDefault="000C3F77">
    <w:pPr>
      <w:pStyle w:val="En-tte"/>
    </w:pPr>
    <w:fldSimple w:instr=" TITLE  \* MERGEFORMAT ">
      <w:r>
        <w:t>ECE/TRANS/WP.29/GRE/2021/21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00206" w14:textId="6201939B" w:rsidR="000C3F77" w:rsidRPr="000C3F77" w:rsidRDefault="000C3F77" w:rsidP="000C3F77">
    <w:pPr>
      <w:pStyle w:val="En-tte"/>
      <w:jc w:val="right"/>
    </w:pPr>
    <w:fldSimple w:instr=" TITLE  \* MERGEFORMAT ">
      <w:r>
        <w:t>ECE/TRANS/WP.29/GRE/2021/21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2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2630B72"/>
    <w:multiLevelType w:val="hybridMultilevel"/>
    <w:tmpl w:val="6978931E"/>
    <w:lvl w:ilvl="0" w:tplc="3168E2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2"/>
  </w:num>
  <w:num w:numId="16">
    <w:abstractNumId w:val="11"/>
  </w:num>
  <w:num w:numId="17">
    <w:abstractNumId w:val="10"/>
    <w:lvlOverride w:ilvl="0">
      <w:lvl w:ilvl="0" w:tplc="9008FA9E">
        <w:start w:val="1"/>
        <w:numFmt w:val="bullet"/>
        <w:pStyle w:val="Bullet2G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</w:rPr>
      </w:lvl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43"/>
    <w:rsid w:val="000149A5"/>
    <w:rsid w:val="00017F94"/>
    <w:rsid w:val="00023842"/>
    <w:rsid w:val="000334F9"/>
    <w:rsid w:val="00045FEB"/>
    <w:rsid w:val="0007796D"/>
    <w:rsid w:val="000B7790"/>
    <w:rsid w:val="000C3F77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93037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04D43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A842C9"/>
  <w15:docId w15:val="{736A52DD-8477-47C2-8137-E89563E1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0C3F77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C3F77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0C3F77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CA4C8-5143-4D4D-ADE7-DA1210361929}"/>
</file>

<file path=customXml/itemProps2.xml><?xml version="1.0" encoding="utf-8"?>
<ds:datastoreItem xmlns:ds="http://schemas.openxmlformats.org/officeDocument/2006/customXml" ds:itemID="{2F49252A-CC26-4703-8A45-9ED92D973953}"/>
</file>

<file path=customXml/itemProps3.xml><?xml version="1.0" encoding="utf-8"?>
<ds:datastoreItem xmlns:ds="http://schemas.openxmlformats.org/officeDocument/2006/customXml" ds:itemID="{EB25D087-8295-4137-9A73-03611FDB6FE6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518</Words>
  <Characters>2604</Characters>
  <Application>Microsoft Office Word</Application>
  <DocSecurity>0</DocSecurity>
  <Lines>68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ECE/TRANS/WP.29/GRE/2021/21</dc:title>
  <dc:subject/>
  <dc:creator>Sandrine CLERE</dc:creator>
  <cp:keywords/>
  <cp:lastModifiedBy>Sandrine Clere</cp:lastModifiedBy>
  <cp:revision>2</cp:revision>
  <cp:lastPrinted>2014-05-14T10:59:00Z</cp:lastPrinted>
  <dcterms:created xsi:type="dcterms:W3CDTF">2021-09-10T07:29:00Z</dcterms:created>
  <dcterms:modified xsi:type="dcterms:W3CDTF">2021-09-10T07:29:00Z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