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7F82FBFA" w:rsidR="003F1AB4" w:rsidRPr="00155295" w:rsidRDefault="003F1AB4" w:rsidP="003F1AB4">
            <w:pPr>
              <w:jc w:val="right"/>
            </w:pPr>
            <w:r w:rsidRPr="00155295">
              <w:rPr>
                <w:sz w:val="40"/>
              </w:rPr>
              <w:t>ECE</w:t>
            </w:r>
            <w:r w:rsidRPr="00155295">
              <w:t>/TRANS/WP.29/GRE/202</w:t>
            </w:r>
            <w:r w:rsidR="00F3615B" w:rsidRPr="00155295">
              <w:t>1</w:t>
            </w:r>
            <w:r w:rsidRPr="00155295">
              <w:t>/</w:t>
            </w:r>
            <w:r w:rsidR="00155295" w:rsidRPr="00155295">
              <w:t>11</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2C1939" w:rsidRDefault="003F1AB4" w:rsidP="003F1AB4">
            <w:pPr>
              <w:spacing w:before="240" w:line="240" w:lineRule="exact"/>
            </w:pPr>
            <w:r w:rsidRPr="002C1939">
              <w:t>Distr.: General</w:t>
            </w:r>
          </w:p>
          <w:p w14:paraId="581CB256" w14:textId="1E05AC1E" w:rsidR="003F1AB4" w:rsidRPr="002C1939" w:rsidRDefault="00155295" w:rsidP="003F1AB4">
            <w:pPr>
              <w:spacing w:line="240" w:lineRule="exact"/>
            </w:pPr>
            <w:r w:rsidRPr="00155295">
              <w:rPr>
                <w:lang w:val="en-US"/>
              </w:rPr>
              <w:t>5</w:t>
            </w:r>
            <w:r w:rsidR="002C1939" w:rsidRPr="00155295">
              <w:rPr>
                <w:lang w:val="en-US"/>
              </w:rPr>
              <w:t xml:space="preserve"> </w:t>
            </w:r>
            <w:r w:rsidR="00F3615B" w:rsidRPr="00155295">
              <w:rPr>
                <w:lang w:val="en-US"/>
              </w:rPr>
              <w:t>August</w:t>
            </w:r>
            <w:r w:rsidR="002C1939" w:rsidRPr="00155295">
              <w:rPr>
                <w:lang w:val="en-US"/>
              </w:rPr>
              <w:t xml:space="preserve"> </w:t>
            </w:r>
            <w:r w:rsidR="003F1AB4" w:rsidRPr="00155295">
              <w:rPr>
                <w:lang w:val="en-US"/>
              </w:rPr>
              <w:t>202</w:t>
            </w:r>
            <w:r w:rsidR="00F3615B" w:rsidRPr="00155295">
              <w:rPr>
                <w:lang w:val="en-US"/>
              </w:rPr>
              <w:t>1</w:t>
            </w:r>
          </w:p>
          <w:p w14:paraId="5FF26AE7" w14:textId="77777777" w:rsidR="003F1AB4" w:rsidRPr="002C1939" w:rsidRDefault="003F1AB4" w:rsidP="003F1AB4">
            <w:pPr>
              <w:spacing w:line="240" w:lineRule="exact"/>
            </w:pPr>
          </w:p>
          <w:p w14:paraId="71FBFBB4" w14:textId="77777777" w:rsidR="003F1AB4" w:rsidRPr="002C1939" w:rsidRDefault="003F1AB4" w:rsidP="003F1AB4">
            <w:pPr>
              <w:spacing w:line="240" w:lineRule="exact"/>
            </w:pPr>
            <w:r w:rsidRPr="002C1939">
              <w:t>Original: English</w:t>
            </w:r>
          </w:p>
        </w:tc>
      </w:tr>
    </w:tbl>
    <w:p w14:paraId="32D3E06F" w14:textId="1D56963C"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1B8CFCAD" w:rsidR="00EB70BF" w:rsidRPr="00155295" w:rsidRDefault="00EB70BF" w:rsidP="00EB70BF">
      <w:pPr>
        <w:ind w:right="1134"/>
        <w:rPr>
          <w:b/>
        </w:rPr>
      </w:pPr>
      <w:r w:rsidRPr="00155295">
        <w:rPr>
          <w:b/>
        </w:rPr>
        <w:t>Eighty-</w:t>
      </w:r>
      <w:r w:rsidR="00F3615B" w:rsidRPr="00155295">
        <w:rPr>
          <w:b/>
        </w:rPr>
        <w:t>fifth</w:t>
      </w:r>
      <w:r w:rsidRPr="00155295">
        <w:rPr>
          <w:b/>
        </w:rPr>
        <w:t xml:space="preserve"> session</w:t>
      </w:r>
    </w:p>
    <w:p w14:paraId="2D1DEC65" w14:textId="1D1F270F" w:rsidR="00EB70BF" w:rsidRPr="00155295" w:rsidRDefault="00EB70BF" w:rsidP="00EB70BF">
      <w:pPr>
        <w:ind w:right="1134"/>
      </w:pPr>
      <w:r w:rsidRPr="00155295">
        <w:t xml:space="preserve">Geneva, </w:t>
      </w:r>
      <w:r w:rsidR="00F3615B" w:rsidRPr="00155295">
        <w:t>26</w:t>
      </w:r>
      <w:r w:rsidR="00023558" w:rsidRPr="00155295">
        <w:t>–</w:t>
      </w:r>
      <w:r w:rsidR="002844A7" w:rsidRPr="00155295">
        <w:t>2</w:t>
      </w:r>
      <w:r w:rsidR="00F3615B" w:rsidRPr="00155295">
        <w:t>9</w:t>
      </w:r>
      <w:r w:rsidR="002844A7" w:rsidRPr="00155295">
        <w:t xml:space="preserve"> October</w:t>
      </w:r>
      <w:r w:rsidR="006D181F" w:rsidRPr="00155295">
        <w:t xml:space="preserve"> </w:t>
      </w:r>
      <w:r w:rsidRPr="00155295">
        <w:t>20</w:t>
      </w:r>
      <w:r w:rsidR="006D181F" w:rsidRPr="00155295">
        <w:t>2</w:t>
      </w:r>
      <w:r w:rsidR="00F3615B" w:rsidRPr="00155295">
        <w:t>1</w:t>
      </w:r>
    </w:p>
    <w:p w14:paraId="5B492E7A" w14:textId="39629918" w:rsidR="00732AD2" w:rsidRPr="00525E6C" w:rsidRDefault="00732AD2" w:rsidP="00E04EC7">
      <w:pPr>
        <w:ind w:right="1134"/>
        <w:rPr>
          <w:bCs/>
        </w:rPr>
      </w:pPr>
      <w:r w:rsidRPr="00155295">
        <w:rPr>
          <w:bCs/>
        </w:rPr>
        <w:t xml:space="preserve">Item </w:t>
      </w:r>
      <w:r w:rsidR="00155295" w:rsidRPr="00155295">
        <w:rPr>
          <w:bCs/>
        </w:rPr>
        <w:t xml:space="preserve">4 (b) </w:t>
      </w:r>
      <w:r w:rsidR="002C1939" w:rsidRPr="00155295">
        <w:rPr>
          <w:bCs/>
        </w:rPr>
        <w:t>o</w:t>
      </w:r>
      <w:r w:rsidRPr="00155295">
        <w:rPr>
          <w:bCs/>
        </w:rPr>
        <w:t>f the provisional agenda</w:t>
      </w:r>
    </w:p>
    <w:p w14:paraId="0B5CC20D" w14:textId="64373794" w:rsidR="003F1AB4"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B76F95">
        <w:rPr>
          <w:b/>
          <w:bCs/>
        </w:rPr>
        <w:t>:</w:t>
      </w:r>
    </w:p>
    <w:p w14:paraId="355C0D2C" w14:textId="31904165" w:rsidR="00B76F95" w:rsidRDefault="00B76F95" w:rsidP="00DA725B">
      <w:pPr>
        <w:ind w:right="1467"/>
        <w:jc w:val="both"/>
        <w:rPr>
          <w:b/>
          <w:bCs/>
        </w:rPr>
      </w:pPr>
      <w:r w:rsidRPr="00B76F95">
        <w:rPr>
          <w:b/>
          <w:bCs/>
        </w:rPr>
        <w:t xml:space="preserve">UN Regulation No. 148 (Light-signalling devices)  </w:t>
      </w:r>
    </w:p>
    <w:p w14:paraId="1BE1B729" w14:textId="0D0C2FDB" w:rsidR="00732AD2" w:rsidRPr="00525E6C" w:rsidRDefault="00732AD2" w:rsidP="003F1AB4">
      <w:pPr>
        <w:pStyle w:val="HChG"/>
      </w:pPr>
      <w:r w:rsidRPr="00525E6C">
        <w:tab/>
      </w:r>
      <w:r w:rsidRPr="00525E6C">
        <w:tab/>
      </w:r>
      <w:r w:rsidR="00F3615B" w:rsidRPr="00E7399D">
        <w:t xml:space="preserve">Proposal to clarify and </w:t>
      </w:r>
      <w:r w:rsidR="00F3615B">
        <w:t xml:space="preserve">to </w:t>
      </w:r>
      <w:r w:rsidR="00F3615B" w:rsidRPr="00E7399D">
        <w:t>correct the</w:t>
      </w:r>
      <w:r w:rsidR="00F3615B" w:rsidRPr="00137502">
        <w:t xml:space="preserve"> text of </w:t>
      </w:r>
      <w:r w:rsidR="00F3615B">
        <w:t xml:space="preserve">the UN </w:t>
      </w:r>
      <w:r w:rsidR="00F3615B" w:rsidRPr="00137502">
        <w:t>Regulation</w:t>
      </w:r>
      <w:r w:rsidR="00F3615B">
        <w:t xml:space="preserve"> No. 148 </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2953CB0E" w:rsidR="0053129E" w:rsidRPr="003F1AB4" w:rsidRDefault="00E317C2" w:rsidP="00E317C2">
      <w:pPr>
        <w:pStyle w:val="SingleTxtG"/>
        <w:tabs>
          <w:tab w:val="left" w:pos="8505"/>
        </w:tabs>
        <w:ind w:firstLine="567"/>
        <w:rPr>
          <w:bCs/>
        </w:rPr>
      </w:pPr>
      <w:r w:rsidRPr="00856C69">
        <w:t xml:space="preserve">The text reproduced below was prepared by </w:t>
      </w:r>
      <w:bookmarkStart w:id="0" w:name="_Hlk78276087"/>
      <w:r w:rsidR="003F1AB4">
        <w:t xml:space="preserve">the </w:t>
      </w:r>
      <w:r w:rsidR="003F1AB4" w:rsidRPr="003F1AB4">
        <w:t xml:space="preserve">Informal Working Group on Simplification of Lighting and Light-Signalling Regulations </w:t>
      </w:r>
      <w:r w:rsidR="003F1AB4">
        <w:t>(</w:t>
      </w:r>
      <w:r>
        <w:t>IWG SLR</w:t>
      </w:r>
      <w:r w:rsidR="003F1AB4">
        <w:t>)</w:t>
      </w:r>
      <w:r>
        <w:t xml:space="preserve"> </w:t>
      </w:r>
      <w:bookmarkEnd w:id="0"/>
      <w:r w:rsidRPr="008357CC">
        <w:rPr>
          <w:lang w:val="en-US"/>
        </w:rPr>
        <w:t xml:space="preserve">with the aim to </w:t>
      </w:r>
      <w:r w:rsidR="00330095">
        <w:rPr>
          <w:lang w:val="en-US"/>
        </w:rPr>
        <w:t xml:space="preserve">insert missing text </w:t>
      </w:r>
      <w:r w:rsidR="00914903">
        <w:rPr>
          <w:lang w:val="en-US"/>
        </w:rPr>
        <w:t>and</w:t>
      </w:r>
      <w:r w:rsidR="00330095">
        <w:rPr>
          <w:lang w:val="en-US"/>
        </w:rPr>
        <w:t xml:space="preserve"> to </w:t>
      </w:r>
      <w:r>
        <w:rPr>
          <w:lang w:val="en-US"/>
        </w:rPr>
        <w:t>correct error</w:t>
      </w:r>
      <w:r w:rsidR="00B96472">
        <w:rPr>
          <w:lang w:val="en-US"/>
        </w:rPr>
        <w:t>s</w:t>
      </w:r>
      <w:r>
        <w:rPr>
          <w:lang w:val="en-US"/>
        </w:rPr>
        <w:t xml:space="preserve"> </w:t>
      </w:r>
      <w:r w:rsidR="00880BAB" w:rsidRPr="00880BAB">
        <w:t>inadvertently</w:t>
      </w:r>
      <w:r>
        <w:rPr>
          <w:lang w:val="en-US"/>
        </w:rPr>
        <w:t xml:space="preserve"> introduced in</w:t>
      </w:r>
      <w:r w:rsidRPr="008357CC">
        <w:rPr>
          <w:lang w:val="en-US"/>
        </w:rPr>
        <w:t xml:space="preserve"> </w:t>
      </w:r>
      <w:r w:rsidR="007660E7" w:rsidRPr="008357CC">
        <w:rPr>
          <w:lang w:val="en-US"/>
        </w:rPr>
        <w:t xml:space="preserve">the new </w:t>
      </w:r>
      <w:r>
        <w:rPr>
          <w:lang w:val="en-US"/>
        </w:rPr>
        <w:t xml:space="preserve">UN </w:t>
      </w:r>
      <w:r w:rsidRPr="008357CC">
        <w:rPr>
          <w:lang w:val="en-US"/>
        </w:rPr>
        <w:t>Regulation</w:t>
      </w:r>
      <w:r>
        <w:rPr>
          <w:lang w:val="en-US"/>
        </w:rPr>
        <w:t xml:space="preserve"> No. 14</w:t>
      </w:r>
      <w:r w:rsidR="006D181F">
        <w:rPr>
          <w:lang w:val="en-US"/>
        </w:rPr>
        <w:t>8.</w:t>
      </w:r>
      <w:r w:rsidRPr="008357CC">
        <w:rPr>
          <w:lang w:val="en-US"/>
        </w:rPr>
        <w:t xml:space="preserve"> The modifications to the </w:t>
      </w:r>
      <w:r w:rsidR="00330095">
        <w:rPr>
          <w:lang w:val="en-US"/>
        </w:rPr>
        <w:t xml:space="preserve">existing </w:t>
      </w:r>
      <w:r w:rsidR="006D181F" w:rsidRPr="008357CC">
        <w:rPr>
          <w:lang w:val="en-US"/>
        </w:rPr>
        <w:t xml:space="preserve">text </w:t>
      </w:r>
      <w:r w:rsidR="0048251E">
        <w:rPr>
          <w:lang w:val="en-US"/>
        </w:rPr>
        <w:t xml:space="preserve">of UN </w:t>
      </w:r>
      <w:r w:rsidR="0048251E" w:rsidRPr="008357CC">
        <w:rPr>
          <w:lang w:val="en-US"/>
        </w:rPr>
        <w:t>Regulation</w:t>
      </w:r>
      <w:r w:rsidR="0048251E">
        <w:rPr>
          <w:lang w:val="en-US"/>
        </w:rPr>
        <w:t xml:space="preserve"> No. 148</w:t>
      </w:r>
      <w:r w:rsidR="006D181F" w:rsidRPr="007D7912">
        <w:rPr>
          <w:lang w:val="en-US"/>
        </w:rPr>
        <w:t xml:space="preserve"> </w:t>
      </w:r>
      <w:r w:rsidRPr="008357CC">
        <w:rPr>
          <w:lang w:val="en-US"/>
        </w:rPr>
        <w:t xml:space="preserve">are marked in </w:t>
      </w:r>
      <w:r w:rsidRPr="003F1AB4">
        <w:rPr>
          <w:bCs/>
          <w:lang w:val="en-US"/>
        </w:rPr>
        <w:t>bold for new or strikethrough for deleted characters</w:t>
      </w:r>
      <w:r w:rsidR="00DA725B" w:rsidRPr="003F1AB4">
        <w:rPr>
          <w:bCs/>
        </w:rPr>
        <w:t>.</w:t>
      </w: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6B805561" w14:textId="39CC1A6C" w:rsidR="006D181F" w:rsidRPr="00EE314D" w:rsidRDefault="003761B0" w:rsidP="00EE314D">
      <w:pPr>
        <w:pStyle w:val="HChG"/>
        <w:spacing w:before="0" w:after="120" w:line="240" w:lineRule="atLeast"/>
        <w:ind w:left="2268"/>
        <w:rPr>
          <w:rFonts w:asciiTheme="majorBidi" w:hAnsiTheme="majorBidi" w:cstheme="majorBidi"/>
          <w:b w:val="0"/>
          <w:bCs/>
          <w:sz w:val="20"/>
          <w:lang w:val="en-US"/>
        </w:rPr>
      </w:pPr>
      <w:r w:rsidRPr="00EE314D">
        <w:rPr>
          <w:rFonts w:asciiTheme="majorBidi" w:hAnsiTheme="majorBidi" w:cstheme="majorBidi"/>
          <w:b w:val="0"/>
          <w:bCs/>
          <w:i/>
          <w:iCs/>
          <w:sz w:val="20"/>
        </w:rPr>
        <w:t>Paragraph 5.4.4.2.</w:t>
      </w:r>
      <w:r w:rsidRPr="00EE314D">
        <w:rPr>
          <w:rFonts w:asciiTheme="majorBidi" w:hAnsiTheme="majorBidi" w:cstheme="majorBidi"/>
          <w:b w:val="0"/>
          <w:bCs/>
          <w:sz w:val="20"/>
        </w:rPr>
        <w:t>, amend to read</w:t>
      </w:r>
      <w:r w:rsidR="006D181F" w:rsidRPr="00EE314D">
        <w:rPr>
          <w:rFonts w:asciiTheme="majorBidi" w:hAnsiTheme="majorBidi" w:cstheme="majorBidi"/>
          <w:b w:val="0"/>
          <w:bCs/>
          <w:sz w:val="20"/>
          <w:lang w:val="en-US"/>
        </w:rPr>
        <w:t>:</w:t>
      </w:r>
    </w:p>
    <w:p w14:paraId="2E259D28" w14:textId="015166FE" w:rsidR="003761B0" w:rsidRPr="00EE314D" w:rsidRDefault="003761B0" w:rsidP="00EE314D">
      <w:pPr>
        <w:spacing w:after="120"/>
        <w:ind w:left="2268" w:right="1134" w:hanging="1134"/>
        <w:jc w:val="both"/>
        <w:rPr>
          <w:rFonts w:asciiTheme="majorBidi" w:hAnsiTheme="majorBidi" w:cstheme="majorBidi"/>
          <w:iCs/>
          <w:lang w:eastAsia="de-DE"/>
        </w:rPr>
      </w:pPr>
      <w:r w:rsidRPr="00EE314D">
        <w:rPr>
          <w:rFonts w:asciiTheme="majorBidi" w:hAnsiTheme="majorBidi" w:cstheme="majorBidi"/>
          <w:lang w:val="en-US"/>
        </w:rPr>
        <w:t>“</w:t>
      </w:r>
      <w:r w:rsidRPr="00EE314D">
        <w:rPr>
          <w:rFonts w:asciiTheme="majorBidi" w:hAnsiTheme="majorBidi" w:cstheme="majorBidi"/>
          <w:iCs/>
          <w:lang w:eastAsia="de-DE"/>
        </w:rPr>
        <w:t>5.4.4.2.</w:t>
      </w:r>
      <w:r w:rsidRPr="00EE314D">
        <w:rPr>
          <w:rFonts w:asciiTheme="majorBidi" w:hAnsiTheme="majorBidi" w:cstheme="majorBidi"/>
          <w:iCs/>
          <w:lang w:eastAsia="de-DE"/>
        </w:rPr>
        <w:tab/>
        <w:t xml:space="preserve">In case of failure of any one light source in a single lamp containing more than one light source, one of the following provisions shall apply: </w:t>
      </w:r>
    </w:p>
    <w:p w14:paraId="740ADFCB" w14:textId="77777777" w:rsidR="003761B0" w:rsidRPr="00EE314D" w:rsidRDefault="003761B0" w:rsidP="00EE314D">
      <w:pPr>
        <w:spacing w:after="120"/>
        <w:ind w:left="2835" w:right="1134" w:hanging="567"/>
        <w:jc w:val="both"/>
        <w:rPr>
          <w:rFonts w:asciiTheme="majorBidi" w:hAnsiTheme="majorBidi" w:cstheme="majorBidi"/>
          <w:iCs/>
          <w:lang w:eastAsia="de-DE"/>
        </w:rPr>
      </w:pPr>
      <w:r w:rsidRPr="00EE314D">
        <w:rPr>
          <w:rFonts w:asciiTheme="majorBidi" w:hAnsiTheme="majorBidi" w:cstheme="majorBidi"/>
          <w:iCs/>
          <w:lang w:eastAsia="de-DE"/>
        </w:rPr>
        <w:t>(a)</w:t>
      </w:r>
      <w:r w:rsidRPr="00EE314D">
        <w:rPr>
          <w:rFonts w:asciiTheme="majorBidi" w:hAnsiTheme="majorBidi" w:cstheme="majorBidi"/>
          <w:iCs/>
          <w:lang w:eastAsia="de-DE"/>
        </w:rPr>
        <w:tab/>
        <w:t>The light intensity at the points of standard light distribution defined in paragraph 2.2. of Annex 3 shall be at least 80 per cent of the minimum intensity required; or</w:t>
      </w:r>
    </w:p>
    <w:p w14:paraId="40FE0EB8" w14:textId="2F7C17F2" w:rsidR="003761B0" w:rsidRPr="00EE314D" w:rsidRDefault="003761B0" w:rsidP="00EE314D">
      <w:pPr>
        <w:spacing w:after="120"/>
        <w:ind w:left="2835" w:right="1134" w:hanging="567"/>
        <w:jc w:val="both"/>
        <w:rPr>
          <w:rFonts w:asciiTheme="majorBidi" w:hAnsiTheme="majorBidi" w:cstheme="majorBidi"/>
          <w:lang w:val="en-US"/>
        </w:rPr>
      </w:pPr>
      <w:r w:rsidRPr="00EE314D">
        <w:rPr>
          <w:rFonts w:asciiTheme="majorBidi" w:hAnsiTheme="majorBidi" w:cstheme="majorBidi"/>
          <w:iCs/>
          <w:lang w:eastAsia="de-DE"/>
        </w:rPr>
        <w:t>(b)</w:t>
      </w:r>
      <w:r w:rsidRPr="00EE314D">
        <w:rPr>
          <w:rFonts w:asciiTheme="majorBidi" w:hAnsiTheme="majorBidi" w:cstheme="majorBidi"/>
          <w:iCs/>
          <w:lang w:eastAsia="de-DE"/>
        </w:rPr>
        <w:tab/>
        <w:t>The light intensity in the axis of reference shall be at least 50 per cent of the minimum intensity required, provided that a note in the communication form states that the lamp is only for use on a vehicle fitted with a</w:t>
      </w:r>
      <w:r w:rsidRPr="00EE314D">
        <w:rPr>
          <w:rFonts w:asciiTheme="majorBidi" w:hAnsiTheme="majorBidi" w:cstheme="majorBidi"/>
          <w:iCs/>
          <w:strike/>
          <w:lang w:eastAsia="de-DE"/>
        </w:rPr>
        <w:t>n operating</w:t>
      </w:r>
      <w:r w:rsidRPr="00EE314D">
        <w:rPr>
          <w:rFonts w:asciiTheme="majorBidi" w:hAnsiTheme="majorBidi" w:cstheme="majorBidi"/>
          <w:iCs/>
          <w:lang w:eastAsia="de-DE"/>
        </w:rPr>
        <w:t xml:space="preserve"> tell-tale </w:t>
      </w:r>
      <w:r w:rsidRPr="00EE314D">
        <w:rPr>
          <w:rFonts w:asciiTheme="majorBidi" w:hAnsiTheme="majorBidi" w:cstheme="majorBidi"/>
          <w:b/>
          <w:bCs/>
          <w:iCs/>
          <w:lang w:eastAsia="de-DE"/>
        </w:rPr>
        <w:t>indicating failure.</w:t>
      </w:r>
      <w:r w:rsidRPr="00EE314D">
        <w:rPr>
          <w:rFonts w:asciiTheme="majorBidi" w:hAnsiTheme="majorBidi" w:cstheme="majorBidi"/>
          <w:iCs/>
          <w:lang w:eastAsia="de-DE"/>
        </w:rPr>
        <w:t>”</w:t>
      </w:r>
    </w:p>
    <w:p w14:paraId="478CFC3A" w14:textId="1DBF93A3" w:rsidR="006D181F" w:rsidRPr="00EE314D" w:rsidRDefault="00074DAC" w:rsidP="00EE314D">
      <w:pPr>
        <w:pStyle w:val="HChG"/>
        <w:spacing w:before="0" w:after="120" w:line="240" w:lineRule="atLeast"/>
        <w:ind w:left="2268"/>
        <w:rPr>
          <w:rFonts w:asciiTheme="majorBidi" w:eastAsia="MS Mincho" w:hAnsiTheme="majorBidi" w:cstheme="majorBidi"/>
          <w:b w:val="0"/>
          <w:i/>
          <w:sz w:val="20"/>
        </w:rPr>
      </w:pPr>
      <w:r w:rsidRPr="00EE314D">
        <w:rPr>
          <w:rFonts w:asciiTheme="majorBidi" w:eastAsia="MS Mincho" w:hAnsiTheme="majorBidi" w:cstheme="majorBidi"/>
          <w:b w:val="0"/>
          <w:i/>
          <w:sz w:val="20"/>
        </w:rPr>
        <w:t>P</w:t>
      </w:r>
      <w:r w:rsidR="006D181F" w:rsidRPr="00EE314D">
        <w:rPr>
          <w:rFonts w:asciiTheme="majorBidi" w:eastAsia="MS Mincho" w:hAnsiTheme="majorBidi" w:cstheme="majorBidi"/>
          <w:b w:val="0"/>
          <w:i/>
          <w:sz w:val="20"/>
        </w:rPr>
        <w:t>ar</w:t>
      </w:r>
      <w:r w:rsidR="003F1AB4" w:rsidRPr="00EE314D">
        <w:rPr>
          <w:rFonts w:asciiTheme="majorBidi" w:eastAsia="MS Mincho" w:hAnsiTheme="majorBidi" w:cstheme="majorBidi"/>
          <w:b w:val="0"/>
          <w:i/>
          <w:sz w:val="20"/>
        </w:rPr>
        <w:t>agraph</w:t>
      </w:r>
      <w:r w:rsidR="006D181F" w:rsidRPr="00EE314D">
        <w:rPr>
          <w:rFonts w:asciiTheme="majorBidi" w:eastAsia="MS Mincho" w:hAnsiTheme="majorBidi" w:cstheme="majorBidi"/>
          <w:b w:val="0"/>
          <w:i/>
          <w:sz w:val="20"/>
        </w:rPr>
        <w:t xml:space="preserve"> </w:t>
      </w:r>
      <w:r w:rsidRPr="00EE314D">
        <w:rPr>
          <w:rFonts w:asciiTheme="majorBidi" w:eastAsia="MS Mincho" w:hAnsiTheme="majorBidi" w:cstheme="majorBidi"/>
          <w:b w:val="0"/>
          <w:i/>
          <w:sz w:val="20"/>
        </w:rPr>
        <w:t>5.1</w:t>
      </w:r>
      <w:r w:rsidR="006D181F" w:rsidRPr="00EE314D">
        <w:rPr>
          <w:rFonts w:asciiTheme="majorBidi" w:eastAsia="MS Mincho" w:hAnsiTheme="majorBidi" w:cstheme="majorBidi"/>
          <w:b w:val="0"/>
          <w:i/>
          <w:sz w:val="20"/>
        </w:rPr>
        <w:t>1.</w:t>
      </w:r>
      <w:r w:rsidRPr="00EE314D">
        <w:rPr>
          <w:rFonts w:asciiTheme="majorBidi" w:eastAsia="MS Mincho" w:hAnsiTheme="majorBidi" w:cstheme="majorBidi"/>
          <w:b w:val="0"/>
          <w:i/>
          <w:sz w:val="20"/>
        </w:rPr>
        <w:t>3</w:t>
      </w:r>
      <w:r w:rsidR="006D181F" w:rsidRPr="00EE314D">
        <w:rPr>
          <w:rFonts w:asciiTheme="majorBidi" w:eastAsia="MS Mincho" w:hAnsiTheme="majorBidi" w:cstheme="majorBidi"/>
          <w:b w:val="0"/>
          <w:i/>
          <w:sz w:val="20"/>
        </w:rPr>
        <w:t>.,</w:t>
      </w:r>
      <w:r w:rsidR="006D181F" w:rsidRPr="00EE314D">
        <w:rPr>
          <w:rFonts w:asciiTheme="majorBidi" w:eastAsia="MS Mincho" w:hAnsiTheme="majorBidi" w:cstheme="majorBidi"/>
          <w:b w:val="0"/>
          <w:iCs/>
          <w:sz w:val="20"/>
        </w:rPr>
        <w:t xml:space="preserve"> amend to read:</w:t>
      </w:r>
    </w:p>
    <w:p w14:paraId="5F6FFF87" w14:textId="77777777" w:rsidR="00074DAC" w:rsidRPr="00EE314D" w:rsidRDefault="00074DAC" w:rsidP="00EE314D">
      <w:pPr>
        <w:spacing w:after="120"/>
        <w:ind w:left="2268" w:right="1134" w:hanging="1134"/>
        <w:jc w:val="both"/>
        <w:rPr>
          <w:rFonts w:asciiTheme="majorBidi" w:hAnsiTheme="majorBidi" w:cstheme="majorBidi"/>
          <w:iCs/>
          <w:lang w:eastAsia="de-DE"/>
        </w:rPr>
      </w:pPr>
      <w:r w:rsidRPr="00EE314D">
        <w:rPr>
          <w:rFonts w:asciiTheme="majorBidi" w:hAnsiTheme="majorBidi" w:cstheme="majorBidi"/>
          <w:iCs/>
          <w:lang w:eastAsia="de-DE"/>
        </w:rPr>
        <w:t>“5.11.3.</w:t>
      </w:r>
      <w:r w:rsidRPr="00EE314D">
        <w:rPr>
          <w:rFonts w:asciiTheme="majorBidi" w:hAnsiTheme="majorBidi" w:cstheme="majorBidi"/>
          <w:iCs/>
          <w:lang w:eastAsia="de-DE"/>
        </w:rPr>
        <w:tab/>
        <w:t>Photometric characteristics</w:t>
      </w:r>
    </w:p>
    <w:p w14:paraId="66AAD95F" w14:textId="77777777" w:rsidR="00074DAC" w:rsidRPr="00EE314D" w:rsidRDefault="00074DAC" w:rsidP="00EE314D">
      <w:pPr>
        <w:pStyle w:val="SingleTxtG"/>
        <w:ind w:left="2268"/>
        <w:rPr>
          <w:rFonts w:asciiTheme="majorBidi" w:hAnsiTheme="majorBidi" w:cstheme="majorBidi"/>
          <w:b/>
          <w:bCs/>
        </w:rPr>
      </w:pPr>
      <w:r w:rsidRPr="00EE314D">
        <w:rPr>
          <w:rFonts w:asciiTheme="majorBidi" w:hAnsiTheme="majorBidi" w:cstheme="majorBidi"/>
          <w:b/>
          <w:bCs/>
        </w:rPr>
        <w:t xml:space="preserve">For the approval of this device, the illumination of the space to be occupied by the plate is determined. The illuminated areas are grouped in the following categories: </w:t>
      </w:r>
    </w:p>
    <w:p w14:paraId="436210F7" w14:textId="739A6FC1" w:rsidR="00074DAC" w:rsidRPr="00EE314D" w:rsidRDefault="00074DAC" w:rsidP="00EE314D">
      <w:pPr>
        <w:pStyle w:val="SingleTxtG"/>
        <w:tabs>
          <w:tab w:val="left" w:pos="2410"/>
        </w:tabs>
        <w:ind w:left="2268"/>
        <w:rPr>
          <w:rFonts w:asciiTheme="majorBidi" w:hAnsiTheme="majorBidi" w:cstheme="majorBidi"/>
          <w:b/>
          <w:bCs/>
        </w:rPr>
      </w:pPr>
      <w:r w:rsidRPr="00EE314D">
        <w:rPr>
          <w:rFonts w:asciiTheme="majorBidi" w:hAnsiTheme="majorBidi" w:cstheme="majorBidi"/>
          <w:b/>
          <w:bCs/>
        </w:rPr>
        <w:t>Category 1a:</w:t>
      </w:r>
      <w:r w:rsidR="005C45BE">
        <w:rPr>
          <w:rFonts w:asciiTheme="majorBidi" w:hAnsiTheme="majorBidi" w:cstheme="majorBidi"/>
          <w:b/>
          <w:bCs/>
        </w:rPr>
        <w:tab/>
      </w:r>
      <w:r w:rsidRPr="00EE314D">
        <w:rPr>
          <w:rFonts w:asciiTheme="majorBidi" w:hAnsiTheme="majorBidi" w:cstheme="majorBidi"/>
          <w:b/>
          <w:bCs/>
        </w:rPr>
        <w:t>illuminated area of at least 340 x 240 mm (Figure A3-IX).</w:t>
      </w:r>
    </w:p>
    <w:p w14:paraId="2431AC73" w14:textId="075DA9CD" w:rsidR="00074DAC" w:rsidRPr="00EE314D" w:rsidRDefault="00074DAC" w:rsidP="00EE314D">
      <w:pPr>
        <w:pStyle w:val="SingleTxtG"/>
        <w:tabs>
          <w:tab w:val="left" w:pos="2410"/>
        </w:tabs>
        <w:ind w:left="2268"/>
        <w:rPr>
          <w:rFonts w:asciiTheme="majorBidi" w:hAnsiTheme="majorBidi" w:cstheme="majorBidi"/>
          <w:b/>
          <w:bCs/>
        </w:rPr>
      </w:pPr>
      <w:r w:rsidRPr="00EE314D">
        <w:rPr>
          <w:rFonts w:asciiTheme="majorBidi" w:hAnsiTheme="majorBidi" w:cstheme="majorBidi"/>
          <w:b/>
          <w:bCs/>
        </w:rPr>
        <w:t>Category 1b:</w:t>
      </w:r>
      <w:r w:rsidR="005C45BE">
        <w:rPr>
          <w:rFonts w:asciiTheme="majorBidi" w:hAnsiTheme="majorBidi" w:cstheme="majorBidi"/>
          <w:b/>
          <w:bCs/>
        </w:rPr>
        <w:tab/>
      </w:r>
      <w:r w:rsidRPr="00EE314D">
        <w:rPr>
          <w:rFonts w:asciiTheme="majorBidi" w:hAnsiTheme="majorBidi" w:cstheme="majorBidi"/>
          <w:b/>
          <w:bCs/>
        </w:rPr>
        <w:t>illuminated area of at least 520 x 120 mm (Figure A3-X).</w:t>
      </w:r>
    </w:p>
    <w:p w14:paraId="20B16DA7" w14:textId="491774A0" w:rsidR="00074DAC" w:rsidRPr="00EE314D" w:rsidRDefault="00074DAC" w:rsidP="00D84F05">
      <w:pPr>
        <w:pStyle w:val="SingleTxtG"/>
        <w:tabs>
          <w:tab w:val="left" w:pos="2410"/>
        </w:tabs>
        <w:ind w:left="3402" w:hanging="1134"/>
        <w:rPr>
          <w:rFonts w:asciiTheme="majorBidi" w:hAnsiTheme="majorBidi" w:cstheme="majorBidi"/>
          <w:b/>
          <w:bCs/>
        </w:rPr>
      </w:pPr>
      <w:r w:rsidRPr="00EE314D">
        <w:rPr>
          <w:rFonts w:asciiTheme="majorBidi" w:hAnsiTheme="majorBidi" w:cstheme="majorBidi"/>
          <w:b/>
          <w:bCs/>
        </w:rPr>
        <w:t>Category 1c:</w:t>
      </w:r>
      <w:r w:rsidR="005C45BE">
        <w:rPr>
          <w:rFonts w:asciiTheme="majorBidi" w:hAnsiTheme="majorBidi" w:cstheme="majorBidi"/>
          <w:b/>
          <w:bCs/>
        </w:rPr>
        <w:tab/>
      </w:r>
      <w:r w:rsidR="005C45BE">
        <w:rPr>
          <w:rFonts w:asciiTheme="majorBidi" w:hAnsiTheme="majorBidi" w:cstheme="majorBidi"/>
          <w:b/>
          <w:bCs/>
        </w:rPr>
        <w:tab/>
      </w:r>
      <w:r w:rsidRPr="00EE314D">
        <w:rPr>
          <w:rFonts w:asciiTheme="majorBidi" w:hAnsiTheme="majorBidi" w:cstheme="majorBidi"/>
          <w:b/>
          <w:bCs/>
        </w:rPr>
        <w:t>illuminated area of at least 255 x 165 mm, for use on</w:t>
      </w:r>
      <w:r w:rsidR="005C45BE">
        <w:rPr>
          <w:rFonts w:asciiTheme="majorBidi" w:hAnsiTheme="majorBidi" w:cstheme="majorBidi"/>
          <w:b/>
          <w:bCs/>
        </w:rPr>
        <w:t xml:space="preserve"> </w:t>
      </w:r>
      <w:r w:rsidRPr="00EE314D">
        <w:rPr>
          <w:rFonts w:asciiTheme="majorBidi" w:hAnsiTheme="majorBidi" w:cstheme="majorBidi"/>
          <w:b/>
          <w:bCs/>
        </w:rPr>
        <w:t>agricultural or forestry tractors, (Figure A3-XI).</w:t>
      </w:r>
    </w:p>
    <w:p w14:paraId="51C86A25" w14:textId="2DD03D77" w:rsidR="00074DAC" w:rsidRPr="00EE314D" w:rsidRDefault="00074DAC" w:rsidP="00EE314D">
      <w:pPr>
        <w:pStyle w:val="SingleTxtG"/>
        <w:tabs>
          <w:tab w:val="left" w:pos="2410"/>
        </w:tabs>
        <w:ind w:left="2268"/>
        <w:rPr>
          <w:rFonts w:asciiTheme="majorBidi" w:hAnsiTheme="majorBidi" w:cstheme="majorBidi"/>
          <w:b/>
          <w:bCs/>
        </w:rPr>
      </w:pPr>
      <w:r w:rsidRPr="00EE314D">
        <w:rPr>
          <w:rFonts w:asciiTheme="majorBidi" w:hAnsiTheme="majorBidi" w:cstheme="majorBidi"/>
          <w:b/>
          <w:bCs/>
        </w:rPr>
        <w:t>Category 2a:</w:t>
      </w:r>
      <w:r w:rsidR="005C45BE">
        <w:rPr>
          <w:rFonts w:asciiTheme="majorBidi" w:hAnsiTheme="majorBidi" w:cstheme="majorBidi"/>
          <w:b/>
          <w:bCs/>
        </w:rPr>
        <w:tab/>
      </w:r>
      <w:r w:rsidRPr="00EE314D">
        <w:rPr>
          <w:rFonts w:asciiTheme="majorBidi" w:hAnsiTheme="majorBidi" w:cstheme="majorBidi"/>
          <w:b/>
          <w:bCs/>
        </w:rPr>
        <w:t>illuminated area of at least 330 x 165 mm (Figure A3-XII).</w:t>
      </w:r>
    </w:p>
    <w:p w14:paraId="109CFC6A" w14:textId="3AC966F2" w:rsidR="00074DAC" w:rsidRPr="00EE314D" w:rsidRDefault="00074DAC" w:rsidP="00EE314D">
      <w:pPr>
        <w:pStyle w:val="SingleTxtG"/>
        <w:tabs>
          <w:tab w:val="left" w:pos="2410"/>
        </w:tabs>
        <w:ind w:left="2268"/>
        <w:rPr>
          <w:rFonts w:asciiTheme="majorBidi" w:hAnsiTheme="majorBidi" w:cstheme="majorBidi"/>
          <w:b/>
          <w:bCs/>
        </w:rPr>
      </w:pPr>
      <w:r w:rsidRPr="00EE314D">
        <w:rPr>
          <w:rFonts w:asciiTheme="majorBidi" w:hAnsiTheme="majorBidi" w:cstheme="majorBidi"/>
          <w:b/>
          <w:bCs/>
        </w:rPr>
        <w:t>Category 2b:</w:t>
      </w:r>
      <w:r w:rsidR="005C45BE">
        <w:rPr>
          <w:rFonts w:asciiTheme="majorBidi" w:hAnsiTheme="majorBidi" w:cstheme="majorBidi"/>
          <w:b/>
          <w:bCs/>
        </w:rPr>
        <w:tab/>
      </w:r>
      <w:r w:rsidRPr="00EE314D">
        <w:rPr>
          <w:rFonts w:asciiTheme="majorBidi" w:hAnsiTheme="majorBidi" w:cstheme="majorBidi"/>
          <w:b/>
          <w:bCs/>
        </w:rPr>
        <w:t>illuminated area of at least 440 x 220 mm (Figure A3-XIII).</w:t>
      </w:r>
    </w:p>
    <w:p w14:paraId="718C225B" w14:textId="2998752F" w:rsidR="00074DAC" w:rsidRPr="00EE314D" w:rsidRDefault="00074DAC" w:rsidP="00EE314D">
      <w:pPr>
        <w:pStyle w:val="SingleTxtG"/>
        <w:tabs>
          <w:tab w:val="left" w:pos="2410"/>
        </w:tabs>
        <w:ind w:left="2268"/>
        <w:rPr>
          <w:rFonts w:asciiTheme="majorBidi" w:hAnsiTheme="majorBidi" w:cstheme="majorBidi"/>
          <w:b/>
          <w:bCs/>
        </w:rPr>
      </w:pPr>
      <w:r w:rsidRPr="00EE314D">
        <w:rPr>
          <w:rFonts w:asciiTheme="majorBidi" w:hAnsiTheme="majorBidi" w:cstheme="majorBidi"/>
          <w:b/>
          <w:bCs/>
        </w:rPr>
        <w:t>Category 1:</w:t>
      </w:r>
      <w:r w:rsidR="005C45BE">
        <w:rPr>
          <w:rFonts w:asciiTheme="majorBidi" w:hAnsiTheme="majorBidi" w:cstheme="majorBidi"/>
          <w:b/>
          <w:bCs/>
        </w:rPr>
        <w:tab/>
      </w:r>
      <w:r w:rsidRPr="00EE314D">
        <w:rPr>
          <w:rFonts w:asciiTheme="majorBidi" w:hAnsiTheme="majorBidi" w:cstheme="majorBidi"/>
          <w:b/>
          <w:bCs/>
        </w:rPr>
        <w:t xml:space="preserve">illuminated area of at least 130 x 240 mm for use on a vehicle </w:t>
      </w:r>
      <w:r w:rsidR="005C45BE">
        <w:rPr>
          <w:rFonts w:asciiTheme="majorBidi" w:hAnsiTheme="majorBidi" w:cstheme="majorBidi"/>
          <w:b/>
          <w:bCs/>
        </w:rPr>
        <w:tab/>
      </w:r>
      <w:r w:rsidR="005C45BE">
        <w:rPr>
          <w:rFonts w:asciiTheme="majorBidi" w:hAnsiTheme="majorBidi" w:cstheme="majorBidi"/>
          <w:b/>
          <w:bCs/>
        </w:rPr>
        <w:tab/>
      </w:r>
      <w:r w:rsidR="005C45BE">
        <w:rPr>
          <w:rFonts w:asciiTheme="majorBidi" w:hAnsiTheme="majorBidi" w:cstheme="majorBidi"/>
          <w:b/>
          <w:bCs/>
        </w:rPr>
        <w:tab/>
      </w:r>
      <w:r w:rsidRPr="00EE314D">
        <w:rPr>
          <w:rFonts w:asciiTheme="majorBidi" w:hAnsiTheme="majorBidi" w:cstheme="majorBidi"/>
          <w:b/>
          <w:bCs/>
        </w:rPr>
        <w:t>of category L (Figure A3-XIV).</w:t>
      </w:r>
    </w:p>
    <w:p w14:paraId="280EF193" w14:textId="043801B7" w:rsidR="00074DAC" w:rsidRPr="00EE314D" w:rsidRDefault="00074DAC" w:rsidP="00EE314D">
      <w:pPr>
        <w:pStyle w:val="SingleTxtG"/>
        <w:tabs>
          <w:tab w:val="left" w:pos="2410"/>
        </w:tabs>
        <w:ind w:left="2268"/>
        <w:rPr>
          <w:rFonts w:asciiTheme="majorBidi" w:hAnsiTheme="majorBidi" w:cstheme="majorBidi"/>
          <w:b/>
          <w:bCs/>
        </w:rPr>
      </w:pPr>
      <w:r w:rsidRPr="00EE314D">
        <w:rPr>
          <w:rFonts w:asciiTheme="majorBidi" w:hAnsiTheme="majorBidi" w:cstheme="majorBidi"/>
          <w:b/>
          <w:bCs/>
        </w:rPr>
        <w:t>Category 2:</w:t>
      </w:r>
      <w:r w:rsidR="00E22F9B">
        <w:rPr>
          <w:rFonts w:asciiTheme="majorBidi" w:hAnsiTheme="majorBidi" w:cstheme="majorBidi"/>
          <w:b/>
          <w:bCs/>
        </w:rPr>
        <w:tab/>
      </w:r>
      <w:r w:rsidRPr="00EE314D">
        <w:rPr>
          <w:rFonts w:asciiTheme="majorBidi" w:hAnsiTheme="majorBidi" w:cstheme="majorBidi"/>
          <w:b/>
          <w:bCs/>
        </w:rPr>
        <w:t xml:space="preserve">illuminated area of at least 200 x 280 mm for use on a vehicle </w:t>
      </w:r>
      <w:r w:rsidR="00E22F9B">
        <w:rPr>
          <w:rFonts w:asciiTheme="majorBidi" w:hAnsiTheme="majorBidi" w:cstheme="majorBidi"/>
          <w:b/>
          <w:bCs/>
        </w:rPr>
        <w:tab/>
      </w:r>
      <w:r w:rsidR="00E22F9B">
        <w:rPr>
          <w:rFonts w:asciiTheme="majorBidi" w:hAnsiTheme="majorBidi" w:cstheme="majorBidi"/>
          <w:b/>
          <w:bCs/>
        </w:rPr>
        <w:tab/>
      </w:r>
      <w:r w:rsidR="00E22F9B">
        <w:rPr>
          <w:rFonts w:asciiTheme="majorBidi" w:hAnsiTheme="majorBidi" w:cstheme="majorBidi"/>
          <w:b/>
          <w:bCs/>
        </w:rPr>
        <w:tab/>
      </w:r>
      <w:r w:rsidRPr="00EE314D">
        <w:rPr>
          <w:rFonts w:asciiTheme="majorBidi" w:hAnsiTheme="majorBidi" w:cstheme="majorBidi"/>
          <w:b/>
          <w:bCs/>
        </w:rPr>
        <w:t>of category L (Figure A3-XV).</w:t>
      </w:r>
    </w:p>
    <w:p w14:paraId="00D6E883" w14:textId="5FC33C6B" w:rsidR="007D7912" w:rsidRPr="00EE314D" w:rsidRDefault="00074DAC" w:rsidP="00EE314D">
      <w:pPr>
        <w:spacing w:after="120"/>
        <w:ind w:left="2268" w:right="1134"/>
        <w:jc w:val="both"/>
        <w:rPr>
          <w:rFonts w:asciiTheme="majorBidi" w:hAnsiTheme="majorBidi" w:cstheme="majorBidi"/>
        </w:rPr>
      </w:pPr>
      <w:r w:rsidRPr="00EE314D">
        <w:rPr>
          <w:rFonts w:asciiTheme="majorBidi" w:hAnsiTheme="majorBidi" w:cstheme="majorBidi"/>
        </w:rPr>
        <w:t>At each of the points of measurement shown in paragraph 3. of Annex 3, the luminance B shall be at least</w:t>
      </w:r>
    </w:p>
    <w:p w14:paraId="292798DD" w14:textId="77777777" w:rsidR="00E26382" w:rsidRPr="00EE314D" w:rsidRDefault="00E26382" w:rsidP="00EE314D">
      <w:pPr>
        <w:pStyle w:val="SingleTxtG"/>
        <w:numPr>
          <w:ilvl w:val="0"/>
          <w:numId w:val="15"/>
        </w:numPr>
        <w:ind w:left="2835" w:hanging="567"/>
        <w:rPr>
          <w:rFonts w:asciiTheme="majorBidi" w:hAnsiTheme="majorBidi" w:cstheme="majorBidi"/>
        </w:rPr>
      </w:pPr>
      <w:r w:rsidRPr="00EE314D">
        <w:rPr>
          <w:rFonts w:asciiTheme="majorBidi" w:hAnsiTheme="majorBidi" w:cstheme="majorBidi"/>
        </w:rPr>
        <w:t xml:space="preserve">For </w:t>
      </w:r>
      <w:r w:rsidRPr="00EE314D">
        <w:rPr>
          <w:rFonts w:asciiTheme="majorBidi" w:hAnsiTheme="majorBidi" w:cstheme="majorBidi"/>
          <w:lang w:val="en-US"/>
        </w:rPr>
        <w:t xml:space="preserve">categories 1a, 1b, 1c, 2a and 2b </w:t>
      </w:r>
      <w:r w:rsidRPr="00EE314D">
        <w:rPr>
          <w:rFonts w:asciiTheme="majorBidi" w:hAnsiTheme="majorBidi" w:cstheme="majorBidi"/>
        </w:rPr>
        <w:t xml:space="preserve"> equal to 2.5 cd/m</w:t>
      </w:r>
      <w:r w:rsidRPr="00EE314D">
        <w:rPr>
          <w:rFonts w:asciiTheme="majorBidi" w:hAnsiTheme="majorBidi" w:cstheme="majorBidi"/>
          <w:vertAlign w:val="superscript"/>
        </w:rPr>
        <w:t>2</w:t>
      </w:r>
      <w:r w:rsidRPr="00EE314D">
        <w:rPr>
          <w:rFonts w:asciiTheme="majorBidi" w:hAnsiTheme="majorBidi" w:cstheme="majorBidi"/>
        </w:rPr>
        <w:t>;</w:t>
      </w:r>
    </w:p>
    <w:p w14:paraId="6F20222F" w14:textId="77777777" w:rsidR="00E26382" w:rsidRPr="00EE314D" w:rsidRDefault="00E26382" w:rsidP="00EE314D">
      <w:pPr>
        <w:pStyle w:val="SingleTxtG"/>
        <w:numPr>
          <w:ilvl w:val="0"/>
          <w:numId w:val="15"/>
        </w:numPr>
        <w:ind w:left="2835" w:hanging="567"/>
        <w:rPr>
          <w:rFonts w:asciiTheme="majorBidi" w:hAnsiTheme="majorBidi" w:cstheme="majorBidi"/>
        </w:rPr>
      </w:pPr>
      <w:r w:rsidRPr="00EE314D">
        <w:rPr>
          <w:rFonts w:asciiTheme="majorBidi" w:hAnsiTheme="majorBidi" w:cstheme="majorBidi"/>
        </w:rPr>
        <w:t xml:space="preserve">For </w:t>
      </w:r>
      <w:r w:rsidRPr="00EE314D">
        <w:rPr>
          <w:rFonts w:asciiTheme="majorBidi" w:hAnsiTheme="majorBidi" w:cstheme="majorBidi"/>
          <w:lang w:val="en-US"/>
        </w:rPr>
        <w:t xml:space="preserve">categories 1 and 2 </w:t>
      </w:r>
      <w:proofErr w:type="gramStart"/>
      <w:r w:rsidRPr="00EE314D">
        <w:rPr>
          <w:rFonts w:asciiTheme="majorBidi" w:hAnsiTheme="majorBidi" w:cstheme="majorBidi"/>
        </w:rPr>
        <w:t>equal</w:t>
      </w:r>
      <w:proofErr w:type="gramEnd"/>
      <w:r w:rsidRPr="00EE314D">
        <w:rPr>
          <w:rFonts w:asciiTheme="majorBidi" w:hAnsiTheme="majorBidi" w:cstheme="majorBidi"/>
        </w:rPr>
        <w:t xml:space="preserve"> to 2.0 cd/m².</w:t>
      </w:r>
    </w:p>
    <w:p w14:paraId="3ECC655A" w14:textId="77777777" w:rsidR="00E26382" w:rsidRPr="00EE314D" w:rsidRDefault="00E26382" w:rsidP="00EE314D">
      <w:pPr>
        <w:pStyle w:val="SingleTxtG"/>
        <w:ind w:left="2268"/>
        <w:rPr>
          <w:rFonts w:asciiTheme="majorBidi" w:hAnsiTheme="majorBidi" w:cstheme="majorBidi"/>
        </w:rPr>
      </w:pPr>
      <w:r w:rsidRPr="00EE314D">
        <w:rPr>
          <w:rFonts w:asciiTheme="majorBidi" w:hAnsiTheme="majorBidi" w:cstheme="majorBidi"/>
        </w:rPr>
        <w:tab/>
        <w:t>The gradient of the luminance between the values B</w:t>
      </w:r>
      <w:r w:rsidRPr="00EE314D">
        <w:rPr>
          <w:rFonts w:asciiTheme="majorBidi" w:hAnsiTheme="majorBidi" w:cstheme="majorBidi"/>
          <w:vertAlign w:val="subscript"/>
        </w:rPr>
        <w:t>1</w:t>
      </w:r>
      <w:r w:rsidRPr="00EE314D">
        <w:rPr>
          <w:rFonts w:asciiTheme="majorBidi" w:hAnsiTheme="majorBidi" w:cstheme="majorBidi"/>
        </w:rPr>
        <w:t xml:space="preserve"> and B</w:t>
      </w:r>
      <w:r w:rsidRPr="00EE314D">
        <w:rPr>
          <w:rFonts w:asciiTheme="majorBidi" w:hAnsiTheme="majorBidi" w:cstheme="majorBidi"/>
          <w:vertAlign w:val="subscript"/>
        </w:rPr>
        <w:t>2</w:t>
      </w:r>
      <w:r w:rsidRPr="00EE314D">
        <w:rPr>
          <w:rFonts w:asciiTheme="majorBidi" w:hAnsiTheme="majorBidi" w:cstheme="majorBidi"/>
        </w:rPr>
        <w:t>, measured at any two points 1 and 2 selected from among those mentioned above, shall not exceed 2 x Bo/cm, Bo being the minimum luminance measured at the various points, i.e.:</w:t>
      </w:r>
    </w:p>
    <w:p w14:paraId="5FF1C543" w14:textId="1F408019" w:rsidR="00E26382" w:rsidRDefault="00E26382" w:rsidP="00E26382">
      <w:pPr>
        <w:spacing w:after="120"/>
        <w:ind w:left="3119" w:right="1134"/>
        <w:jc w:val="both"/>
        <w:rPr>
          <w:lang w:val="en-US"/>
        </w:rPr>
      </w:pPr>
      <w:r w:rsidRPr="004E2AF7">
        <w:rPr>
          <w:position w:val="-24"/>
        </w:rPr>
        <w:object w:dxaOrig="3379" w:dyaOrig="620" w14:anchorId="59298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31.45pt" o:ole="">
            <v:imagedata r:id="rId15" o:title=""/>
          </v:shape>
          <o:OLEObject Type="Embed" ProgID="Equation.3" ShapeID="_x0000_i1025" DrawAspect="Content" ObjectID="_1689687387" r:id="rId16"/>
        </w:object>
      </w:r>
      <w:r>
        <w:tab/>
      </w:r>
      <w:r>
        <w:tab/>
      </w:r>
      <w:r w:rsidRPr="00E26382">
        <w:rPr>
          <w:b/>
          <w:bCs/>
        </w:rPr>
        <w:t>”</w:t>
      </w:r>
    </w:p>
    <w:p w14:paraId="2358A4AF" w14:textId="62DA2423" w:rsidR="00E26382" w:rsidRDefault="00E26382" w:rsidP="00E26382">
      <w:pPr>
        <w:pStyle w:val="5para5thlevel"/>
        <w:rPr>
          <w:szCs w:val="21"/>
        </w:rPr>
      </w:pPr>
      <w:r w:rsidRPr="00B76F95">
        <w:rPr>
          <w:i/>
          <w:iCs/>
          <w:lang w:val="en-US"/>
        </w:rPr>
        <w:t>Figure A7-III</w:t>
      </w:r>
      <w:r w:rsidR="00D3370E">
        <w:rPr>
          <w:i/>
          <w:iCs/>
          <w:lang w:val="en-US"/>
        </w:rPr>
        <w:t xml:space="preserve"> and the text below</w:t>
      </w:r>
      <w:r w:rsidRPr="00B76F95">
        <w:rPr>
          <w:i/>
          <w:iCs/>
          <w:lang w:val="en-US"/>
        </w:rPr>
        <w:t>,</w:t>
      </w:r>
      <w:r>
        <w:rPr>
          <w:szCs w:val="21"/>
        </w:rPr>
        <w:t xml:space="preserve"> </w:t>
      </w:r>
      <w:r w:rsidR="001D2267">
        <w:rPr>
          <w:szCs w:val="21"/>
        </w:rPr>
        <w:t>amend to read</w:t>
      </w:r>
      <w:r w:rsidR="00487E1A">
        <w:rPr>
          <w:szCs w:val="21"/>
        </w:rPr>
        <w:t>:</w:t>
      </w:r>
    </w:p>
    <w:p w14:paraId="6AB0CC7D" w14:textId="77777777" w:rsidR="001F30FC" w:rsidRDefault="001F30FC">
      <w:pPr>
        <w:suppressAutoHyphens w:val="0"/>
        <w:spacing w:line="240" w:lineRule="auto"/>
        <w:rPr>
          <w:szCs w:val="21"/>
        </w:rPr>
      </w:pPr>
      <w:r>
        <w:rPr>
          <w:szCs w:val="21"/>
        </w:rPr>
        <w:br w:type="page"/>
      </w:r>
    </w:p>
    <w:p w14:paraId="1AB29655" w14:textId="0F4F27A6" w:rsidR="00E26382" w:rsidRPr="00F40084" w:rsidRDefault="00E26382" w:rsidP="00E26382">
      <w:pPr>
        <w:spacing w:line="240" w:lineRule="auto"/>
        <w:ind w:left="2268" w:right="1134" w:hanging="1134"/>
        <w:rPr>
          <w:szCs w:val="21"/>
        </w:rPr>
      </w:pPr>
      <w:r>
        <w:rPr>
          <w:szCs w:val="21"/>
        </w:rPr>
        <w:lastRenderedPageBreak/>
        <w:t>“</w:t>
      </w:r>
      <w:r w:rsidRPr="00F40084">
        <w:rPr>
          <w:szCs w:val="21"/>
        </w:rPr>
        <w:t>Figure A</w:t>
      </w:r>
      <w:r w:rsidR="00487E1A">
        <w:rPr>
          <w:szCs w:val="21"/>
        </w:rPr>
        <w:t>7</w:t>
      </w:r>
      <w:r w:rsidRPr="00F40084">
        <w:rPr>
          <w:szCs w:val="21"/>
        </w:rPr>
        <w:t>-</w:t>
      </w:r>
      <w:r w:rsidR="00487E1A">
        <w:rPr>
          <w:szCs w:val="21"/>
        </w:rPr>
        <w:t>III</w:t>
      </w:r>
    </w:p>
    <w:p w14:paraId="503DFCAA" w14:textId="5730F2B8" w:rsidR="00E26382" w:rsidRPr="00F40084" w:rsidRDefault="00487E1A" w:rsidP="001F30FC">
      <w:pPr>
        <w:spacing w:after="120"/>
        <w:ind w:left="2268" w:right="1134" w:hanging="1134"/>
        <w:rPr>
          <w:b/>
          <w:bCs/>
          <w:szCs w:val="21"/>
        </w:rPr>
      </w:pPr>
      <w:r>
        <w:rPr>
          <w:b/>
          <w:bCs/>
          <w:szCs w:val="21"/>
        </w:rPr>
        <w:t>Marking example 3</w:t>
      </w:r>
    </w:p>
    <w:p w14:paraId="444FFDA9" w14:textId="77777777" w:rsidR="002B38EA" w:rsidRDefault="00487E1A" w:rsidP="002B38EA">
      <w:pPr>
        <w:pStyle w:val="StyleSingleTxtGLeft2cmHanging206cm"/>
        <w:ind w:left="1134" w:firstLine="0"/>
      </w:pPr>
      <w:r>
        <w:rPr>
          <w:noProof/>
        </w:rPr>
        <w:drawing>
          <wp:inline distT="0" distB="0" distL="0" distR="0" wp14:anchorId="19CD7C29" wp14:editId="7B9EA30C">
            <wp:extent cx="3968750" cy="3505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0" cy="3505200"/>
                    </a:xfrm>
                    <a:prstGeom prst="rect">
                      <a:avLst/>
                    </a:prstGeom>
                    <a:noFill/>
                  </pic:spPr>
                </pic:pic>
              </a:graphicData>
            </a:graphic>
          </wp:inline>
        </w:drawing>
      </w:r>
      <w:r w:rsidR="002B38EA">
        <w:t xml:space="preserve">   </w:t>
      </w:r>
    </w:p>
    <w:p w14:paraId="4BC30F44" w14:textId="77777777" w:rsidR="002B38EA" w:rsidRPr="000B4AAB" w:rsidRDefault="002B38EA" w:rsidP="002B38EA">
      <w:pPr>
        <w:adjustRightInd w:val="0"/>
        <w:snapToGrid w:val="0"/>
        <w:spacing w:after="120"/>
        <w:ind w:left="1134" w:right="1134"/>
        <w:jc w:val="both"/>
        <w:rPr>
          <w:snapToGrid w:val="0"/>
        </w:rPr>
      </w:pPr>
      <w:r w:rsidRPr="00432F91">
        <w:rPr>
          <w:snapToGrid w:val="0"/>
        </w:rPr>
        <w:t>These examples of approval marks represent two</w:t>
      </w:r>
      <w:r>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14:paraId="152D7980" w14:textId="77777777" w:rsidR="002B38EA" w:rsidRPr="000B4AAB" w:rsidRDefault="002B38EA" w:rsidP="002B38EA">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14:paraId="0C9AD628" w14:textId="592DAD52" w:rsidR="002B38EA" w:rsidRPr="003155FF" w:rsidRDefault="002B38EA" w:rsidP="002B38EA">
      <w:pPr>
        <w:spacing w:after="120"/>
        <w:ind w:left="1701" w:right="1134" w:hanging="567"/>
        <w:jc w:val="both"/>
        <w:rPr>
          <w:snapToGrid w:val="0"/>
        </w:rPr>
      </w:pPr>
      <w:r w:rsidRPr="003155FF">
        <w:rPr>
          <w:snapToGrid w:val="0"/>
        </w:rPr>
        <w:t>(a)</w:t>
      </w:r>
      <w:r w:rsidRPr="003155FF">
        <w:rPr>
          <w:snapToGrid w:val="0"/>
        </w:rPr>
        <w:tab/>
        <w:t xml:space="preserve">A retro-reflector of class </w:t>
      </w:r>
      <w:r w:rsidR="001D2267" w:rsidRPr="001D2267">
        <w:rPr>
          <w:b/>
          <w:bCs/>
          <w:snapToGrid w:val="0"/>
        </w:rPr>
        <w:t>IA</w:t>
      </w:r>
      <w:r w:rsidRPr="001D2267">
        <w:rPr>
          <w:strike/>
          <w:snapToGrid w:val="0"/>
        </w:rPr>
        <w:t>1A</w:t>
      </w:r>
      <w:r w:rsidRPr="003155FF">
        <w:rPr>
          <w:snapToGrid w:val="0"/>
        </w:rPr>
        <w:t>;</w:t>
      </w:r>
    </w:p>
    <w:p w14:paraId="2B1667EB" w14:textId="77777777" w:rsidR="002B38EA" w:rsidRPr="003155FF" w:rsidRDefault="002B38EA" w:rsidP="002B38EA">
      <w:pPr>
        <w:spacing w:after="120"/>
        <w:ind w:left="1701" w:right="1134" w:hanging="567"/>
        <w:jc w:val="both"/>
        <w:rPr>
          <w:snapToGrid w:val="0"/>
        </w:rPr>
      </w:pPr>
      <w:r w:rsidRPr="003155FF">
        <w:rPr>
          <w:snapToGrid w:val="0"/>
        </w:rPr>
        <w:t>(b)</w:t>
      </w:r>
      <w:r w:rsidRPr="003155FF">
        <w:rPr>
          <w:snapToGrid w:val="0"/>
        </w:rPr>
        <w:tab/>
        <w:t>A rear direction indicator lamp with variable luminous intensity (category 2b). The horizontal arrow shows in what position this device, which cannot be mounted on either side of the vehicle indiscriminately, is to be mounted;</w:t>
      </w:r>
    </w:p>
    <w:p w14:paraId="159D5C5E" w14:textId="77777777" w:rsidR="002B38EA" w:rsidRPr="003155FF" w:rsidRDefault="002B38EA" w:rsidP="002B38EA">
      <w:pPr>
        <w:spacing w:after="120"/>
        <w:ind w:left="1701" w:right="1134" w:hanging="567"/>
        <w:jc w:val="both"/>
        <w:rPr>
          <w:snapToGrid w:val="0"/>
        </w:rPr>
      </w:pPr>
      <w:r w:rsidRPr="003155FF">
        <w:rPr>
          <w:snapToGrid w:val="0"/>
        </w:rPr>
        <w:t>(c)</w:t>
      </w:r>
      <w:r w:rsidRPr="003155FF">
        <w:rPr>
          <w:snapToGrid w:val="0"/>
        </w:rPr>
        <w:tab/>
        <w:t>A rear position lamp with variable luminous intensity (R2). The horizontal arrow indicates the side on which the required photometric specifications are met up to an angle of 80° H;</w:t>
      </w:r>
    </w:p>
    <w:p w14:paraId="50ED4C40" w14:textId="77777777" w:rsidR="002B38EA" w:rsidRPr="003155FF" w:rsidRDefault="002B38EA" w:rsidP="002B38EA">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
    <w:p w14:paraId="3A9325BE" w14:textId="77777777" w:rsidR="002B38EA" w:rsidRPr="003155FF" w:rsidRDefault="002B38EA" w:rsidP="002B38EA">
      <w:pPr>
        <w:spacing w:after="120"/>
        <w:ind w:left="1701" w:right="1134" w:hanging="567"/>
        <w:jc w:val="both"/>
        <w:rPr>
          <w:snapToGrid w:val="0"/>
        </w:rPr>
      </w:pPr>
      <w:r w:rsidRPr="003155FF">
        <w:rPr>
          <w:snapToGrid w:val="0"/>
        </w:rPr>
        <w:t>(e)</w:t>
      </w:r>
      <w:r w:rsidRPr="003155FF">
        <w:rPr>
          <w:snapToGrid w:val="0"/>
        </w:rPr>
        <w:tab/>
        <w:t>A reversing lamp (AR);</w:t>
      </w:r>
    </w:p>
    <w:p w14:paraId="3A1BB27B" w14:textId="77777777" w:rsidR="002B38EA" w:rsidRDefault="002B38EA" w:rsidP="002B38EA">
      <w:pPr>
        <w:spacing w:after="120"/>
        <w:ind w:left="1701" w:right="1134" w:hanging="567"/>
        <w:jc w:val="both"/>
        <w:rPr>
          <w:snapToGrid w:val="0"/>
        </w:rPr>
      </w:pPr>
      <w:r w:rsidRPr="003155FF">
        <w:rPr>
          <w:snapToGrid w:val="0"/>
        </w:rPr>
        <w:t>(f)</w:t>
      </w:r>
      <w:r w:rsidRPr="003155FF">
        <w:rPr>
          <w:snapToGrid w:val="0"/>
        </w:rPr>
        <w:tab/>
        <w:t>A stop lamp with</w:t>
      </w:r>
      <w:r w:rsidRPr="000B4AAB">
        <w:rPr>
          <w:snapToGrid w:val="0"/>
        </w:rPr>
        <w:t xml:space="preserve"> variable luminous intensity (S2).</w:t>
      </w:r>
    </w:p>
    <w:p w14:paraId="72DBE270" w14:textId="34EF934B" w:rsidR="00E26382" w:rsidRPr="002B38EA" w:rsidRDefault="002B38EA" w:rsidP="002B38EA">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w:t>
      </w:r>
      <w:r>
        <w:rPr>
          <w:snapToGrid w:val="0"/>
        </w:rPr>
        <w:t>148</w:t>
      </w:r>
      <w:r w:rsidRPr="00432F91">
        <w:rPr>
          <w:snapToGrid w:val="0"/>
        </w:rPr>
        <w:t>R)</w:t>
      </w:r>
      <w:r>
        <w:rPr>
          <w:snapToGrid w:val="0"/>
        </w:rPr>
        <w:t xml:space="preserve"> </w:t>
      </w:r>
      <w:r w:rsidR="001D2267" w:rsidRPr="001D2267">
        <w:rPr>
          <w:b/>
          <w:bCs/>
          <w:snapToGrid w:val="0"/>
        </w:rPr>
        <w:t>and to UN</w:t>
      </w:r>
      <w:r w:rsidR="001D2267">
        <w:rPr>
          <w:b/>
          <w:bCs/>
          <w:snapToGrid w:val="0"/>
        </w:rPr>
        <w:t xml:space="preserve"> Regulation No. 150 (150R)</w:t>
      </w:r>
      <w:r w:rsidR="001D2267" w:rsidRPr="001D2267">
        <w:rPr>
          <w:b/>
          <w:bCs/>
          <w:snapToGrid w:val="0"/>
        </w:rPr>
        <w:t xml:space="preserve"> </w:t>
      </w:r>
      <w:r w:rsidRPr="001A7635">
        <w:rPr>
          <w:snapToGrid w:val="0"/>
        </w:rPr>
        <w:t xml:space="preserve">as indicated by the number (00) mentioned after </w:t>
      </w:r>
      <w:r>
        <w:rPr>
          <w:snapToGrid w:val="0"/>
        </w:rPr>
        <w:t>148</w:t>
      </w:r>
      <w:r w:rsidRPr="001A7635">
        <w:rPr>
          <w:snapToGrid w:val="0"/>
        </w:rPr>
        <w:t>R</w:t>
      </w:r>
      <w:r w:rsidR="001D2267" w:rsidRPr="001D2267">
        <w:rPr>
          <w:b/>
          <w:bCs/>
          <w:snapToGrid w:val="0"/>
        </w:rPr>
        <w:t xml:space="preserve"> and 150R respectively</w:t>
      </w:r>
      <w:r>
        <w:rPr>
          <w:snapToGrid w:val="0"/>
        </w:rPr>
        <w:t xml:space="preserve">. </w:t>
      </w:r>
      <w:r w:rsidR="001D2267">
        <w:rPr>
          <w:snapToGrid w:val="0"/>
        </w:rPr>
        <w:t xml:space="preserve"> </w:t>
      </w:r>
      <w:r w:rsidR="00E26382">
        <w:t>”</w:t>
      </w:r>
    </w:p>
    <w:p w14:paraId="0B8B4A74" w14:textId="2A777A3A" w:rsidR="00487E1A" w:rsidRDefault="00487E1A" w:rsidP="00487E1A">
      <w:pPr>
        <w:pStyle w:val="5para5thlevel"/>
        <w:rPr>
          <w:szCs w:val="21"/>
        </w:rPr>
      </w:pPr>
      <w:r w:rsidRPr="00B76F95">
        <w:rPr>
          <w:i/>
          <w:iCs/>
          <w:lang w:val="en-US"/>
        </w:rPr>
        <w:t>Figure A7-IV,</w:t>
      </w:r>
      <w:r>
        <w:rPr>
          <w:szCs w:val="21"/>
        </w:rPr>
        <w:t xml:space="preserve"> </w:t>
      </w:r>
      <w:r w:rsidR="00D04F93">
        <w:rPr>
          <w:szCs w:val="21"/>
        </w:rPr>
        <w:t>amend to read</w:t>
      </w:r>
      <w:r>
        <w:rPr>
          <w:szCs w:val="21"/>
        </w:rPr>
        <w:t>:</w:t>
      </w:r>
    </w:p>
    <w:p w14:paraId="79B40433" w14:textId="62BFBE15" w:rsidR="00487E1A" w:rsidRDefault="00487E1A" w:rsidP="00487E1A">
      <w:pPr>
        <w:spacing w:line="240" w:lineRule="auto"/>
        <w:ind w:left="2268" w:right="1134" w:hanging="1134"/>
        <w:rPr>
          <w:szCs w:val="21"/>
        </w:rPr>
      </w:pPr>
      <w:r>
        <w:rPr>
          <w:szCs w:val="21"/>
        </w:rPr>
        <w:t>“</w:t>
      </w:r>
      <w:r w:rsidRPr="00F40084">
        <w:rPr>
          <w:szCs w:val="21"/>
        </w:rPr>
        <w:t>Figure A</w:t>
      </w:r>
      <w:r>
        <w:rPr>
          <w:szCs w:val="21"/>
        </w:rPr>
        <w:t>7</w:t>
      </w:r>
      <w:r w:rsidRPr="00F40084">
        <w:rPr>
          <w:szCs w:val="21"/>
        </w:rPr>
        <w:t>-</w:t>
      </w:r>
      <w:r>
        <w:rPr>
          <w:szCs w:val="21"/>
        </w:rPr>
        <w:t>I</w:t>
      </w:r>
      <w:r w:rsidRPr="00F40084">
        <w:rPr>
          <w:szCs w:val="21"/>
        </w:rPr>
        <w:t>V</w:t>
      </w:r>
    </w:p>
    <w:p w14:paraId="2CD3AE2F" w14:textId="77777777" w:rsidR="002B38EA" w:rsidRDefault="00487E1A" w:rsidP="002B38EA">
      <w:pPr>
        <w:spacing w:line="240" w:lineRule="auto"/>
        <w:ind w:left="2268" w:right="1134" w:hanging="1134"/>
      </w:pPr>
      <w:r>
        <w:rPr>
          <w:noProof/>
          <w:szCs w:val="21"/>
        </w:rPr>
        <w:drawing>
          <wp:inline distT="0" distB="0" distL="0" distR="0" wp14:anchorId="36A35433" wp14:editId="722596F1">
            <wp:extent cx="1957070" cy="1286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070" cy="1286510"/>
                    </a:xfrm>
                    <a:prstGeom prst="rect">
                      <a:avLst/>
                    </a:prstGeom>
                    <a:noFill/>
                  </pic:spPr>
                </pic:pic>
              </a:graphicData>
            </a:graphic>
          </wp:inline>
        </w:drawing>
      </w:r>
      <w:r w:rsidR="002B38EA">
        <w:t xml:space="preserve">   </w:t>
      </w:r>
    </w:p>
    <w:p w14:paraId="2D5AADBE" w14:textId="77777777" w:rsidR="002B38EA" w:rsidRPr="000B4AAB" w:rsidRDefault="002B38EA" w:rsidP="00D04F93">
      <w:pPr>
        <w:adjustRightInd w:val="0"/>
        <w:snapToGrid w:val="0"/>
        <w:spacing w:after="120"/>
        <w:ind w:left="1134" w:right="1134"/>
        <w:jc w:val="both"/>
        <w:rPr>
          <w:snapToGrid w:val="0"/>
        </w:rPr>
      </w:pPr>
      <w:r w:rsidRPr="000B4AAB">
        <w:rPr>
          <w:snapToGrid w:val="0"/>
        </w:rPr>
        <w:lastRenderedPageBreak/>
        <w:t>This example corresponds to the marking of a lens intended to be used in different types of light signalling lamps. The approval marks indicate that the lamp was approved in Spain (E9) under approval number 1432 and may comprise all listed different functions.</w:t>
      </w:r>
    </w:p>
    <w:p w14:paraId="271CB4BA" w14:textId="6917F414" w:rsidR="00487E1A" w:rsidRPr="00487E1A" w:rsidRDefault="002B38EA" w:rsidP="00D04F93">
      <w:pPr>
        <w:spacing w:after="120"/>
        <w:ind w:left="2268" w:right="1134" w:hanging="1134"/>
      </w:pPr>
      <w:r w:rsidRPr="000B4AAB">
        <w:rPr>
          <w:snapToGrid w:val="0"/>
        </w:rPr>
        <w:t>The main body of the lamp shall bear the only valid approval mark.</w:t>
      </w:r>
      <w:r w:rsidR="00487E1A">
        <w:t>”</w:t>
      </w:r>
    </w:p>
    <w:p w14:paraId="72ED0909" w14:textId="77777777" w:rsidR="00E933B8" w:rsidRDefault="00E933B8" w:rsidP="00E933B8">
      <w:pPr>
        <w:pStyle w:val="HChG"/>
      </w:pPr>
      <w:r w:rsidRPr="00525E6C">
        <w:tab/>
        <w:t>II.</w:t>
      </w:r>
      <w:r w:rsidRPr="00525E6C">
        <w:tab/>
        <w:t>Justification</w:t>
      </w:r>
    </w:p>
    <w:p w14:paraId="75AB4B94" w14:textId="2AEFBDF8" w:rsidR="001F1CB4" w:rsidRDefault="001F1CB4" w:rsidP="00EC1691">
      <w:pPr>
        <w:snapToGrid w:val="0"/>
        <w:spacing w:after="120"/>
        <w:ind w:left="1134" w:right="1134"/>
        <w:jc w:val="both"/>
        <w:rPr>
          <w:rFonts w:eastAsia="MS Mincho"/>
          <w:lang w:eastAsia="ja-JP"/>
        </w:rPr>
      </w:pPr>
      <w:r>
        <w:rPr>
          <w:rFonts w:eastAsia="MS Mincho"/>
          <w:lang w:eastAsia="ja-JP"/>
        </w:rPr>
        <w:t>1.</w:t>
      </w:r>
      <w:r>
        <w:rPr>
          <w:rFonts w:eastAsia="MS Mincho"/>
          <w:lang w:eastAsia="ja-JP"/>
        </w:rPr>
        <w:tab/>
        <w:t xml:space="preserve">For </w:t>
      </w:r>
      <w:r w:rsidR="00E60179">
        <w:rPr>
          <w:rFonts w:eastAsia="MS Mincho"/>
          <w:lang w:eastAsia="ja-JP"/>
        </w:rPr>
        <w:t>the daytime running lamps (</w:t>
      </w:r>
      <w:r>
        <w:rPr>
          <w:rFonts w:eastAsia="MS Mincho"/>
          <w:lang w:eastAsia="ja-JP"/>
        </w:rPr>
        <w:t>DRL</w:t>
      </w:r>
      <w:r w:rsidR="00E60179">
        <w:rPr>
          <w:rFonts w:eastAsia="MS Mincho"/>
          <w:lang w:eastAsia="ja-JP"/>
        </w:rPr>
        <w:t>)</w:t>
      </w:r>
      <w:r>
        <w:rPr>
          <w:rFonts w:eastAsia="MS Mincho"/>
          <w:lang w:eastAsia="ja-JP"/>
        </w:rPr>
        <w:t>, the requirement for “operating tell-tale” has been modified to a “tell-tale indicating failure”. This modification was introduced with Supplement 18 to the original series of amendments to UN Regulation No.</w:t>
      </w:r>
      <w:r w:rsidR="00683F6F">
        <w:rPr>
          <w:rFonts w:eastAsia="MS Mincho"/>
          <w:lang w:eastAsia="ja-JP"/>
        </w:rPr>
        <w:t xml:space="preserve"> </w:t>
      </w:r>
      <w:r>
        <w:rPr>
          <w:rFonts w:eastAsia="MS Mincho"/>
          <w:lang w:eastAsia="ja-JP"/>
        </w:rPr>
        <w:t>87, but not in UN Regulation No.</w:t>
      </w:r>
      <w:r w:rsidR="00683F6F">
        <w:rPr>
          <w:rFonts w:eastAsia="MS Mincho"/>
          <w:lang w:eastAsia="ja-JP"/>
        </w:rPr>
        <w:t xml:space="preserve"> </w:t>
      </w:r>
      <w:r>
        <w:rPr>
          <w:rFonts w:eastAsia="MS Mincho"/>
          <w:lang w:eastAsia="ja-JP"/>
        </w:rPr>
        <w:t xml:space="preserve">148. </w:t>
      </w:r>
    </w:p>
    <w:p w14:paraId="477F6BB2" w14:textId="1610FC86" w:rsidR="001F1CB4" w:rsidRDefault="001F1CB4" w:rsidP="001F1CB4">
      <w:pPr>
        <w:snapToGrid w:val="0"/>
        <w:spacing w:after="120"/>
        <w:ind w:left="1134" w:right="1134"/>
        <w:jc w:val="both"/>
        <w:rPr>
          <w:lang w:eastAsia="it-IT"/>
        </w:rPr>
      </w:pPr>
      <w:r>
        <w:rPr>
          <w:rFonts w:eastAsia="MS Mincho"/>
          <w:lang w:eastAsia="ja-JP"/>
        </w:rPr>
        <w:t>2.</w:t>
      </w:r>
      <w:r>
        <w:rPr>
          <w:rFonts w:eastAsia="MS Mincho"/>
          <w:lang w:eastAsia="ja-JP"/>
        </w:rPr>
        <w:tab/>
        <w:t>The explanation for the categories of the illuminated area, existing in the frozen UN Regulations Nos. 4 (</w:t>
      </w:r>
      <w:r w:rsidR="002C4813">
        <w:rPr>
          <w:rFonts w:eastAsia="MS Mincho"/>
          <w:lang w:eastAsia="ja-JP"/>
        </w:rPr>
        <w:t>"D</w:t>
      </w:r>
      <w:r>
        <w:rPr>
          <w:rFonts w:eastAsia="MS Mincho"/>
          <w:lang w:eastAsia="ja-JP"/>
        </w:rPr>
        <w:t>efinitions</w:t>
      </w:r>
      <w:r w:rsidR="002C4813">
        <w:rPr>
          <w:rFonts w:eastAsia="MS Mincho"/>
          <w:lang w:eastAsia="ja-JP"/>
        </w:rPr>
        <w:t>"</w:t>
      </w:r>
      <w:r>
        <w:rPr>
          <w:rFonts w:eastAsia="MS Mincho"/>
          <w:lang w:eastAsia="ja-JP"/>
        </w:rPr>
        <w:t>) and 50 (</w:t>
      </w:r>
      <w:r w:rsidR="00000309">
        <w:rPr>
          <w:rFonts w:eastAsia="MS Mincho"/>
          <w:lang w:eastAsia="ja-JP"/>
        </w:rPr>
        <w:t xml:space="preserve">paragraph </w:t>
      </w:r>
      <w:r>
        <w:rPr>
          <w:rFonts w:eastAsia="MS Mincho"/>
          <w:lang w:eastAsia="ja-JP"/>
        </w:rPr>
        <w:t>1</w:t>
      </w:r>
      <w:r w:rsidR="001F30FC">
        <w:rPr>
          <w:rFonts w:eastAsia="MS Mincho"/>
          <w:lang w:eastAsia="ja-JP"/>
        </w:rPr>
        <w:t>.</w:t>
      </w:r>
      <w:r>
        <w:rPr>
          <w:rFonts w:eastAsia="MS Mincho"/>
          <w:lang w:eastAsia="ja-JP"/>
        </w:rPr>
        <w:t xml:space="preserve"> of Annex 5), were unintentionally omitted in the original text of UN Regulation No.148. This proposal is intended to re-introduce such an explanation under paragraph 5.11.3. The missing information for the category of the illuminated area was given with reference</w:t>
      </w:r>
      <w:r>
        <w:t xml:space="preserve"> to the relevant rear registration plate.</w:t>
      </w:r>
    </w:p>
    <w:p w14:paraId="7E535A1C" w14:textId="1D122E82" w:rsidR="001F1CB4" w:rsidRDefault="001F1CB4" w:rsidP="001F1CB4">
      <w:pPr>
        <w:snapToGrid w:val="0"/>
        <w:spacing w:after="120"/>
        <w:ind w:left="1134" w:right="1134"/>
        <w:jc w:val="both"/>
      </w:pPr>
      <w:r>
        <w:t>3.</w:t>
      </w:r>
      <w:r>
        <w:tab/>
        <w:t xml:space="preserve">Some errors have been identified in </w:t>
      </w:r>
      <w:r w:rsidR="00F43663">
        <w:t>f</w:t>
      </w:r>
      <w:r>
        <w:t xml:space="preserve">igures A7-III and A7-IV. This proposal also corrects </w:t>
      </w:r>
      <w:r w:rsidR="00F43663">
        <w:t>these f</w:t>
      </w:r>
      <w:r>
        <w:t>igures.</w:t>
      </w:r>
    </w:p>
    <w:p w14:paraId="0800F887" w14:textId="63046E3F"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3F1AB4">
      <w:headerReference w:type="even" r:id="rId19"/>
      <w:headerReference w:type="default" r:id="rId20"/>
      <w:footerReference w:type="default" r:id="rId21"/>
      <w:head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46E00" w14:textId="77777777" w:rsidR="0081575D" w:rsidRDefault="0081575D"/>
  </w:endnote>
  <w:endnote w:type="continuationSeparator" w:id="0">
    <w:p w14:paraId="3CF2CDD9" w14:textId="77777777" w:rsidR="0081575D" w:rsidRDefault="0081575D"/>
  </w:endnote>
  <w:endnote w:type="continuationNotice" w:id="1">
    <w:p w14:paraId="4688E809" w14:textId="77777777" w:rsidR="0081575D" w:rsidRDefault="00815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9771" w14:textId="3A23F572" w:rsidR="00AE51C4" w:rsidRDefault="00AE51C4" w:rsidP="00AE51C4">
    <w:pPr>
      <w:pStyle w:val="Footer"/>
    </w:pPr>
    <w:r w:rsidRPr="0027112F">
      <w:rPr>
        <w:noProof/>
        <w:lang w:val="en-US"/>
      </w:rPr>
      <w:drawing>
        <wp:anchor distT="0" distB="0" distL="114300" distR="114300" simplePos="0" relativeHeight="251659264" behindDoc="0" locked="1" layoutInCell="1" allowOverlap="1" wp14:anchorId="66D0B8D5" wp14:editId="704FA2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8BF1C1" w14:textId="4A8851A3" w:rsidR="00AE51C4" w:rsidRPr="00AE51C4" w:rsidRDefault="00AE51C4" w:rsidP="00AE51C4">
    <w:pPr>
      <w:pStyle w:val="Footer"/>
      <w:ind w:right="1134"/>
      <w:rPr>
        <w:sz w:val="20"/>
      </w:rPr>
    </w:pPr>
    <w:r>
      <w:rPr>
        <w:sz w:val="20"/>
      </w:rPr>
      <w:t>GE.21-10780(E)</w:t>
    </w:r>
    <w:r>
      <w:rPr>
        <w:noProof/>
        <w:sz w:val="20"/>
      </w:rPr>
      <w:drawing>
        <wp:anchor distT="0" distB="0" distL="114300" distR="114300" simplePos="0" relativeHeight="251660288" behindDoc="0" locked="0" layoutInCell="1" allowOverlap="1" wp14:anchorId="22D035ED" wp14:editId="1F1719F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AAEF" w14:textId="77777777" w:rsidR="0081575D" w:rsidRPr="000B175B" w:rsidRDefault="0081575D" w:rsidP="000B175B">
      <w:pPr>
        <w:tabs>
          <w:tab w:val="right" w:pos="2155"/>
        </w:tabs>
        <w:spacing w:after="80"/>
        <w:ind w:left="680"/>
        <w:rPr>
          <w:u w:val="single"/>
        </w:rPr>
      </w:pPr>
      <w:r>
        <w:rPr>
          <w:u w:val="single"/>
        </w:rPr>
        <w:tab/>
      </w:r>
    </w:p>
  </w:footnote>
  <w:footnote w:type="continuationSeparator" w:id="0">
    <w:p w14:paraId="07CEB0FD" w14:textId="77777777" w:rsidR="0081575D" w:rsidRPr="00FC68B7" w:rsidRDefault="0081575D" w:rsidP="00FC68B7">
      <w:pPr>
        <w:tabs>
          <w:tab w:val="left" w:pos="2155"/>
        </w:tabs>
        <w:spacing w:after="80"/>
        <w:ind w:left="680"/>
        <w:rPr>
          <w:u w:val="single"/>
        </w:rPr>
      </w:pPr>
      <w:r>
        <w:rPr>
          <w:u w:val="single"/>
        </w:rPr>
        <w:tab/>
      </w:r>
    </w:p>
  </w:footnote>
  <w:footnote w:type="continuationNotice" w:id="1">
    <w:p w14:paraId="07A9104A" w14:textId="77777777" w:rsidR="0081575D" w:rsidRDefault="0081575D"/>
  </w:footnote>
  <w:footnote w:id="2">
    <w:p w14:paraId="26469265" w14:textId="37504308" w:rsidR="00E317C2" w:rsidRPr="004876E3" w:rsidRDefault="00E317C2" w:rsidP="00297676">
      <w:pPr>
        <w:pStyle w:val="FootnoteText"/>
      </w:pPr>
      <w:r w:rsidRPr="00A90EA8">
        <w:tab/>
      </w:r>
      <w:r w:rsidR="00F3615B">
        <w:rPr>
          <w:rStyle w:val="FootnoteReference"/>
          <w:lang w:val="en-US"/>
        </w:rPr>
        <w:t>*</w:t>
      </w:r>
      <w:r w:rsidR="00F3615B">
        <w:rPr>
          <w:lang w:val="en-US"/>
        </w:rPr>
        <w:tab/>
      </w:r>
      <w:r w:rsidR="00F3615B">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B1C1" w14:textId="2CDA3622" w:rsidR="00C740F6" w:rsidRPr="006C395D" w:rsidRDefault="00C740F6" w:rsidP="005726B5">
    <w:pPr>
      <w:pStyle w:val="Header"/>
    </w:pPr>
    <w:r w:rsidRPr="00155295">
      <w:t>ECE/TRANS/WP.29/GRE/20</w:t>
    </w:r>
    <w:r w:rsidR="006D181F" w:rsidRPr="00155295">
      <w:t>2</w:t>
    </w:r>
    <w:r w:rsidR="003761B0" w:rsidRPr="00155295">
      <w:t>1</w:t>
    </w:r>
    <w:r w:rsidRPr="00155295">
      <w:t>/</w:t>
    </w:r>
    <w:r w:rsidR="00155295" w:rsidRPr="00155295">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647F" w14:textId="53591A3C" w:rsidR="00C740F6" w:rsidRPr="006C395D" w:rsidRDefault="00C740F6" w:rsidP="00DA725B">
    <w:pPr>
      <w:pStyle w:val="Header"/>
      <w:jc w:val="right"/>
    </w:pPr>
    <w:r w:rsidRPr="00155295">
      <w:t>ECE/TRANS/WP.29/GRE/20</w:t>
    </w:r>
    <w:r w:rsidR="004223FF" w:rsidRPr="00155295">
      <w:t>2</w:t>
    </w:r>
    <w:r w:rsidR="003761B0" w:rsidRPr="00155295">
      <w:t>1</w:t>
    </w:r>
    <w:r w:rsidRPr="00155295">
      <w:t>/</w:t>
    </w:r>
    <w:r w:rsidR="00155295" w:rsidRPr="00155295">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4"/>
  </w:num>
  <w:num w:numId="3">
    <w:abstractNumId w:val="9"/>
  </w:num>
  <w:num w:numId="4">
    <w:abstractNumId w:val="12"/>
  </w:num>
  <w:num w:numId="5">
    <w:abstractNumId w:val="13"/>
  </w:num>
  <w:num w:numId="6">
    <w:abstractNumId w:val="3"/>
  </w:num>
  <w:num w:numId="7">
    <w:abstractNumId w:val="2"/>
  </w:num>
  <w:num w:numId="8">
    <w:abstractNumId w:val="11"/>
  </w:num>
  <w:num w:numId="9">
    <w:abstractNumId w:val="7"/>
  </w:num>
  <w:num w:numId="10">
    <w:abstractNumId w:val="8"/>
  </w:num>
  <w:num w:numId="11">
    <w:abstractNumId w:val="6"/>
  </w:num>
  <w:num w:numId="12">
    <w:abstractNumId w:val="0"/>
  </w:num>
  <w:num w:numId="13">
    <w:abstractNumId w:val="15"/>
  </w:num>
  <w:num w:numId="14">
    <w:abstractNumId w:val="5"/>
  </w:num>
  <w:num w:numId="15">
    <w:abstractNumId w:val="10"/>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7C9"/>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75D"/>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C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70E"/>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4F05"/>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8739DF80-DB32-49FB-8480-48720C0E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896</Words>
  <Characters>4565</Characters>
  <Application>Microsoft Office Word</Application>
  <DocSecurity>0</DocSecurity>
  <Lines>107</Lines>
  <Paragraphs>58</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ECE/TRANS/WP.29/GRE/2020/9</vt:lpstr>
      <vt:lpstr>ECE/TRANS/WP.29/GRE/2020/9</vt:lpstr>
      <vt:lpstr>ECE/TRANS/WP.29/GRE/2019/3</vt:lpstr>
      <vt:lpstr>ECE/TRANS/WP.29/GRE/2018/49</vt:lpstr>
    </vt:vector>
  </TitlesOfParts>
  <Company>CSD</Company>
  <LinksUpToDate>false</LinksUpToDate>
  <CharactersWithSpaces>5437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ECE/TRANS/WP.29/GRE/2021/11</dc:title>
  <dc:subject>2110780</dc:subject>
  <dc:creator>Una Philippa GILTSOFF</dc:creator>
  <cp:keywords/>
  <dc:description/>
  <cp:lastModifiedBy>Una Philippa GILTSOFF</cp:lastModifiedBy>
  <cp:revision>2</cp:revision>
  <cp:lastPrinted>2019-01-31T15:08:00Z</cp:lastPrinted>
  <dcterms:created xsi:type="dcterms:W3CDTF">2021-08-05T14:49:00Z</dcterms:created>
  <dcterms:modified xsi:type="dcterms:W3CDTF">2021-08-05T14:49:00Z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ies>
</file>