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3E483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07EC15" w14:textId="77777777" w:rsidR="002D5AAC" w:rsidRDefault="002D5AAC" w:rsidP="007310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F8A4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BBE49E" w14:textId="261CE179" w:rsidR="002D5AAC" w:rsidRDefault="00731063" w:rsidP="00731063">
            <w:pPr>
              <w:jc w:val="right"/>
            </w:pPr>
            <w:r w:rsidRPr="00731063">
              <w:rPr>
                <w:sz w:val="40"/>
              </w:rPr>
              <w:t>ECE</w:t>
            </w:r>
            <w:r>
              <w:t>/TRANS/WP.29/GRE/2021/9</w:t>
            </w:r>
          </w:p>
        </w:tc>
      </w:tr>
      <w:tr w:rsidR="002D5AAC" w:rsidRPr="00376EC3" w14:paraId="167CA6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64E5A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27E9F2" wp14:editId="43469D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CC28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95888C" w14:textId="77777777" w:rsidR="002D5AAC" w:rsidRDefault="007310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6AB055" w14:textId="77777777" w:rsidR="00731063" w:rsidRDefault="00731063" w:rsidP="007310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2021</w:t>
            </w:r>
          </w:p>
          <w:p w14:paraId="0CBE61FE" w14:textId="77777777" w:rsidR="00731063" w:rsidRDefault="00731063" w:rsidP="007310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3C184A" w14:textId="761BFAF8" w:rsidR="00731063" w:rsidRPr="008D53B6" w:rsidRDefault="00731063" w:rsidP="007310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16D6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55D02D" w14:textId="77777777" w:rsidR="00731063" w:rsidRPr="003C75DF" w:rsidRDefault="00731063" w:rsidP="00731063">
      <w:pPr>
        <w:spacing w:before="120"/>
        <w:rPr>
          <w:sz w:val="28"/>
          <w:szCs w:val="28"/>
        </w:rPr>
      </w:pPr>
      <w:r w:rsidRPr="003C75DF">
        <w:rPr>
          <w:sz w:val="28"/>
          <w:szCs w:val="28"/>
        </w:rPr>
        <w:t>Комитет по внутреннему транспорту</w:t>
      </w:r>
    </w:p>
    <w:p w14:paraId="20202DBC" w14:textId="2D3B9FDB" w:rsidR="00731063" w:rsidRPr="003C75DF" w:rsidRDefault="00731063" w:rsidP="00731063">
      <w:pPr>
        <w:spacing w:before="120"/>
        <w:rPr>
          <w:b/>
          <w:sz w:val="24"/>
          <w:szCs w:val="24"/>
        </w:rPr>
      </w:pPr>
      <w:r w:rsidRPr="003C75D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C75DF">
        <w:rPr>
          <w:b/>
          <w:bCs/>
          <w:sz w:val="24"/>
          <w:szCs w:val="24"/>
        </w:rPr>
        <w:br/>
      </w:r>
      <w:r w:rsidRPr="003C75DF">
        <w:rPr>
          <w:b/>
          <w:bCs/>
          <w:sz w:val="24"/>
          <w:szCs w:val="24"/>
        </w:rPr>
        <w:t>в области транспортных средств</w:t>
      </w:r>
    </w:p>
    <w:p w14:paraId="0D87418B" w14:textId="63706D32" w:rsidR="00731063" w:rsidRPr="00E760A8" w:rsidRDefault="00731063" w:rsidP="00731063">
      <w:pPr>
        <w:spacing w:before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 w:rsidR="003C75DF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18EA2679" w14:textId="77777777" w:rsidR="00731063" w:rsidRPr="00E760A8" w:rsidRDefault="00731063" w:rsidP="00731063">
      <w:pPr>
        <w:spacing w:before="120"/>
        <w:rPr>
          <w:b/>
        </w:rPr>
      </w:pPr>
      <w:r>
        <w:rPr>
          <w:b/>
          <w:bCs/>
        </w:rPr>
        <w:t>Восемьдесят пятая сессия</w:t>
      </w:r>
    </w:p>
    <w:p w14:paraId="69D2B38A" w14:textId="77777777" w:rsidR="00731063" w:rsidRPr="00E760A8" w:rsidRDefault="00731063" w:rsidP="00731063">
      <w:r>
        <w:t>Женева, 26–29 октября 2021 года</w:t>
      </w:r>
    </w:p>
    <w:p w14:paraId="533EAF31" w14:textId="77777777" w:rsidR="00731063" w:rsidRPr="00E760A8" w:rsidRDefault="00731063" w:rsidP="00731063">
      <w:r>
        <w:t>Пункт 1 предварительной повестки дня</w:t>
      </w:r>
    </w:p>
    <w:p w14:paraId="093A934F" w14:textId="26D3C085" w:rsidR="00E12C5F" w:rsidRDefault="00731063" w:rsidP="00731063">
      <w:r>
        <w:rPr>
          <w:b/>
          <w:bCs/>
        </w:rPr>
        <w:t>Утверждение повестки дня</w:t>
      </w:r>
    </w:p>
    <w:p w14:paraId="0D504401" w14:textId="77777777" w:rsidR="00731063" w:rsidRPr="00E760A8" w:rsidRDefault="00731063" w:rsidP="003C75DF">
      <w:pPr>
        <w:pStyle w:val="HChG"/>
      </w:pPr>
      <w:bookmarkStart w:id="0" w:name="OLE_LINK2"/>
      <w:r>
        <w:tab/>
      </w:r>
      <w:r>
        <w:tab/>
        <w:t>Аннотированная предварительная повестка дня восемьдесят пятой сессии</w:t>
      </w:r>
      <w:r w:rsidRPr="003C75DF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3C75DF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3C75DF">
        <w:rPr>
          <w:rStyle w:val="aa"/>
          <w:bCs/>
          <w:sz w:val="20"/>
          <w:vertAlign w:val="baseline"/>
        </w:rPr>
        <w:t>,</w:t>
      </w:r>
      <w:r>
        <w:t xml:space="preserve"> </w:t>
      </w:r>
      <w:bookmarkEnd w:id="0"/>
    </w:p>
    <w:p w14:paraId="5B4D8AEA" w14:textId="2E7E8E58" w:rsidR="00731063" w:rsidRPr="00E760A8" w:rsidRDefault="00731063" w:rsidP="00376EC3">
      <w:pPr>
        <w:pStyle w:val="SingleTxtG"/>
        <w:jc w:val="left"/>
      </w:pPr>
      <w:r>
        <w:t>которая состоится во Дворце Наций в Женеве, начнется в 12 ч 30 мин 26 октября 2021</w:t>
      </w:r>
      <w:r w:rsidR="003C75DF">
        <w:rPr>
          <w:lang w:val="en-US"/>
        </w:rPr>
        <w:t> </w:t>
      </w:r>
      <w:r>
        <w:t>года и завершится в 17 ч 30 мин 29 октября 2021 года</w:t>
      </w:r>
    </w:p>
    <w:p w14:paraId="48D727D2" w14:textId="77777777" w:rsidR="00731063" w:rsidRPr="00E760A8" w:rsidRDefault="00731063" w:rsidP="003C75DF">
      <w:pPr>
        <w:pStyle w:val="HChG"/>
      </w:pPr>
      <w:r>
        <w:tab/>
        <w:t>I.</w:t>
      </w:r>
      <w:r>
        <w:tab/>
        <w:t>Предварительная повестка дня</w:t>
      </w:r>
    </w:p>
    <w:p w14:paraId="011F83F3" w14:textId="77777777" w:rsidR="00731063" w:rsidRPr="00E760A8" w:rsidRDefault="00731063" w:rsidP="00731063">
      <w:pPr>
        <w:pStyle w:val="SingleTxtG"/>
      </w:pPr>
      <w:r>
        <w:t>1.</w:t>
      </w:r>
      <w:r>
        <w:tab/>
        <w:t>Утверждение повестки дня.</w:t>
      </w:r>
    </w:p>
    <w:p w14:paraId="3115C0E5" w14:textId="77777777" w:rsidR="00731063" w:rsidRPr="00E760A8" w:rsidRDefault="00731063" w:rsidP="00731063">
      <w:pPr>
        <w:pStyle w:val="SingleTxtG"/>
      </w:pPr>
      <w:r>
        <w:t>2.</w:t>
      </w:r>
      <w:r>
        <w:tab/>
        <w:t>Соглашение 1998 года — глобальные технические правила ООН: разработка.</w:t>
      </w:r>
    </w:p>
    <w:p w14:paraId="2A95CCD6" w14:textId="77777777" w:rsidR="00731063" w:rsidRPr="00E760A8" w:rsidRDefault="00731063" w:rsidP="00731063">
      <w:pPr>
        <w:pStyle w:val="SingleTxtG"/>
      </w:pPr>
      <w:r>
        <w:t>3.</w:t>
      </w:r>
      <w:r>
        <w:tab/>
        <w:t>Соглашение 1997 года — предписания: разработка.</w:t>
      </w:r>
    </w:p>
    <w:p w14:paraId="4FE00332" w14:textId="77777777" w:rsidR="00731063" w:rsidRPr="00E760A8" w:rsidRDefault="00731063" w:rsidP="00731063">
      <w:pPr>
        <w:pStyle w:val="SingleTxtG"/>
      </w:pPr>
      <w:r>
        <w:t>4.</w:t>
      </w:r>
      <w:r>
        <w:tab/>
        <w:t>Упрощение правил ООН, касающихся освещения и световой сигнализации:</w:t>
      </w:r>
    </w:p>
    <w:p w14:paraId="5FE7885D" w14:textId="77777777" w:rsidR="00731063" w:rsidRPr="00E760A8" w:rsidRDefault="00731063" w:rsidP="003C75DF">
      <w:pPr>
        <w:pStyle w:val="SingleTxtG"/>
        <w:ind w:left="2268" w:hanging="567"/>
      </w:pPr>
      <w:r>
        <w:t>a)</w:t>
      </w:r>
      <w:r>
        <w:tab/>
        <w:t xml:space="preserve">деятельность неофициальной рабочей группы по упрощению правил, касающихся освещения и световой сигнализации; </w:t>
      </w:r>
    </w:p>
    <w:p w14:paraId="50674F38" w14:textId="77777777" w:rsidR="00731063" w:rsidRPr="00E760A8" w:rsidRDefault="00731063" w:rsidP="00731063">
      <w:pPr>
        <w:pStyle w:val="SingleTxtG"/>
        <w:ind w:left="1701"/>
      </w:pPr>
      <w:r>
        <w:t>b)</w:t>
      </w:r>
      <w:r>
        <w:tab/>
        <w:t xml:space="preserve">Правила № 148 ООН (устройства световой сигнализации);  </w:t>
      </w:r>
    </w:p>
    <w:p w14:paraId="265705B7" w14:textId="77777777" w:rsidR="00731063" w:rsidRPr="00E760A8" w:rsidRDefault="00731063" w:rsidP="00731063">
      <w:pPr>
        <w:pStyle w:val="SingleTxtG"/>
        <w:ind w:left="1701"/>
      </w:pPr>
      <w:r>
        <w:t>c)</w:t>
      </w:r>
      <w:r>
        <w:tab/>
        <w:t>Правила № 149 ООН (устройства освещения дороги);</w:t>
      </w:r>
    </w:p>
    <w:p w14:paraId="7383064F" w14:textId="77777777" w:rsidR="00731063" w:rsidRPr="00E760A8" w:rsidRDefault="00731063" w:rsidP="00731063">
      <w:pPr>
        <w:pStyle w:val="SingleTxtG"/>
        <w:ind w:left="1701"/>
      </w:pPr>
      <w:r>
        <w:t>d)</w:t>
      </w:r>
      <w:r>
        <w:tab/>
        <w:t>Правила № 150 ООН (светоотражающие устройства);</w:t>
      </w:r>
    </w:p>
    <w:p w14:paraId="0495F3D2" w14:textId="2FCB0B48" w:rsidR="00731063" w:rsidRPr="00E760A8" w:rsidRDefault="00731063" w:rsidP="00731063">
      <w:pPr>
        <w:pStyle w:val="SingleTxtG"/>
        <w:ind w:left="2268" w:hanging="567"/>
      </w:pPr>
      <w:r>
        <w:lastRenderedPageBreak/>
        <w:t>e)</w:t>
      </w:r>
      <w:r>
        <w:tab/>
        <w:t xml:space="preserve">упрощение правил ООН </w:t>
      </w:r>
      <w:r w:rsidRPr="00001219">
        <w:t>№</w:t>
      </w:r>
      <w:r w:rsidR="000A1985">
        <w:t>№</w:t>
      </w:r>
      <w:r>
        <w:t xml:space="preserve"> 48, 53, 74 и 86.</w:t>
      </w:r>
    </w:p>
    <w:p w14:paraId="07B78128" w14:textId="1B7C9F2D" w:rsidR="00731063" w:rsidRPr="00E760A8" w:rsidRDefault="00731063" w:rsidP="00731063">
      <w:pPr>
        <w:pStyle w:val="SingleTxtG"/>
        <w:ind w:left="1701" w:hanging="567"/>
      </w:pPr>
      <w:r>
        <w:t>5.</w:t>
      </w:r>
      <w:r>
        <w:tab/>
        <w:t xml:space="preserve">Правила ООН </w:t>
      </w:r>
      <w:r w:rsidRPr="000A1985">
        <w:t>№</w:t>
      </w:r>
      <w:r w:rsidR="000A1985">
        <w:t>№</w:t>
      </w:r>
      <w:r>
        <w:t xml:space="preserve"> 37 (источники света с нитью накала),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света.</w:t>
      </w:r>
    </w:p>
    <w:p w14:paraId="25E2820C" w14:textId="77777777" w:rsidR="00731063" w:rsidRPr="00E760A8" w:rsidRDefault="00731063" w:rsidP="00731063">
      <w:pPr>
        <w:pStyle w:val="SingleTxtG"/>
      </w:pPr>
      <w:r>
        <w:t>6.</w:t>
      </w:r>
      <w:r>
        <w:tab/>
        <w:t>Правила № 48 ООН (установка устройств освещения и световой сигнализации):</w:t>
      </w:r>
    </w:p>
    <w:p w14:paraId="7DA3C7C5" w14:textId="77777777" w:rsidR="00731063" w:rsidRPr="00E760A8" w:rsidRDefault="00731063" w:rsidP="00731063">
      <w:pPr>
        <w:spacing w:after="120"/>
        <w:ind w:left="1701" w:right="1134"/>
        <w:jc w:val="both"/>
      </w:pPr>
      <w:r>
        <w:t>a)</w:t>
      </w:r>
      <w:r>
        <w:tab/>
        <w:t>предложения по поправкам к последней серии поправок;</w:t>
      </w:r>
    </w:p>
    <w:p w14:paraId="0F33C05D" w14:textId="77777777" w:rsidR="00731063" w:rsidRPr="00E760A8" w:rsidRDefault="00731063" w:rsidP="00731063">
      <w:pPr>
        <w:spacing w:after="120"/>
        <w:ind w:left="1701" w:right="1134"/>
        <w:jc w:val="both"/>
      </w:pPr>
      <w:r>
        <w:t>b)</w:t>
      </w:r>
      <w:r>
        <w:tab/>
        <w:t>предложения по поправкам новой серии к Правилам № 48 ООН.</w:t>
      </w:r>
    </w:p>
    <w:p w14:paraId="4F67638F" w14:textId="77777777" w:rsidR="00731063" w:rsidRPr="00E760A8" w:rsidRDefault="00731063" w:rsidP="00731063">
      <w:pPr>
        <w:pStyle w:val="SingleTxtG"/>
      </w:pPr>
      <w:r>
        <w:t>7.</w:t>
      </w:r>
      <w:r>
        <w:tab/>
        <w:t>Другие правила ООН:</w:t>
      </w:r>
    </w:p>
    <w:p w14:paraId="4C63527E" w14:textId="6F012A76" w:rsidR="00731063" w:rsidRPr="00E760A8" w:rsidRDefault="003C75DF" w:rsidP="003C75DF">
      <w:pPr>
        <w:pStyle w:val="SingleTxtG"/>
      </w:pPr>
      <w:r>
        <w:tab/>
      </w:r>
      <w:r w:rsidR="00731063">
        <w:t>a)</w:t>
      </w:r>
      <w:r w:rsidR="00731063">
        <w:tab/>
        <w:t>Правила № 10 ООН (электромагнитная совместимость);</w:t>
      </w:r>
    </w:p>
    <w:p w14:paraId="19609B0B" w14:textId="50FBD10E" w:rsidR="00731063" w:rsidRPr="00E760A8" w:rsidRDefault="00731063" w:rsidP="003C75DF">
      <w:pPr>
        <w:spacing w:after="120"/>
        <w:ind w:left="2268" w:right="1134" w:hanging="567"/>
        <w:jc w:val="both"/>
      </w:pPr>
      <w:r>
        <w:t>b)</w:t>
      </w:r>
      <w:r>
        <w:tab/>
        <w:t xml:space="preserve">Правила № 53 ООН (установка устройств освещения и световой </w:t>
      </w:r>
      <w:r>
        <w:tab/>
        <w:t>сигнализации для транспортных средств L</w:t>
      </w:r>
      <w:r>
        <w:rPr>
          <w:vertAlign w:val="subscript"/>
        </w:rPr>
        <w:t>3</w:t>
      </w:r>
      <w:r>
        <w:t>).</w:t>
      </w:r>
    </w:p>
    <w:p w14:paraId="2A28C4B9" w14:textId="77777777" w:rsidR="00731063" w:rsidRPr="00E760A8" w:rsidRDefault="00731063" w:rsidP="00731063">
      <w:pPr>
        <w:pStyle w:val="SingleTxtG"/>
      </w:pPr>
      <w:r>
        <w:t>8.</w:t>
      </w:r>
      <w:r>
        <w:tab/>
        <w:t>Прочие вопросы:</w:t>
      </w:r>
    </w:p>
    <w:p w14:paraId="790FAADF" w14:textId="1BE0F263" w:rsidR="00731063" w:rsidRPr="00E760A8" w:rsidRDefault="003C75DF" w:rsidP="003C75DF">
      <w:pPr>
        <w:pStyle w:val="SingleTxtG"/>
        <w:ind w:left="2268" w:hanging="1134"/>
      </w:pPr>
      <w:r>
        <w:tab/>
      </w:r>
      <w:r w:rsidR="00731063">
        <w:t>a)</w:t>
      </w:r>
      <w:r w:rsidR="00731063">
        <w:tab/>
        <w:t>разработка международной системы официального утверждения типа комплектного транспортного средства;</w:t>
      </w:r>
    </w:p>
    <w:p w14:paraId="691B19A8" w14:textId="77777777" w:rsidR="00731063" w:rsidRPr="00E760A8" w:rsidRDefault="00731063" w:rsidP="00731063">
      <w:pPr>
        <w:pStyle w:val="SingleTxtG"/>
        <w:ind w:left="1701"/>
      </w:pPr>
      <w:r>
        <w:t>b)</w:t>
      </w:r>
      <w:r>
        <w:tab/>
        <w:t>поправки к Конвенции о дорожном движении (Вена, 1968 год);</w:t>
      </w:r>
    </w:p>
    <w:p w14:paraId="4FB42A8E" w14:textId="77777777" w:rsidR="00731063" w:rsidRPr="00E760A8" w:rsidRDefault="00731063" w:rsidP="00731063">
      <w:pPr>
        <w:pStyle w:val="SingleTxtG"/>
        <w:ind w:left="1701"/>
      </w:pPr>
      <w:r>
        <w:t>c)</w:t>
      </w:r>
      <w:r>
        <w:tab/>
        <w:t>разное.</w:t>
      </w:r>
    </w:p>
    <w:p w14:paraId="4DD17256" w14:textId="77777777" w:rsidR="00731063" w:rsidRPr="00E760A8" w:rsidRDefault="00731063" w:rsidP="00731063">
      <w:pPr>
        <w:pStyle w:val="SingleTxtG"/>
      </w:pPr>
      <w:r>
        <w:t>9.</w:t>
      </w:r>
      <w:r>
        <w:tab/>
        <w:t>Направления будущей работы GRE.</w:t>
      </w:r>
    </w:p>
    <w:p w14:paraId="771C2488" w14:textId="77777777" w:rsidR="00731063" w:rsidRPr="00E760A8" w:rsidRDefault="00731063" w:rsidP="00731063">
      <w:pPr>
        <w:pStyle w:val="SingleTxtG"/>
      </w:pPr>
      <w:r>
        <w:t>10.</w:t>
      </w:r>
      <w:r>
        <w:tab/>
        <w:t xml:space="preserve">Предварительная повестка дня следующей сессии. </w:t>
      </w:r>
    </w:p>
    <w:p w14:paraId="0DB266B4" w14:textId="16F348E8" w:rsidR="00731063" w:rsidRPr="00E760A8" w:rsidRDefault="00731063" w:rsidP="00731063">
      <w:pPr>
        <w:pStyle w:val="SingleTxtG"/>
      </w:pPr>
      <w:r>
        <w:t>11.</w:t>
      </w:r>
      <w:r>
        <w:tab/>
        <w:t>Выборы должностных лиц</w:t>
      </w:r>
      <w:r w:rsidR="000A1985">
        <w:t>.</w:t>
      </w:r>
    </w:p>
    <w:p w14:paraId="101AAD15" w14:textId="77777777" w:rsidR="00731063" w:rsidRPr="00E760A8" w:rsidRDefault="00731063" w:rsidP="000A1985">
      <w:pPr>
        <w:pStyle w:val="HChG"/>
      </w:pPr>
      <w:r>
        <w:tab/>
        <w:t>II.</w:t>
      </w:r>
      <w:r>
        <w:tab/>
        <w:t>Аннотации</w:t>
      </w:r>
    </w:p>
    <w:p w14:paraId="6A6EC01D" w14:textId="77777777" w:rsidR="00731063" w:rsidRPr="00E760A8" w:rsidRDefault="00731063" w:rsidP="000A1985">
      <w:pPr>
        <w:pStyle w:val="H1G"/>
      </w:pPr>
      <w:r>
        <w:tab/>
        <w:t>1.</w:t>
      </w:r>
      <w:r>
        <w:tab/>
        <w:t>Утверждение повестки дня</w:t>
      </w:r>
    </w:p>
    <w:p w14:paraId="35CD0F4C" w14:textId="34C90714" w:rsidR="00731063" w:rsidRPr="00E760A8" w:rsidRDefault="00001219" w:rsidP="00001219">
      <w:pPr>
        <w:pStyle w:val="SingleTxtG"/>
      </w:pPr>
      <w:r>
        <w:tab/>
      </w:r>
      <w:r w:rsidR="00731063">
        <w:t xml:space="preserve">В соответствии с правилом 7 главы III правил процедуры Всемирного форума </w:t>
      </w:r>
      <w:r w:rsidR="00731063" w:rsidRPr="00001219">
        <w:rPr>
          <w:spacing w:val="-2"/>
        </w:rPr>
        <w:t>для согласования правил в области транспортных средств (WP.29) (TRANS/WP.29/690,</w:t>
      </w:r>
      <w:r w:rsidR="00731063">
        <w:t xml:space="preserve"> Amend.1 и Amend.2) первым пунктом предварительной повестки дня является ее утверждение.</w:t>
      </w:r>
    </w:p>
    <w:p w14:paraId="16D0ACA1" w14:textId="77777777" w:rsidR="00731063" w:rsidRPr="00E760A8" w:rsidRDefault="00731063" w:rsidP="0073106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ECE/TRANS/WP.29/GRE/2021/9</w:t>
      </w:r>
    </w:p>
    <w:p w14:paraId="5E7B640B" w14:textId="04F333DA" w:rsidR="00731063" w:rsidRPr="00E760A8" w:rsidRDefault="00731063" w:rsidP="00001219">
      <w:pPr>
        <w:pStyle w:val="H1G"/>
      </w:pPr>
      <w:r>
        <w:tab/>
        <w:t>2.</w:t>
      </w:r>
      <w:r>
        <w:tab/>
        <w:t>Соглашение 1998 года — глобальные технические правила ООН: разработка</w:t>
      </w:r>
    </w:p>
    <w:p w14:paraId="3EB9E5BE" w14:textId="77777777" w:rsidR="00731063" w:rsidRPr="00E760A8" w:rsidRDefault="00731063" w:rsidP="00731063">
      <w:pPr>
        <w:pStyle w:val="SingleTxtG"/>
        <w:ind w:firstLine="567"/>
      </w:pPr>
      <w:r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 ООН). На предыдущей сессии Председатель напомнил, что GRE ожидает продолжения работы в области автоматизированных/автономных транспортных средств, и в частности решения о том, могут ли их функции световой сигнализации стать предметом рассмотрения в новых ГТП ООН.</w:t>
      </w:r>
    </w:p>
    <w:p w14:paraId="7CAF8B80" w14:textId="77777777" w:rsidR="00731063" w:rsidRPr="00E760A8" w:rsidRDefault="00731063" w:rsidP="00731063">
      <w:pPr>
        <w:pStyle w:val="SingleTxtG"/>
        <w:spacing w:after="0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ECE/TRANS/WP.29/GRE/82, пункт 5</w:t>
      </w:r>
    </w:p>
    <w:p w14:paraId="7587B9C3" w14:textId="77777777" w:rsidR="00731063" w:rsidRPr="00E760A8" w:rsidRDefault="00731063" w:rsidP="00731063">
      <w:pPr>
        <w:pStyle w:val="H1G"/>
      </w:pPr>
      <w:r>
        <w:tab/>
        <w:t>3.</w:t>
      </w:r>
      <w:r>
        <w:tab/>
      </w:r>
      <w:r>
        <w:rPr>
          <w:bCs/>
        </w:rPr>
        <w:t>Соглашение 1997 года — предписания: разработка</w:t>
      </w:r>
    </w:p>
    <w:p w14:paraId="72EE6F3D" w14:textId="77777777" w:rsidR="00731063" w:rsidRPr="00E760A8" w:rsidRDefault="00731063" w:rsidP="00731063">
      <w:pPr>
        <w:pStyle w:val="SingleTxtG"/>
        <w:ind w:firstLine="567"/>
      </w:pPr>
      <w:r>
        <w:t xml:space="preserve">GRE рассмотрит новые предложения по поправкам к предписаниям, если таковые будут представлены. </w:t>
      </w:r>
    </w:p>
    <w:p w14:paraId="402E6BAD" w14:textId="77777777" w:rsidR="00731063" w:rsidRPr="00E760A8" w:rsidRDefault="00731063" w:rsidP="000A1985">
      <w:pPr>
        <w:pStyle w:val="H1G"/>
      </w:pPr>
      <w:r>
        <w:lastRenderedPageBreak/>
        <w:tab/>
        <w:t>4.</w:t>
      </w:r>
      <w:r>
        <w:tab/>
        <w:t>Упрощение правил ООН, касающихся освещения и световой сигнализации</w:t>
      </w:r>
    </w:p>
    <w:p w14:paraId="4FE590B5" w14:textId="77777777" w:rsidR="00731063" w:rsidRPr="00E760A8" w:rsidRDefault="00731063" w:rsidP="000A1985">
      <w:pPr>
        <w:pStyle w:val="H23G"/>
        <w:rPr>
          <w:color w:val="000000"/>
        </w:rPr>
      </w:pPr>
      <w:r>
        <w:tab/>
        <w:t xml:space="preserve">a) </w:t>
      </w:r>
      <w:r>
        <w:tab/>
        <w:t>Деятельность неофициальной рабочей группы по упрощению правил, касающихся освещения и световой сигнализации</w:t>
      </w:r>
      <w:r>
        <w:tab/>
      </w:r>
    </w:p>
    <w:p w14:paraId="34ED46D2" w14:textId="0E40B1AB" w:rsidR="00731063" w:rsidRPr="00E760A8" w:rsidRDefault="00731063" w:rsidP="00731063">
      <w:pPr>
        <w:pStyle w:val="SingleTxtG"/>
        <w:ind w:firstLine="567"/>
      </w:pPr>
      <w:r>
        <w:t xml:space="preserve">GRE будет проинформирована о ходе работы неофициальной рабочей группы по упрощению правил в области освещения и световой сигнализации (НРГ по УПОC). </w:t>
      </w:r>
    </w:p>
    <w:p w14:paraId="0DC2C2AE" w14:textId="77777777" w:rsidR="00731063" w:rsidRPr="00E760A8" w:rsidRDefault="00731063" w:rsidP="00731063">
      <w:pPr>
        <w:pStyle w:val="H23G"/>
        <w:rPr>
          <w:color w:val="000000"/>
        </w:rPr>
      </w:pPr>
      <w:r>
        <w:tab/>
        <w:t>b)</w:t>
      </w:r>
      <w:r>
        <w:tab/>
      </w:r>
      <w:r>
        <w:tab/>
      </w:r>
      <w:r>
        <w:rPr>
          <w:bCs/>
        </w:rPr>
        <w:t>Правила № 148 ООН (устройства световой сигнализации)</w:t>
      </w:r>
      <w:r>
        <w:t xml:space="preserve">  </w:t>
      </w:r>
    </w:p>
    <w:p w14:paraId="03B33F44" w14:textId="77777777" w:rsidR="00731063" w:rsidRPr="00E760A8" w:rsidRDefault="00731063" w:rsidP="00731063">
      <w:pPr>
        <w:pStyle w:val="SingleTxtG"/>
        <w:ind w:firstLine="567"/>
        <w:rPr>
          <w:color w:val="000000"/>
        </w:rPr>
      </w:pPr>
      <w:r>
        <w:t xml:space="preserve">GRE рассмотрит разъяснения и исправления, которые были подготовлены НРГ по УПОС. </w:t>
      </w:r>
    </w:p>
    <w:p w14:paraId="0E8ED412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 xml:space="preserve">ECE/TRANS/WP.29/GRE/2021/11 </w:t>
      </w:r>
    </w:p>
    <w:p w14:paraId="186A6B24" w14:textId="62ECA83D" w:rsidR="00731063" w:rsidRPr="00E760A8" w:rsidRDefault="00731063" w:rsidP="00731063">
      <w:pPr>
        <w:pStyle w:val="SingleTxtG"/>
      </w:pPr>
      <w:r>
        <w:tab/>
        <w:t>GRE, возможно, пожелает рассмотреть предложение о новой серии поправок 01 к Правилам № 148 ООН.</w:t>
      </w:r>
      <w:bookmarkStart w:id="1" w:name="_Hlk31620639"/>
    </w:p>
    <w:p w14:paraId="459D0B2F" w14:textId="14842E3D" w:rsidR="00731063" w:rsidRPr="00E760A8" w:rsidRDefault="00731063" w:rsidP="000A1985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 xml:space="preserve">ECE/TRANS/WP.29/GRE/2021/13, </w:t>
      </w:r>
      <w:r w:rsidR="000A1985">
        <w:br/>
      </w:r>
      <w:r>
        <w:t>неофициальный документ GRE-85-03</w:t>
      </w:r>
    </w:p>
    <w:bookmarkEnd w:id="1"/>
    <w:p w14:paraId="34C2F260" w14:textId="77777777" w:rsidR="00731063" w:rsidRPr="00E760A8" w:rsidRDefault="00731063" w:rsidP="00731063">
      <w:pPr>
        <w:pStyle w:val="H23G"/>
        <w:rPr>
          <w:color w:val="000000"/>
        </w:rPr>
      </w:pPr>
      <w:r>
        <w:tab/>
        <w:t>c)</w:t>
      </w:r>
      <w:r>
        <w:tab/>
      </w:r>
      <w:r>
        <w:rPr>
          <w:bCs/>
        </w:rPr>
        <w:t>Правила № 149 ООН (устройства освещения дороги)</w:t>
      </w:r>
    </w:p>
    <w:p w14:paraId="35D920B9" w14:textId="7B43CC30" w:rsidR="00731063" w:rsidRPr="00E760A8" w:rsidRDefault="000A1985" w:rsidP="000A1985">
      <w:pPr>
        <w:pStyle w:val="SingleTxtG"/>
      </w:pPr>
      <w:r>
        <w:tab/>
      </w:r>
      <w:r w:rsidR="00731063">
        <w:t xml:space="preserve">GRE рассмотрит разъяснения и исправления, которые были подготовлены НРГ по УПОС.  </w:t>
      </w:r>
    </w:p>
    <w:p w14:paraId="65C9167F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 xml:space="preserve">ECE/TRANS/WP.29/GRE/2021/12 </w:t>
      </w:r>
      <w:bookmarkStart w:id="2" w:name="_Hlk78881743"/>
      <w:bookmarkEnd w:id="2"/>
    </w:p>
    <w:p w14:paraId="6E70F64D" w14:textId="24EE987F" w:rsidR="00731063" w:rsidRPr="00E760A8" w:rsidRDefault="00731063" w:rsidP="000A1985">
      <w:pPr>
        <w:pStyle w:val="SingleTxtG"/>
        <w:jc w:val="left"/>
      </w:pPr>
      <w:r>
        <w:tab/>
        <w:t>GRE рассмотрит предложение по поправкам серии 01 к Правилам № 149 ООН.</w:t>
      </w:r>
    </w:p>
    <w:p w14:paraId="7EA5E4F3" w14:textId="7C884DCF" w:rsidR="00731063" w:rsidRPr="00E760A8" w:rsidRDefault="00731063" w:rsidP="000A1985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 xml:space="preserve">ECE/TRANS/WP.29/GRE/2021/14, </w:t>
      </w:r>
      <w:r w:rsidR="000A1985">
        <w:br/>
      </w:r>
      <w:r>
        <w:t>неофициальный документ GRE-85-04</w:t>
      </w:r>
    </w:p>
    <w:p w14:paraId="3D4D3D95" w14:textId="77777777" w:rsidR="00731063" w:rsidRPr="00E760A8" w:rsidRDefault="00731063" w:rsidP="000A1985">
      <w:pPr>
        <w:pStyle w:val="H23G"/>
        <w:rPr>
          <w:color w:val="000000"/>
        </w:rPr>
      </w:pPr>
      <w:r>
        <w:tab/>
        <w:t>d)</w:t>
      </w:r>
      <w:r>
        <w:tab/>
      </w:r>
      <w:r>
        <w:tab/>
        <w:t>Правила № 150 ООН (светоотражающие устройства)</w:t>
      </w:r>
    </w:p>
    <w:p w14:paraId="574047FB" w14:textId="75DD496E" w:rsidR="00731063" w:rsidRPr="00E760A8" w:rsidRDefault="00731063" w:rsidP="00731063">
      <w:pPr>
        <w:pStyle w:val="SingleTxtG"/>
      </w:pPr>
      <w:r>
        <w:tab/>
        <w:t>GRE рассмотрит предложение по поправкам новой серии 01 к Правилам № 150 ООН.</w:t>
      </w:r>
    </w:p>
    <w:p w14:paraId="581653A1" w14:textId="455700DD" w:rsidR="00731063" w:rsidRPr="00E760A8" w:rsidRDefault="00731063" w:rsidP="000A1985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 xml:space="preserve">ECE/TRANS/WP.29/GRE/2021/15, </w:t>
      </w:r>
      <w:r w:rsidR="000A1985">
        <w:br/>
      </w:r>
      <w:r>
        <w:t>неофициальный документ GRE-85-05</w:t>
      </w:r>
    </w:p>
    <w:p w14:paraId="6B933375" w14:textId="3DB5F50D" w:rsidR="00731063" w:rsidRPr="00E760A8" w:rsidRDefault="00731063" w:rsidP="00731063">
      <w:pPr>
        <w:pStyle w:val="H23G"/>
        <w:rPr>
          <w:color w:val="000000"/>
        </w:rPr>
      </w:pPr>
      <w:r>
        <w:tab/>
        <w:t>e)</w:t>
      </w:r>
      <w:r>
        <w:tab/>
      </w:r>
      <w:r>
        <w:tab/>
      </w:r>
      <w:r>
        <w:rPr>
          <w:bCs/>
        </w:rPr>
        <w:t>Упрощение правил ООН №№ 48, 53, 74 и 86</w:t>
      </w:r>
      <w:r>
        <w:t xml:space="preserve"> </w:t>
      </w:r>
    </w:p>
    <w:p w14:paraId="092A05E5" w14:textId="77777777" w:rsidR="00731063" w:rsidRPr="00E760A8" w:rsidRDefault="00731063" w:rsidP="00731063">
      <w:pPr>
        <w:pStyle w:val="SingleTxtG"/>
        <w:ind w:firstLine="567"/>
      </w:pPr>
      <w:r>
        <w:t xml:space="preserve">GRE, возможно, пожелает рассмотреть предложение НРГ по УПОС о новом дополнении к поправкам серий 06, 07 и 08 к Правилам № 48 ООН, в котором вводится номинальное значение для определения видимости красного огня спереди и белого огня сзади транспортного средства, а также вносятся дополнительные редакционные исправления.  </w:t>
      </w:r>
    </w:p>
    <w:p w14:paraId="2C30D55E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ECE/TRANS/WP.29/GRE/2021/16</w:t>
      </w:r>
    </w:p>
    <w:p w14:paraId="6876534F" w14:textId="77777777" w:rsidR="00731063" w:rsidRPr="00E760A8" w:rsidRDefault="00731063" w:rsidP="00731063">
      <w:pPr>
        <w:pStyle w:val="SingleTxtG"/>
        <w:ind w:firstLine="567"/>
      </w:pPr>
      <w:r>
        <w:t>GRE рассмотрит предложение НРГ по УПОС о новом дополнении к поправкам серий 03, 04 и 05 к Правилам № 48 ООН, в котором вводятся ссылки на классы фар и ориентированный на эксплуатационные характеристики критерий видимости красного света спереди и белого света сзади транспортного средства.</w:t>
      </w:r>
    </w:p>
    <w:p w14:paraId="1E66E793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ECE/TRANS/WP.29/GRE/2021/17</w:t>
      </w:r>
      <w:bookmarkStart w:id="3" w:name="_Hlk78902758"/>
      <w:bookmarkEnd w:id="3"/>
    </w:p>
    <w:p w14:paraId="6CCEBF20" w14:textId="77777777" w:rsidR="00731063" w:rsidRPr="00E760A8" w:rsidRDefault="00731063" w:rsidP="00731063">
      <w:pPr>
        <w:pStyle w:val="SingleTxtG"/>
        <w:ind w:firstLine="567"/>
      </w:pPr>
      <w:r>
        <w:t xml:space="preserve">GRE рассмотрит предложение НРГ по УПОС о новом дополнении к поправкам серии 01 к Правилам № 53 ООН, в котором добавлены ссылки на классы фар. </w:t>
      </w:r>
    </w:p>
    <w:p w14:paraId="52872ED4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ECE/TRANS/WP.29/GRE/2021/19</w:t>
      </w:r>
    </w:p>
    <w:p w14:paraId="271C4CC4" w14:textId="77777777" w:rsidR="00731063" w:rsidRPr="00E760A8" w:rsidRDefault="00731063" w:rsidP="00731063">
      <w:pPr>
        <w:pStyle w:val="SingleTxtG"/>
        <w:ind w:firstLine="567"/>
      </w:pPr>
      <w:r>
        <w:t xml:space="preserve">GRE рассмотрит также предложение НРГ по УПОС о новом дополнении к поправкам серий 02 и 03 к Правилам № 53 ООН, в котором вводятся ссылки на классы фар. </w:t>
      </w:r>
    </w:p>
    <w:p w14:paraId="03B9B534" w14:textId="77777777" w:rsidR="00731063" w:rsidRPr="00E760A8" w:rsidRDefault="00731063" w:rsidP="00731063">
      <w:pPr>
        <w:pStyle w:val="SingleTxtG"/>
      </w:pPr>
      <w:r>
        <w:rPr>
          <w:b/>
          <w:bCs/>
        </w:rPr>
        <w:lastRenderedPageBreak/>
        <w:t>Документация:</w:t>
      </w:r>
      <w:r>
        <w:tab/>
        <w:t>ECE/TRANS/WP.29/GRE/2021/20</w:t>
      </w:r>
    </w:p>
    <w:p w14:paraId="06692FA3" w14:textId="77777777" w:rsidR="00731063" w:rsidRPr="00E760A8" w:rsidRDefault="00731063" w:rsidP="00731063">
      <w:pPr>
        <w:pStyle w:val="SingleTxtG"/>
        <w:ind w:firstLine="567"/>
      </w:pPr>
      <w:r>
        <w:t xml:space="preserve">GRE, возможно, пожелает рассмотреть предложение НРГ по УПОС о включении ссылок на классы фар в поправки серий 01 и 02 к Правилам № 74 ООН. </w:t>
      </w:r>
    </w:p>
    <w:p w14:paraId="0C5525FB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ECE/TRANS/WP.29/GRE/2021/21</w:t>
      </w:r>
    </w:p>
    <w:p w14:paraId="399ED6A4" w14:textId="77777777" w:rsidR="00731063" w:rsidRPr="00E760A8" w:rsidRDefault="00731063" w:rsidP="00731063">
      <w:pPr>
        <w:pStyle w:val="SingleTxtG"/>
        <w:ind w:firstLine="567"/>
      </w:pPr>
      <w:r>
        <w:t xml:space="preserve">GRE также рассмотрит предложение НРГ по УПОС, которое предусматривает включение ссылок на классы фар в поправки серий 01 и 02 к Правилам № 86 ООН. </w:t>
      </w:r>
    </w:p>
    <w:p w14:paraId="1D9D1DDC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ECE/TRANS/WP.29/GRE/2021/22</w:t>
      </w:r>
    </w:p>
    <w:p w14:paraId="2F8F30F4" w14:textId="77777777" w:rsidR="00731063" w:rsidRPr="00E760A8" w:rsidRDefault="00731063" w:rsidP="00731063">
      <w:pPr>
        <w:pStyle w:val="SingleTxtG"/>
        <w:ind w:firstLine="567"/>
        <w:rPr>
          <w:color w:val="000000"/>
        </w:rPr>
      </w:pPr>
      <w:r>
        <w:t xml:space="preserve">GRE будет проинформирована о деятельности НРГ по УПОС с целью согласования различных позиций в отношении предложения о новой серии поправок к Правилам № 48 ООН, вводящих новые требования к регулировке фар, которое обсуждалось на предыдущей сессии GRE.  </w:t>
      </w:r>
    </w:p>
    <w:p w14:paraId="2355C4AD" w14:textId="77777777" w:rsidR="00731063" w:rsidRPr="002A3E10" w:rsidRDefault="00731063" w:rsidP="00731063">
      <w:pPr>
        <w:pStyle w:val="SingleTxtG"/>
        <w:rPr>
          <w:color w:val="000000"/>
          <w:lang w:val="en-US"/>
        </w:rPr>
      </w:pPr>
      <w:r>
        <w:rPr>
          <w:b/>
          <w:bCs/>
        </w:rPr>
        <w:t>Документация</w:t>
      </w:r>
      <w:r w:rsidRPr="002A3E10">
        <w:rPr>
          <w:b/>
          <w:bCs/>
          <w:lang w:val="en-US"/>
        </w:rPr>
        <w:t>:</w:t>
      </w:r>
      <w:r w:rsidRPr="002A3E10">
        <w:rPr>
          <w:lang w:val="en-US"/>
        </w:rPr>
        <w:tab/>
        <w:t>ECE/TRANS/WP.29/GRE/2020/8/Rev.2</w:t>
      </w:r>
    </w:p>
    <w:p w14:paraId="2C66F7FE" w14:textId="747C6AB5" w:rsidR="00731063" w:rsidRPr="00E760A8" w:rsidRDefault="00731063" w:rsidP="000A1985">
      <w:pPr>
        <w:pStyle w:val="H1G"/>
      </w:pPr>
      <w:r w:rsidRPr="002A3E10">
        <w:rPr>
          <w:lang w:val="en-US"/>
        </w:rPr>
        <w:tab/>
      </w:r>
      <w:r>
        <w:t>5.</w:t>
      </w:r>
      <w:r>
        <w:tab/>
        <w:t>Правила ООН №№ 37 (источники света с нитью накала), 99</w:t>
      </w:r>
      <w:r w:rsidR="000A1985">
        <w:t> </w:t>
      </w:r>
      <w:r>
        <w:t>(газоразрядные источники света), 128 (источники света на</w:t>
      </w:r>
      <w:r w:rsidR="000A1985">
        <w:t> </w:t>
      </w:r>
      <w:r>
        <w:t xml:space="preserve">светоизлучающих диодах) и Сводная резолюция по общей спецификации для категорий источников света </w:t>
      </w:r>
    </w:p>
    <w:p w14:paraId="05448845" w14:textId="77777777" w:rsidR="00731063" w:rsidRPr="00E760A8" w:rsidRDefault="00731063" w:rsidP="00731063">
      <w:pPr>
        <w:pStyle w:val="SingleTxtG"/>
        <w:ind w:firstLine="567"/>
      </w:pPr>
      <w:r>
        <w:t xml:space="preserve">GRE рассмотрит проект поправки к Сводной резолюции по общей спецификации для категорий источников света (CР.5), который был представлен экспертом Международной группы экспертов по вопросам автомобильного освещения и световой сигнализации (БРГ). </w:t>
      </w:r>
    </w:p>
    <w:p w14:paraId="312C6D00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ECE/TRANS/WP.29/GRE/2021/24</w:t>
      </w:r>
    </w:p>
    <w:p w14:paraId="105E59BE" w14:textId="77777777" w:rsidR="00731063" w:rsidRPr="00E760A8" w:rsidRDefault="00731063" w:rsidP="000A1985">
      <w:pPr>
        <w:pStyle w:val="H1G"/>
        <w:rPr>
          <w:color w:val="000000"/>
        </w:rPr>
      </w:pPr>
      <w:r>
        <w:tab/>
        <w:t>6.</w:t>
      </w:r>
      <w:r>
        <w:tab/>
        <w:t>Правила № 48 ООН (установка устройств освещения и световой сигнализации)</w:t>
      </w:r>
    </w:p>
    <w:p w14:paraId="0EA57F1B" w14:textId="77777777" w:rsidR="00731063" w:rsidRPr="00E760A8" w:rsidRDefault="00731063" w:rsidP="000A1985">
      <w:pPr>
        <w:pStyle w:val="H23G"/>
        <w:rPr>
          <w:color w:val="000000"/>
        </w:rPr>
      </w:pPr>
      <w:r>
        <w:tab/>
        <w:t>a)</w:t>
      </w:r>
      <w:r>
        <w:tab/>
        <w:t xml:space="preserve">Предложения по поправкам к последней серии поправок </w:t>
      </w:r>
    </w:p>
    <w:p w14:paraId="7E09E14F" w14:textId="453FAA9E" w:rsidR="00731063" w:rsidRPr="00E760A8" w:rsidRDefault="00AC7D2A" w:rsidP="00AC7D2A">
      <w:pPr>
        <w:pStyle w:val="SingleTxtG"/>
        <w:rPr>
          <w:color w:val="000000"/>
        </w:rPr>
      </w:pPr>
      <w:r>
        <w:tab/>
      </w:r>
      <w:r w:rsidR="00731063">
        <w:t>GRE рассмотрит новое предложение, представленное экспертом от БРГ, которое направлено на обеспечение возможности проецирования символов помощи водителю на дорогу перед транспортным средством в качестве части адаптивного луча дальнего света. Это предложение представлено вместе с поправкой к Правилам № 149 ООН.</w:t>
      </w:r>
    </w:p>
    <w:p w14:paraId="5C157DDF" w14:textId="77777777" w:rsidR="00731063" w:rsidRPr="00E760A8" w:rsidRDefault="00731063" w:rsidP="00731063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ECE/TRANS/WP.29/GRE/2021/18</w:t>
      </w:r>
    </w:p>
    <w:p w14:paraId="3F8ABCB0" w14:textId="623B6937" w:rsidR="00731063" w:rsidRPr="00E760A8" w:rsidRDefault="00AC7D2A" w:rsidP="00AC7D2A">
      <w:pPr>
        <w:pStyle w:val="SingleTxtG"/>
        <w:rPr>
          <w:color w:val="000000"/>
        </w:rPr>
      </w:pPr>
      <w:r>
        <w:tab/>
      </w:r>
      <w:r w:rsidR="00731063">
        <w:t xml:space="preserve">GRE, возможно, пожелает ознакомиться с информацией о дальнейшей работе над предложением экспертов от Франции и Германии, которое допускает использование логотипов изготовителя на внутренней освещающей поверхности сигнального огня. </w:t>
      </w:r>
    </w:p>
    <w:p w14:paraId="48757C43" w14:textId="77777777" w:rsidR="00731063" w:rsidRPr="002A3E10" w:rsidRDefault="00731063" w:rsidP="00731063">
      <w:pPr>
        <w:pStyle w:val="SingleTxtG"/>
        <w:rPr>
          <w:bCs/>
          <w:color w:val="000000"/>
          <w:lang w:val="en-US"/>
        </w:rPr>
      </w:pPr>
      <w:r>
        <w:rPr>
          <w:b/>
          <w:bCs/>
        </w:rPr>
        <w:t>Документация</w:t>
      </w:r>
      <w:r w:rsidRPr="002A3E10">
        <w:rPr>
          <w:b/>
          <w:bCs/>
          <w:lang w:val="en-US"/>
        </w:rPr>
        <w:t>:</w:t>
      </w:r>
      <w:r w:rsidRPr="002A3E10">
        <w:rPr>
          <w:lang w:val="en-US"/>
        </w:rPr>
        <w:tab/>
        <w:t xml:space="preserve">ECE/TRANS/WP.29/GRE/2020/5/Rev.1 </w:t>
      </w:r>
    </w:p>
    <w:p w14:paraId="5E2CE563" w14:textId="77777777" w:rsidR="00731063" w:rsidRPr="00E760A8" w:rsidRDefault="00731063" w:rsidP="00AC7D2A">
      <w:pPr>
        <w:pStyle w:val="H23G"/>
        <w:rPr>
          <w:color w:val="000000"/>
        </w:rPr>
      </w:pPr>
      <w:r w:rsidRPr="002A3E10">
        <w:rPr>
          <w:lang w:val="en-US"/>
        </w:rPr>
        <w:tab/>
      </w:r>
      <w:r>
        <w:t>b)</w:t>
      </w:r>
      <w:r>
        <w:tab/>
        <w:t>Предложения по поправкам новой серии к Правилам № 48 ООН</w:t>
      </w:r>
    </w:p>
    <w:p w14:paraId="7B68F901" w14:textId="77777777" w:rsidR="00731063" w:rsidRPr="00E760A8" w:rsidRDefault="00731063" w:rsidP="00731063">
      <w:pPr>
        <w:pStyle w:val="SingleTxtG"/>
        <w:ind w:firstLine="567"/>
        <w:rPr>
          <w:color w:val="000000"/>
        </w:rPr>
      </w:pPr>
      <w:r>
        <w:t xml:space="preserve">GRE напомнит о своем рассмотрении предложения о новой серии поправок, представленного экспертом от Японии, с целью введения в область применения Правил № 48 ООН условий парковки и сигнала ответа. GRE будет проинформирована о ходе работы недавно созданной группы заинтересованных экспертов (ГЗЭ) по этому вопросу. </w:t>
      </w:r>
    </w:p>
    <w:p w14:paraId="052586BD" w14:textId="77777777" w:rsidR="00731063" w:rsidRPr="00E760A8" w:rsidRDefault="00731063" w:rsidP="00731063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ECE/TRANS/WP.29/GRE/2021/2</w:t>
      </w:r>
    </w:p>
    <w:p w14:paraId="0BAEBF61" w14:textId="77777777" w:rsidR="00731063" w:rsidRPr="00E760A8" w:rsidRDefault="00731063" w:rsidP="00731063">
      <w:pPr>
        <w:pStyle w:val="H1G"/>
      </w:pPr>
      <w:r>
        <w:lastRenderedPageBreak/>
        <w:tab/>
        <w:t>7.</w:t>
      </w:r>
      <w:r>
        <w:tab/>
      </w:r>
      <w:r>
        <w:rPr>
          <w:bCs/>
        </w:rPr>
        <w:t>Другие правила ООН</w:t>
      </w:r>
      <w:r>
        <w:t xml:space="preserve"> </w:t>
      </w:r>
    </w:p>
    <w:p w14:paraId="49F0A0FD" w14:textId="77777777" w:rsidR="00731063" w:rsidRPr="00E760A8" w:rsidRDefault="00731063" w:rsidP="00AC7D2A">
      <w:pPr>
        <w:pStyle w:val="H23G"/>
      </w:pPr>
      <w:r>
        <w:tab/>
        <w:t>a)</w:t>
      </w:r>
      <w:r>
        <w:tab/>
        <w:t xml:space="preserve">Правила № 10 ООН (электромагнитная совместимость) </w:t>
      </w:r>
    </w:p>
    <w:p w14:paraId="2F5CDEF5" w14:textId="77777777" w:rsidR="00731063" w:rsidRDefault="00731063" w:rsidP="00731063">
      <w:pPr>
        <w:spacing w:after="120"/>
        <w:ind w:left="1134" w:right="1134" w:firstLine="567"/>
        <w:jc w:val="both"/>
      </w:pPr>
      <w:r>
        <w:t>GRE рассмотрит предложение, подготовленное экспертом от Чешской Республики при поддержке целевой группы по электромагнитной совместимости, которое направлено на уточнение определения контрольной точки для транспортных средств категорий L</w:t>
      </w:r>
      <w:r>
        <w:rPr>
          <w:vertAlign w:val="subscript"/>
        </w:rPr>
        <w:t>6</w:t>
      </w:r>
      <w:r>
        <w:t xml:space="preserve"> и L</w:t>
      </w:r>
      <w:r>
        <w:rPr>
          <w:vertAlign w:val="subscript"/>
        </w:rPr>
        <w:t>7</w:t>
      </w:r>
      <w:r>
        <w:t xml:space="preserve"> в пункте 3.3 и на исправление рисунка 1 в добавлении 1 к приложению 4.</w:t>
      </w:r>
    </w:p>
    <w:p w14:paraId="18E216B4" w14:textId="77777777" w:rsidR="00731063" w:rsidRPr="00E760A8" w:rsidRDefault="00731063" w:rsidP="00731063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ECE/TRANS/WP.29/GRE/2021/10</w:t>
      </w:r>
    </w:p>
    <w:p w14:paraId="348DA59F" w14:textId="77777777" w:rsidR="00731063" w:rsidRPr="00E760A8" w:rsidRDefault="00731063" w:rsidP="00731063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Правила № 53 ООН (установка устройств освещения и световой сигнализации для транспортных средств L</w:t>
      </w:r>
      <w:r>
        <w:rPr>
          <w:bCs/>
          <w:vertAlign w:val="subscript"/>
        </w:rPr>
        <w:t>3</w:t>
      </w:r>
      <w:r>
        <w:rPr>
          <w:bCs/>
        </w:rPr>
        <w:t>)</w:t>
      </w:r>
      <w:bookmarkStart w:id="4" w:name="_Hlk78980131"/>
      <w:bookmarkEnd w:id="4"/>
    </w:p>
    <w:p w14:paraId="3917A160" w14:textId="77777777" w:rsidR="00731063" w:rsidRPr="00E760A8" w:rsidRDefault="00731063" w:rsidP="00731063">
      <w:pPr>
        <w:pStyle w:val="SingleTxtG"/>
        <w:ind w:firstLine="567"/>
      </w:pPr>
      <w:r>
        <w:t>GRE, возможно, пожелает рассмотреть предложение о дополнении к поправкам серий 01, 02 и 03 к Правилам № 53 ООН, которое было подготовлено экспертом от Международной ассоциации заводов-изготовителей мотоциклов (МАЗМ), в целях разъяснения требований к электрическому соединению белого переднего габаритного огня, скомбинированного с передним указателем поворота, согласно соответствующим положениям Правил ООН № 48.</w:t>
      </w:r>
    </w:p>
    <w:p w14:paraId="5A96A6D5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ECE/TRANS/WP.29/GRE/2021/23</w:t>
      </w:r>
    </w:p>
    <w:p w14:paraId="608B13BE" w14:textId="77777777" w:rsidR="00731063" w:rsidRPr="00E760A8" w:rsidRDefault="00731063" w:rsidP="00AC7D2A">
      <w:pPr>
        <w:pStyle w:val="H1G"/>
      </w:pPr>
      <w:r>
        <w:tab/>
        <w:t>8.</w:t>
      </w:r>
      <w:r>
        <w:tab/>
        <w:t>Прочие вопросы</w:t>
      </w:r>
    </w:p>
    <w:p w14:paraId="52813C1C" w14:textId="77777777" w:rsidR="00731063" w:rsidRPr="00E760A8" w:rsidRDefault="00731063" w:rsidP="00AC7D2A">
      <w:pPr>
        <w:pStyle w:val="H23G"/>
        <w:rPr>
          <w:color w:val="000000"/>
        </w:rPr>
      </w:pPr>
      <w:r>
        <w:tab/>
        <w:t>a)</w:t>
      </w:r>
      <w:r>
        <w:tab/>
        <w:t>Разработка международной системы официального утверждения типа комплектного транспортного средства</w:t>
      </w:r>
    </w:p>
    <w:p w14:paraId="42EBE114" w14:textId="5289CD38" w:rsidR="00731063" w:rsidRPr="00A8714C" w:rsidRDefault="00731063" w:rsidP="00731063">
      <w:pPr>
        <w:pStyle w:val="SingleTxtG"/>
      </w:pPr>
      <w:r>
        <w:tab/>
        <w:t xml:space="preserve">GRE будет проинформирована о ходе работы в связи с международной системой официального утверждения типа комплектного транспортного средства (МОУТКТС) и электронной базой данных для обмена документацией об официальном утверждении типа (ДETA). GRE рассмотрит также предложение по использованию ДETA в контексте уникального идентификатора, которое было совместно подготовлено НРГ по УПОС и НРГ по ДETA. </w:t>
      </w:r>
    </w:p>
    <w:p w14:paraId="6E268D1C" w14:textId="77777777" w:rsidR="00731063" w:rsidRPr="00E760A8" w:rsidRDefault="00731063" w:rsidP="00731063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GRE-85-02</w:t>
      </w:r>
    </w:p>
    <w:p w14:paraId="58006B00" w14:textId="77777777" w:rsidR="00731063" w:rsidRPr="00E760A8" w:rsidRDefault="00731063" w:rsidP="00731063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Поправки к Конвенции о дорожном движении (Вена, 1968 год)</w:t>
      </w:r>
    </w:p>
    <w:p w14:paraId="2315B458" w14:textId="0B92AC19" w:rsidR="00731063" w:rsidRPr="00E760A8" w:rsidRDefault="00731063" w:rsidP="00731063">
      <w:pPr>
        <w:pStyle w:val="SingleTxtG"/>
        <w:rPr>
          <w:rFonts w:eastAsia="MS Mincho"/>
        </w:rPr>
      </w:pPr>
      <w:r>
        <w:tab/>
        <w:t>GRE будет проинформирована о соображениях, высказанных Глобальным форумом по безопасности дорожного движения (WP.1) на его недавней сессии, а также о контактах между GRE и WP.1 по общим вопросам.</w:t>
      </w:r>
    </w:p>
    <w:p w14:paraId="12B4698A" w14:textId="77777777" w:rsidR="00731063" w:rsidRPr="00E760A8" w:rsidRDefault="00731063" w:rsidP="00731063">
      <w:pPr>
        <w:pStyle w:val="H23G"/>
        <w:rPr>
          <w:color w:val="000000"/>
        </w:rPr>
      </w:pPr>
      <w:r>
        <w:tab/>
        <w:t>c)</w:t>
      </w:r>
      <w:r>
        <w:tab/>
      </w:r>
      <w:r>
        <w:tab/>
      </w:r>
      <w:r>
        <w:rPr>
          <w:bCs/>
        </w:rPr>
        <w:t>Разное</w:t>
      </w:r>
      <w:r>
        <w:t xml:space="preserve"> </w:t>
      </w:r>
      <w:bookmarkStart w:id="5" w:name="_Hlk78963081"/>
      <w:bookmarkEnd w:id="5"/>
    </w:p>
    <w:p w14:paraId="2E41973E" w14:textId="77777777" w:rsidR="00731063" w:rsidRPr="00E760A8" w:rsidRDefault="00731063" w:rsidP="00731063">
      <w:pPr>
        <w:pStyle w:val="SingleTxtG"/>
        <w:ind w:firstLine="567"/>
      </w:pPr>
      <w:r>
        <w:t>GRE, возможно, рассмотрит также другие вопросы и/или документы, которые были получены после передачи на перевод аннотированной предварительной повестки дня.</w:t>
      </w:r>
    </w:p>
    <w:p w14:paraId="255403A3" w14:textId="77777777" w:rsidR="00731063" w:rsidRPr="00E760A8" w:rsidRDefault="00731063" w:rsidP="00AC7D2A">
      <w:pPr>
        <w:pStyle w:val="H1G"/>
      </w:pPr>
      <w:r>
        <w:tab/>
        <w:t>9.</w:t>
      </w:r>
      <w:r>
        <w:tab/>
        <w:t>Направления будущей работы GRE</w:t>
      </w:r>
      <w:r>
        <w:tab/>
      </w:r>
    </w:p>
    <w:p w14:paraId="231C3D16" w14:textId="45FF7F38" w:rsidR="00731063" w:rsidRPr="00032C01" w:rsidRDefault="00731063" w:rsidP="00AC7D2A">
      <w:pPr>
        <w:pStyle w:val="SingleTxtG"/>
        <w:ind w:firstLine="567"/>
        <w:rPr>
          <w:b/>
          <w:bCs/>
          <w:color w:val="000000"/>
        </w:rPr>
      </w:pPr>
      <w:r w:rsidRPr="00032C01">
        <w:rPr>
          <w:bCs/>
        </w:rPr>
        <w:t xml:space="preserve">GRE рассмотрит вопрос о своей возможной будущей деятельности. </w:t>
      </w:r>
    </w:p>
    <w:p w14:paraId="0D6049AA" w14:textId="77777777" w:rsidR="00731063" w:rsidRPr="00E760A8" w:rsidRDefault="00731063" w:rsidP="00731063">
      <w:pPr>
        <w:pStyle w:val="H1G"/>
      </w:pPr>
      <w:r>
        <w:tab/>
        <w:t>10.</w:t>
      </w:r>
      <w:r>
        <w:tab/>
      </w:r>
      <w:r>
        <w:rPr>
          <w:bCs/>
        </w:rPr>
        <w:t>Предварительная повестка дня следующей сессии</w:t>
      </w:r>
    </w:p>
    <w:p w14:paraId="41F6BBF9" w14:textId="77777777" w:rsidR="00731063" w:rsidRPr="00E760A8" w:rsidRDefault="00731063" w:rsidP="00731063">
      <w:pPr>
        <w:ind w:left="1134" w:right="1134"/>
        <w:jc w:val="both"/>
      </w:pPr>
      <w:r>
        <w:tab/>
      </w:r>
      <w:r>
        <w:tab/>
        <w:t>GRE, возможно, пожелает дать указания по предварительной повестке дня следующей сессии.</w:t>
      </w:r>
    </w:p>
    <w:p w14:paraId="319628A8" w14:textId="77777777" w:rsidR="00731063" w:rsidRPr="002A3E10" w:rsidRDefault="00731063" w:rsidP="00731063">
      <w:pPr>
        <w:pStyle w:val="H1G"/>
        <w:rPr>
          <w:color w:val="000000" w:themeColor="text1"/>
        </w:rPr>
      </w:pPr>
      <w:r w:rsidRPr="002A3E10">
        <w:lastRenderedPageBreak/>
        <w:tab/>
        <w:t>11.</w:t>
      </w:r>
      <w:r w:rsidRPr="002A3E10">
        <w:tab/>
      </w:r>
      <w:r>
        <w:rPr>
          <w:bCs/>
        </w:rPr>
        <w:t>Выборы</w:t>
      </w:r>
      <w:r w:rsidRPr="002A3E10">
        <w:rPr>
          <w:bCs/>
        </w:rPr>
        <w:t xml:space="preserve"> </w:t>
      </w:r>
      <w:r>
        <w:rPr>
          <w:bCs/>
        </w:rPr>
        <w:t>должностных</w:t>
      </w:r>
      <w:r w:rsidRPr="002A3E10">
        <w:rPr>
          <w:bCs/>
        </w:rPr>
        <w:t xml:space="preserve"> </w:t>
      </w:r>
      <w:r>
        <w:rPr>
          <w:bCs/>
        </w:rPr>
        <w:t>лиц</w:t>
      </w:r>
    </w:p>
    <w:p w14:paraId="7F357553" w14:textId="1C495270" w:rsidR="00731063" w:rsidRDefault="00731063" w:rsidP="00731063">
      <w:pPr>
        <w:pStyle w:val="SingleTxtG"/>
      </w:pPr>
      <w:r w:rsidRPr="002A3E10">
        <w:rPr>
          <w:color w:val="000000" w:themeColor="text1"/>
        </w:rPr>
        <w:tab/>
      </w:r>
      <w:r w:rsidRPr="00793F6D">
        <w:t>В соответствии с правилом 37 правил процедуры (</w:t>
      </w:r>
      <w:r>
        <w:t>TRANS</w:t>
      </w:r>
      <w:r w:rsidRPr="00793F6D">
        <w:t>/</w:t>
      </w:r>
      <w:r>
        <w:t>WP</w:t>
      </w:r>
      <w:r w:rsidRPr="00793F6D">
        <w:t xml:space="preserve">.29/690, </w:t>
      </w:r>
      <w:r>
        <w:t>Amend</w:t>
      </w:r>
      <w:r w:rsidRPr="00793F6D">
        <w:t xml:space="preserve">.1 и </w:t>
      </w:r>
      <w:r>
        <w:t>Amend</w:t>
      </w:r>
      <w:r w:rsidRPr="00793F6D">
        <w:t xml:space="preserve">.2) </w:t>
      </w:r>
      <w:r>
        <w:t>GRE</w:t>
      </w:r>
      <w:r w:rsidRPr="00793F6D">
        <w:t xml:space="preserve"> изберет Председателя и заместителя Председателя для сессий, запланированных на 2022 год.</w:t>
      </w:r>
    </w:p>
    <w:p w14:paraId="5E5DC434" w14:textId="43EC444A" w:rsidR="00731063" w:rsidRPr="00731063" w:rsidRDefault="00731063" w:rsidP="007310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1063" w:rsidRPr="00731063" w:rsidSect="007310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CAA7" w14:textId="77777777" w:rsidR="00393985" w:rsidRPr="00A312BC" w:rsidRDefault="00393985" w:rsidP="00A312BC"/>
  </w:endnote>
  <w:endnote w:type="continuationSeparator" w:id="0">
    <w:p w14:paraId="4D9A9ED7" w14:textId="77777777" w:rsidR="00393985" w:rsidRPr="00A312BC" w:rsidRDefault="003939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A783" w14:textId="1BB59FA6" w:rsidR="00731063" w:rsidRPr="00731063" w:rsidRDefault="00731063">
    <w:pPr>
      <w:pStyle w:val="a8"/>
    </w:pPr>
    <w:r w:rsidRPr="00731063">
      <w:rPr>
        <w:b/>
        <w:sz w:val="18"/>
      </w:rPr>
      <w:fldChar w:fldCharType="begin"/>
    </w:r>
    <w:r w:rsidRPr="00731063">
      <w:rPr>
        <w:b/>
        <w:sz w:val="18"/>
      </w:rPr>
      <w:instrText xml:space="preserve"> PAGE  \* MERGEFORMAT </w:instrText>
    </w:r>
    <w:r w:rsidRPr="00731063">
      <w:rPr>
        <w:b/>
        <w:sz w:val="18"/>
      </w:rPr>
      <w:fldChar w:fldCharType="separate"/>
    </w:r>
    <w:r w:rsidRPr="00731063">
      <w:rPr>
        <w:b/>
        <w:noProof/>
        <w:sz w:val="18"/>
      </w:rPr>
      <w:t>2</w:t>
    </w:r>
    <w:r w:rsidRPr="00731063">
      <w:rPr>
        <w:b/>
        <w:sz w:val="18"/>
      </w:rPr>
      <w:fldChar w:fldCharType="end"/>
    </w:r>
    <w:r>
      <w:rPr>
        <w:b/>
        <w:sz w:val="18"/>
      </w:rPr>
      <w:tab/>
    </w:r>
    <w:r>
      <w:t>GE.21-10721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04AB" w14:textId="5BC148D3" w:rsidR="00731063" w:rsidRPr="00731063" w:rsidRDefault="00731063" w:rsidP="00731063">
    <w:pPr>
      <w:pStyle w:val="a8"/>
      <w:tabs>
        <w:tab w:val="clear" w:pos="9639"/>
        <w:tab w:val="right" w:pos="9638"/>
      </w:tabs>
      <w:rPr>
        <w:b/>
        <w:sz w:val="18"/>
      </w:rPr>
    </w:pPr>
    <w:r>
      <w:t>GE.21-10721</w:t>
    </w:r>
    <w:r>
      <w:tab/>
    </w:r>
    <w:r w:rsidRPr="00731063">
      <w:rPr>
        <w:b/>
        <w:sz w:val="18"/>
      </w:rPr>
      <w:fldChar w:fldCharType="begin"/>
    </w:r>
    <w:r w:rsidRPr="00731063">
      <w:rPr>
        <w:b/>
        <w:sz w:val="18"/>
      </w:rPr>
      <w:instrText xml:space="preserve"> PAGE  \* MERGEFORMAT </w:instrText>
    </w:r>
    <w:r w:rsidRPr="00731063">
      <w:rPr>
        <w:b/>
        <w:sz w:val="18"/>
      </w:rPr>
      <w:fldChar w:fldCharType="separate"/>
    </w:r>
    <w:r w:rsidRPr="00731063">
      <w:rPr>
        <w:b/>
        <w:noProof/>
        <w:sz w:val="18"/>
      </w:rPr>
      <w:t>3</w:t>
    </w:r>
    <w:r w:rsidRPr="007310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0E43" w14:textId="424C5CE1" w:rsidR="00042B72" w:rsidRPr="00731063" w:rsidRDefault="00731063" w:rsidP="0073106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13BDEA" wp14:editId="57973D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21-10721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F4430B" wp14:editId="64B342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E63">
      <w:t xml:space="preserve">  050821  050821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38B6" w14:textId="77777777" w:rsidR="00393985" w:rsidRPr="001075E9" w:rsidRDefault="003939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238B96" w14:textId="77777777" w:rsidR="00393985" w:rsidRDefault="003939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725122" w14:textId="61D3C0EF" w:rsidR="00731063" w:rsidRPr="00A8714C" w:rsidRDefault="00731063" w:rsidP="00731063">
      <w:pPr>
        <w:pStyle w:val="ad"/>
      </w:pPr>
      <w:r>
        <w:tab/>
      </w:r>
      <w:r w:rsidRPr="003C75DF">
        <w:rPr>
          <w:sz w:val="20"/>
        </w:rPr>
        <w:t>*</w:t>
      </w:r>
      <w:r>
        <w:tab/>
        <w:t xml:space="preserve">До сессии документы можно загрузить с веб-сайта Отдела устойчивого транспорта ЕЭК </w:t>
      </w:r>
      <w:r w:rsidRPr="003C75DF">
        <w:rPr>
          <w:spacing w:val="-2"/>
        </w:rPr>
        <w:t>(</w:t>
      </w:r>
      <w:hyperlink r:id="rId1" w:history="1">
        <w:r w:rsidR="003C75DF" w:rsidRPr="00C86DC5">
          <w:rPr>
            <w:rStyle w:val="af1"/>
            <w:spacing w:val="-2"/>
          </w:rPr>
          <w:t>https://unece.org/transport/events/wp29gre-working-party-lighting-and-light-signalling-85th-session-0</w:t>
        </w:r>
      </w:hyperlink>
      <w:r w:rsidRPr="003C75DF">
        <w:rPr>
          <w:spacing w:val="-2"/>
        </w:rPr>
        <w:t>).</w:t>
      </w:r>
      <w:r>
        <w:t xml:space="preserve">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2" w:history="1">
        <w:r w:rsidR="003C75DF" w:rsidRPr="00376EC3">
          <w:rPr>
            <w:rStyle w:val="af1"/>
          </w:rPr>
          <w:t>documents.un.org</w:t>
        </w:r>
      </w:hyperlink>
      <w:r w:rsidR="003C75DF" w:rsidRPr="001F43BF">
        <w:t>/</w:t>
      </w:r>
      <w:r>
        <w:t xml:space="preserve">.  </w:t>
      </w:r>
    </w:p>
  </w:footnote>
  <w:footnote w:id="2">
    <w:p w14:paraId="1F9F53A7" w14:textId="264D6D5B" w:rsidR="00731063" w:rsidRPr="00A8714C" w:rsidRDefault="00731063" w:rsidP="00731063">
      <w:pPr>
        <w:pStyle w:val="ad"/>
      </w:pPr>
      <w:r>
        <w:tab/>
      </w:r>
      <w:r w:rsidRPr="003C75DF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="003C75DF" w:rsidRPr="00C86DC5">
          <w:rPr>
            <w:rStyle w:val="af1"/>
          </w:rPr>
          <w:t>https://indico.un.org/event/35329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Схему Дворца Наций и другую полезную информацию см. URL: </w:t>
      </w:r>
      <w:hyperlink r:id="rId4" w:history="1">
        <w:r w:rsidR="003C75DF" w:rsidRPr="00C86DC5">
          <w:rPr>
            <w:rStyle w:val="af1"/>
          </w:rPr>
          <w:t>https://unece.org/practical-information-delegates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8013" w14:textId="285F80C3" w:rsidR="00731063" w:rsidRPr="00731063" w:rsidRDefault="00E8088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A0A4" w14:textId="6C8B6F66" w:rsidR="00731063" w:rsidRPr="00731063" w:rsidRDefault="00E80881" w:rsidP="007310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ECE/TRANS/WP.29/GRE/2021/9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85"/>
    <w:rsid w:val="00001219"/>
    <w:rsid w:val="00033EE1"/>
    <w:rsid w:val="00042B72"/>
    <w:rsid w:val="000558BD"/>
    <w:rsid w:val="000A198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EC3"/>
    <w:rsid w:val="00381C24"/>
    <w:rsid w:val="00387CD4"/>
    <w:rsid w:val="00393985"/>
    <w:rsid w:val="003958D0"/>
    <w:rsid w:val="003A0D43"/>
    <w:rsid w:val="003A48CE"/>
    <w:rsid w:val="003B00E5"/>
    <w:rsid w:val="003C75DF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06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7D2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6DBF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E63"/>
    <w:rsid w:val="00E73F76"/>
    <w:rsid w:val="00E80881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D3DAE0"/>
  <w15:docId w15:val="{975B72AD-D39E-4B20-B685-FA88D5C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31063"/>
    <w:rPr>
      <w:lang w:val="ru-RU" w:eastAsia="en-US"/>
    </w:rPr>
  </w:style>
  <w:style w:type="paragraph" w:styleId="af3">
    <w:name w:val="Block Text"/>
    <w:basedOn w:val="a"/>
    <w:semiHidden/>
    <w:rsid w:val="00731063"/>
    <w:pPr>
      <w:ind w:left="1440" w:right="1440"/>
    </w:pPr>
    <w:rPr>
      <w:rFonts w:eastAsia="SimSun" w:cs="Times New Roman"/>
      <w:szCs w:val="20"/>
      <w:lang w:val="en-GB"/>
    </w:rPr>
  </w:style>
  <w:style w:type="character" w:customStyle="1" w:styleId="H1GChar">
    <w:name w:val="_ H_1_G Char"/>
    <w:link w:val="H1G"/>
    <w:rsid w:val="0073106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31063"/>
    <w:rPr>
      <w:b/>
      <w:sz w:val="28"/>
      <w:lang w:val="ru-RU" w:eastAsia="ru-RU"/>
    </w:rPr>
  </w:style>
  <w:style w:type="character" w:styleId="af4">
    <w:name w:val="Unresolved Mention"/>
    <w:basedOn w:val="a0"/>
    <w:uiPriority w:val="99"/>
    <w:semiHidden/>
    <w:unhideWhenUsed/>
    <w:rsid w:val="003C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329" TargetMode="External"/><Relationship Id="rId2" Type="http://schemas.openxmlformats.org/officeDocument/2006/relationships/hyperlink" Target="https://documents.un.org/prod/ods.nsf/home.xsp" TargetMode="External"/><Relationship Id="rId1" Type="http://schemas.openxmlformats.org/officeDocument/2006/relationships/hyperlink" Target="https://unece.org/transport/events/wp29gre-working-party-lighting-and-light-signalling-85th-session-0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B811B-BAA6-4AA4-97AF-960CB11C75AE}"/>
</file>

<file path=customXml/itemProps2.xml><?xml version="1.0" encoding="utf-8"?>
<ds:datastoreItem xmlns:ds="http://schemas.openxmlformats.org/officeDocument/2006/customXml" ds:itemID="{370DE0BD-370C-4704-ACE6-BFB0F47363A9}"/>
</file>

<file path=customXml/itemProps3.xml><?xml version="1.0" encoding="utf-8"?>
<ds:datastoreItem xmlns:ds="http://schemas.openxmlformats.org/officeDocument/2006/customXml" ds:itemID="{AAFCC86F-8FB7-4B82-BEC6-3946483B382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1350</Words>
  <Characters>8952</Characters>
  <Application>Microsoft Office Word</Application>
  <DocSecurity>0</DocSecurity>
  <Lines>204</Lines>
  <Paragraphs>114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ECE/TRANS/WP.29/GRE/2021/9</vt:lpstr>
      <vt:lpstr>A/</vt:lpstr>
      <vt:lpstr>A/</vt:lpstr>
    </vt:vector>
  </TitlesOfParts>
  <Company>DCM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ECE/TRANS/WP.29/GRE/2021/9</dc:title>
  <dc:subject/>
  <dc:creator>Marina KOROTKOVA</dc:creator>
  <cp:keywords/>
  <cp:lastModifiedBy>Ioulia Goussarova</cp:lastModifiedBy>
  <cp:revision>3</cp:revision>
  <cp:lastPrinted>2021-08-05T14:16:00Z</cp:lastPrinted>
  <dcterms:created xsi:type="dcterms:W3CDTF">2021-08-05T14:16:00Z</dcterms:created>
  <dcterms:modified xsi:type="dcterms:W3CDTF">2021-08-05T14:17:00Z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