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42F656A8" w:rsidR="009E6CB7" w:rsidRPr="00D47EEA" w:rsidRDefault="00B10B38" w:rsidP="006B3551">
            <w:pPr>
              <w:jc w:val="right"/>
            </w:pPr>
            <w:bookmarkStart w:id="0" w:name="_Hlk93046665"/>
            <w:r w:rsidRPr="00B10B38">
              <w:rPr>
                <w:sz w:val="40"/>
              </w:rPr>
              <w:t>ECE</w:t>
            </w:r>
            <w:r>
              <w:t>/TRANS/WP.29/2021/155</w:t>
            </w:r>
            <w:bookmarkEnd w:id="0"/>
            <w:r w:rsidR="00911679">
              <w:t>/Rev.1</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113780DA" w:rsidR="006B3551" w:rsidRDefault="001F5326" w:rsidP="006B3551">
            <w:pPr>
              <w:spacing w:line="240" w:lineRule="exact"/>
            </w:pPr>
            <w:r>
              <w:t>19 January 2022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7D3105CE" w14:textId="467F58E0" w:rsidR="00B33AE9" w:rsidRDefault="00B33AE9" w:rsidP="00B33AE9">
      <w:r>
        <w:t xml:space="preserve">Item </w:t>
      </w:r>
      <w:r w:rsidR="006E182C">
        <w:t>1</w:t>
      </w:r>
      <w:r w:rsidR="0081601A">
        <w:t>5</w:t>
      </w:r>
      <w:r w:rsidR="006E182C">
        <w:t>.</w:t>
      </w:r>
      <w:r w:rsidR="007D37EE">
        <w:t>1</w:t>
      </w:r>
      <w:r>
        <w:t>. of the provisional agenda</w:t>
      </w:r>
    </w:p>
    <w:p w14:paraId="5CB8B8CE" w14:textId="7918EF55" w:rsidR="00B33AE9" w:rsidRDefault="00AE6876" w:rsidP="0032326A">
      <w:pPr>
        <w:rPr>
          <w:b/>
        </w:rPr>
      </w:pPr>
      <w:r w:rsidRPr="00AE6876">
        <w:rPr>
          <w:b/>
        </w:rPr>
        <w:t>Consideration of technical regulations to be listed in</w:t>
      </w:r>
      <w:r>
        <w:rPr>
          <w:b/>
        </w:rPr>
        <w:br/>
      </w:r>
      <w:r w:rsidRPr="00AE6876">
        <w:rPr>
          <w:b/>
        </w:rPr>
        <w:t>the Compendium of Candidates for UN GTRs, if any</w:t>
      </w:r>
    </w:p>
    <w:p w14:paraId="086436C2" w14:textId="1956F873" w:rsidR="00975187" w:rsidRPr="00975187" w:rsidRDefault="00B33AE9" w:rsidP="00975187">
      <w:pPr>
        <w:pStyle w:val="HChG"/>
        <w:rPr>
          <w:rFonts w:eastAsia="MS Mincho"/>
          <w:bCs/>
        </w:rPr>
      </w:pPr>
      <w:r>
        <w:tab/>
      </w:r>
      <w:r>
        <w:tab/>
      </w:r>
      <w:r w:rsidR="00BE5A76">
        <w:t xml:space="preserve">Revised </w:t>
      </w:r>
      <w:r w:rsidR="00BE5A76">
        <w:rPr>
          <w:rFonts w:eastAsia="MS Mincho"/>
          <w:bCs/>
        </w:rPr>
        <w:t>r</w:t>
      </w:r>
      <w:r w:rsidR="00975187" w:rsidRPr="00975187">
        <w:rPr>
          <w:rFonts w:eastAsia="MS Mincho"/>
          <w:bCs/>
        </w:rPr>
        <w:t xml:space="preserve">equest to list in the compendium of candidate Global Technical Regulations (compendium of candidates) the </w:t>
      </w:r>
      <w:r w:rsidR="00EE6261">
        <w:rPr>
          <w:rFonts w:eastAsia="MS Mincho"/>
          <w:bCs/>
        </w:rPr>
        <w:t>United States of America</w:t>
      </w:r>
      <w:r w:rsidR="00975187" w:rsidRPr="00975187">
        <w:rPr>
          <w:rFonts w:eastAsia="MS Mincho"/>
          <w:bCs/>
        </w:rPr>
        <w:t>’s Durability Driving Enforcement Procedure for two-wheeled vehicles</w:t>
      </w:r>
    </w:p>
    <w:p w14:paraId="6C728BEE" w14:textId="0C1A93A4" w:rsidR="00B33AE9" w:rsidRDefault="00975187" w:rsidP="00B7635F">
      <w:pPr>
        <w:pStyle w:val="H1G"/>
        <w:rPr>
          <w:szCs w:val="24"/>
        </w:rPr>
      </w:pPr>
      <w:r w:rsidRPr="00975187">
        <w:rPr>
          <w:rFonts w:eastAsia="MS Mincho"/>
        </w:rPr>
        <w:tab/>
      </w:r>
      <w:r w:rsidRPr="00975187">
        <w:rPr>
          <w:rFonts w:eastAsia="MS Mincho"/>
        </w:rPr>
        <w:tab/>
        <w:t xml:space="preserve">Submitted by the </w:t>
      </w:r>
      <w:r w:rsidRPr="00F17E26">
        <w:rPr>
          <w:rFonts w:eastAsia="MS Mincho"/>
        </w:rPr>
        <w:t>representative</w:t>
      </w:r>
      <w:r w:rsidRPr="00975187">
        <w:rPr>
          <w:rFonts w:eastAsia="MS Mincho"/>
        </w:rPr>
        <w:t xml:space="preserve"> of </w:t>
      </w:r>
      <w:r w:rsidR="00EE6261">
        <w:rPr>
          <w:rFonts w:eastAsia="MS Mincho"/>
        </w:rPr>
        <w:t>the United States of America</w:t>
      </w:r>
      <w:r w:rsidR="00B33AE9" w:rsidRPr="00DA129C">
        <w:rPr>
          <w:rStyle w:val="FootnoteReference"/>
          <w:b w:val="0"/>
          <w:bCs/>
          <w:sz w:val="20"/>
          <w:vertAlign w:val="baseline"/>
        </w:rPr>
        <w:footnoteReference w:customMarkFollows="1" w:id="2"/>
        <w:t>*</w:t>
      </w:r>
    </w:p>
    <w:p w14:paraId="016F2386" w14:textId="5C34E557" w:rsidR="00B33AE9" w:rsidRDefault="00EE73D3" w:rsidP="00B33AE9">
      <w:pPr>
        <w:pStyle w:val="SingleTxtG"/>
        <w:ind w:firstLine="567"/>
        <w:rPr>
          <w:lang w:val="en-US"/>
        </w:rPr>
      </w:pPr>
      <w:r>
        <w:rPr>
          <w:rFonts w:hint="eastAsia"/>
          <w:lang w:eastAsia="ja-JP"/>
        </w:rPr>
        <w:t>Th</w:t>
      </w:r>
      <w:r>
        <w:rPr>
          <w:lang w:eastAsia="ja-JP"/>
        </w:rPr>
        <w:t>e</w:t>
      </w:r>
      <w:r>
        <w:rPr>
          <w:rFonts w:hint="eastAsia"/>
          <w:lang w:eastAsia="ja-JP"/>
        </w:rPr>
        <w:t xml:space="preserve"> document </w:t>
      </w:r>
      <w:r>
        <w:rPr>
          <w:lang w:eastAsia="ja-JP"/>
        </w:rPr>
        <w:t xml:space="preserve">reproduced below </w:t>
      </w:r>
      <w:r>
        <w:rPr>
          <w:rFonts w:hint="eastAsia"/>
          <w:lang w:eastAsia="ja-JP"/>
        </w:rPr>
        <w:t xml:space="preserve">is submitted by </w:t>
      </w:r>
      <w:r w:rsidR="006C2A30">
        <w:rPr>
          <w:rFonts w:eastAsia="MS Mincho"/>
          <w:bCs/>
        </w:rPr>
        <w:t>the United States of America</w:t>
      </w:r>
      <w:r>
        <w:rPr>
          <w:lang w:eastAsia="ja-JP"/>
        </w:rPr>
        <w:t xml:space="preserve"> </w:t>
      </w:r>
      <w:r>
        <w:rPr>
          <w:rFonts w:hint="eastAsia"/>
          <w:lang w:eastAsia="ja-JP"/>
        </w:rPr>
        <w:t xml:space="preserve">to </w:t>
      </w:r>
      <w:r>
        <w:rPr>
          <w:lang w:eastAsia="ja-JP"/>
        </w:rPr>
        <w:t>t</w:t>
      </w:r>
      <w:r>
        <w:rPr>
          <w:rFonts w:hint="eastAsia"/>
          <w:lang w:eastAsia="ja-JP"/>
        </w:rPr>
        <w:t>he E</w:t>
      </w:r>
      <w:r>
        <w:rPr>
          <w:lang w:eastAsia="ja-JP"/>
        </w:rPr>
        <w:t>xecutive</w:t>
      </w:r>
      <w:r>
        <w:rPr>
          <w:rFonts w:hint="eastAsia"/>
          <w:lang w:eastAsia="ja-JP"/>
        </w:rPr>
        <w:t xml:space="preserve"> Committee (AC.3) for consideration. It </w:t>
      </w:r>
      <w:r>
        <w:rPr>
          <w:lang w:eastAsia="ja-JP"/>
        </w:rPr>
        <w:t>is a</w:t>
      </w:r>
      <w:r>
        <w:rPr>
          <w:rFonts w:hint="eastAsia"/>
        </w:rPr>
        <w:t xml:space="preserve"> </w:t>
      </w:r>
      <w:r>
        <w:t>request</w:t>
      </w:r>
      <w:r>
        <w:rPr>
          <w:rFonts w:hint="eastAsia"/>
        </w:rPr>
        <w:t xml:space="preserve"> </w:t>
      </w:r>
      <w:r>
        <w:t xml:space="preserve">to include in the Compendium of Candidates the </w:t>
      </w:r>
      <w:r w:rsidRPr="0013641C">
        <w:t>D</w:t>
      </w:r>
      <w:r>
        <w:t>urability Driving Enforcement</w:t>
      </w:r>
      <w:r w:rsidRPr="0013641C">
        <w:t xml:space="preserve"> </w:t>
      </w:r>
      <w:r>
        <w:t>Procedure</w:t>
      </w:r>
      <w:r>
        <w:rPr>
          <w:rFonts w:hint="eastAsia"/>
        </w:rPr>
        <w:t>.</w:t>
      </w:r>
      <w:r>
        <w:rPr>
          <w:lang w:eastAsia="ja-JP"/>
        </w:rPr>
        <w:t xml:space="preserve"> In order to be considered by AC.3, this request is accompanied by a copy of the regulations mentioned (see Article 5, paras. 5.2.1., 5.2.1.1. and 5.2.2. of the 1998 Agreement).</w:t>
      </w:r>
    </w:p>
    <w:p w14:paraId="4B57C481" w14:textId="77777777" w:rsidR="006B3551" w:rsidRDefault="006B3551" w:rsidP="006B3551">
      <w:pPr>
        <w:pStyle w:val="SingleTxtG"/>
        <w:ind w:firstLine="567"/>
      </w:pPr>
      <w:r>
        <w:br w:type="page"/>
      </w:r>
    </w:p>
    <w:p w14:paraId="60904CE5" w14:textId="612F4F58" w:rsidR="00BB04F3" w:rsidRDefault="00BB04F3" w:rsidP="00BB04F3">
      <w:pPr>
        <w:pStyle w:val="HChG"/>
      </w:pPr>
      <w:r>
        <w:lastRenderedPageBreak/>
        <w:tab/>
      </w:r>
      <w:r>
        <w:tab/>
      </w:r>
      <w:r w:rsidR="0030006F" w:rsidRPr="00A53046">
        <w:t>R</w:t>
      </w:r>
      <w:r w:rsidR="0030006F" w:rsidRPr="00A53046">
        <w:rPr>
          <w:lang w:val="en-US"/>
        </w:rPr>
        <w:t xml:space="preserve">equest to list in the compendium of candidate Global Technical Regulations (compendium of candidates) the </w:t>
      </w:r>
      <w:r w:rsidR="0030006F" w:rsidRPr="0013641C">
        <w:rPr>
          <w:lang w:val="en-US"/>
        </w:rPr>
        <w:t>D</w:t>
      </w:r>
      <w:r w:rsidR="0030006F">
        <w:rPr>
          <w:lang w:val="en-US"/>
        </w:rPr>
        <w:t>urability</w:t>
      </w:r>
      <w:r w:rsidR="0030006F" w:rsidRPr="0013641C">
        <w:rPr>
          <w:lang w:val="en-US"/>
        </w:rPr>
        <w:t xml:space="preserve"> D</w:t>
      </w:r>
      <w:r w:rsidR="0030006F">
        <w:rPr>
          <w:lang w:val="en-US"/>
        </w:rPr>
        <w:t>riving</w:t>
      </w:r>
      <w:r w:rsidR="0030006F" w:rsidRPr="0013641C">
        <w:rPr>
          <w:lang w:val="en-US"/>
        </w:rPr>
        <w:t xml:space="preserve"> E</w:t>
      </w:r>
      <w:r w:rsidR="0030006F">
        <w:rPr>
          <w:lang w:val="en-US"/>
        </w:rPr>
        <w:t>nforcement</w:t>
      </w:r>
      <w:r w:rsidR="0030006F" w:rsidRPr="0013641C">
        <w:rPr>
          <w:lang w:val="en-US"/>
        </w:rPr>
        <w:t xml:space="preserve"> P</w:t>
      </w:r>
      <w:r w:rsidR="0030006F">
        <w:rPr>
          <w:lang w:val="en-US"/>
        </w:rPr>
        <w:t>rocedure</w:t>
      </w:r>
    </w:p>
    <w:p w14:paraId="1EB4C542" w14:textId="18EA4A4B" w:rsidR="00BE0DCE" w:rsidRPr="002A12A1" w:rsidRDefault="000800E0" w:rsidP="000800E0">
      <w:pPr>
        <w:pStyle w:val="SingleTxtG"/>
        <w:ind w:left="1710" w:hanging="576"/>
      </w:pPr>
      <w:r w:rsidRPr="002A12A1">
        <w:t>1.</w:t>
      </w:r>
      <w:r w:rsidRPr="002A12A1">
        <w:tab/>
      </w:r>
      <w:r w:rsidR="00E23C1B">
        <w:t>USA</w:t>
      </w:r>
      <w:r w:rsidR="00E23C1B" w:rsidRPr="00654D3D">
        <w:t xml:space="preserve"> requests to include in the Compendium of Candidates the </w:t>
      </w:r>
      <w:r w:rsidR="00E23C1B">
        <w:t>USA</w:t>
      </w:r>
      <w:r w:rsidR="00E23C1B" w:rsidRPr="00654D3D">
        <w:t>’s</w:t>
      </w:r>
      <w:r w:rsidR="00E23C1B" w:rsidRPr="00D33433">
        <w:t xml:space="preserve"> Durability Driving Enforcement Procedure.</w:t>
      </w:r>
      <w:r w:rsidR="00E23C1B">
        <w:t xml:space="preserve"> </w:t>
      </w:r>
    </w:p>
    <w:p w14:paraId="28F830DE" w14:textId="77777777" w:rsidR="00093354" w:rsidRPr="00D97605" w:rsidRDefault="00093354" w:rsidP="0032326A">
      <w:pPr>
        <w:pStyle w:val="HChG"/>
      </w:pPr>
      <w:r w:rsidRPr="00D97605">
        <w:rPr>
          <w:rStyle w:val="Strong"/>
          <w:b/>
          <w:bCs w:val="0"/>
        </w:rPr>
        <w:tab/>
        <w:t>I.</w:t>
      </w:r>
      <w:r w:rsidRPr="00D97605">
        <w:rPr>
          <w:rStyle w:val="Strong"/>
          <w:b/>
          <w:bCs w:val="0"/>
        </w:rPr>
        <w:tab/>
      </w:r>
      <w:r w:rsidRPr="0032326A">
        <w:rPr>
          <w:rStyle w:val="Strong"/>
          <w:b/>
          <w:bCs w:val="0"/>
        </w:rPr>
        <w:t>Background</w:t>
      </w:r>
      <w:r w:rsidRPr="00D97605">
        <w:rPr>
          <w:rStyle w:val="Strong"/>
          <w:b/>
          <w:bCs w:val="0"/>
        </w:rPr>
        <w:t xml:space="preserve"> </w:t>
      </w:r>
    </w:p>
    <w:p w14:paraId="42BA7105" w14:textId="325480BF" w:rsidR="003D7E49" w:rsidRDefault="00E40D04" w:rsidP="002A12A1">
      <w:pPr>
        <w:pStyle w:val="SingleTxtG"/>
      </w:pPr>
      <w:r>
        <w:rPr>
          <w:lang w:eastAsia="ja-JP"/>
        </w:rPr>
        <w:t>2.</w:t>
      </w:r>
      <w:r w:rsidR="00A455E2">
        <w:rPr>
          <w:lang w:eastAsia="ja-JP"/>
        </w:rPr>
        <w:tab/>
        <w:t>T</w:t>
      </w:r>
      <w:r w:rsidR="003D7E49">
        <w:rPr>
          <w:lang w:eastAsia="ja-JP"/>
        </w:rPr>
        <w:t>he US EPA regulation for on-highway motorcycles/motorcycles (two- and three- wheeled vehicles) contains durability requirements. The requirements are included in the next section.</w:t>
      </w:r>
      <w:r w:rsidR="00CE5B53">
        <w:rPr>
          <w:lang w:eastAsia="ja-JP"/>
        </w:rPr>
        <w:t xml:space="preserve"> </w:t>
      </w:r>
      <w:r w:rsidR="003D7E49" w:rsidRPr="00F17E26">
        <w:t xml:space="preserve">The regulations are listed in EPA 40 CFR </w:t>
      </w:r>
      <w:r w:rsidR="003D7E49" w:rsidRPr="00F17E26">
        <w:rPr>
          <w:color w:val="000000"/>
        </w:rPr>
        <w:t xml:space="preserve">86.432-78 and </w:t>
      </w:r>
      <w:r w:rsidR="00620810" w:rsidRPr="00F17E26">
        <w:t>40 CFR</w:t>
      </w:r>
      <w:r w:rsidR="00620810" w:rsidRPr="00F17E26">
        <w:rPr>
          <w:color w:val="000000"/>
        </w:rPr>
        <w:t xml:space="preserve"> </w:t>
      </w:r>
      <w:r w:rsidR="003D7E49" w:rsidRPr="00F17E26">
        <w:rPr>
          <w:color w:val="000000"/>
        </w:rPr>
        <w:t>86.427-78</w:t>
      </w:r>
      <w:r w:rsidR="003D7E49" w:rsidRPr="00F17E26">
        <w:t>.</w:t>
      </w:r>
    </w:p>
    <w:p w14:paraId="5958B58E" w14:textId="41D76CFC" w:rsidR="003D7E49" w:rsidRDefault="00B23E82" w:rsidP="00E40D04">
      <w:pPr>
        <w:pStyle w:val="SingleTxtG"/>
      </w:pPr>
      <w:r>
        <w:t>3.</w:t>
      </w:r>
      <w:r>
        <w:tab/>
      </w:r>
      <w:r w:rsidR="00E40D04">
        <w:t>The Clean Air Act (CAA) is the USA’s primary federal air quality l</w:t>
      </w:r>
      <w:r w:rsidR="0C7C7BB8">
        <w:t>a</w:t>
      </w:r>
      <w:r w:rsidR="00E40D04">
        <w:t xml:space="preserve">w and is intended to reduce and control air pollution nationwide. </w:t>
      </w:r>
      <w:r w:rsidR="49D7E4CC">
        <w:t>Regulations adopted by the Environmental Protection Agency under this law set national standards for controls of emissions from transportation sources. Under this law, the state of California is also given authority to s</w:t>
      </w:r>
      <w:r w:rsidR="7D6B55B7">
        <w:t xml:space="preserve">et emissions standards if certain conditions are met. With respect to the </w:t>
      </w:r>
      <w:r w:rsidR="4EAB55EF">
        <w:t xml:space="preserve">durability procedures shown in more detail below, California rules </w:t>
      </w:r>
      <w:r w:rsidR="00E40D04">
        <w:t xml:space="preserve">for on-road motorcycles includes durability reference to EPA’s section for durability in the on-highway motorcycle regulation. </w:t>
      </w:r>
      <w:r w:rsidR="003D7E49">
        <w:t xml:space="preserve">The </w:t>
      </w:r>
      <w:r w:rsidR="006B481A">
        <w:t>cite to</w:t>
      </w:r>
      <w:r w:rsidR="003D7E49">
        <w:t xml:space="preserve"> the California </w:t>
      </w:r>
      <w:r w:rsidR="23F5A3F9">
        <w:t xml:space="preserve">rule is included here as a reference </w:t>
      </w:r>
      <w:r w:rsidR="0805C820">
        <w:t>for completeness.</w:t>
      </w:r>
    </w:p>
    <w:p w14:paraId="7CE0D018" w14:textId="77777777" w:rsidR="00093354" w:rsidRPr="007E2427" w:rsidRDefault="00093354" w:rsidP="0032326A">
      <w:pPr>
        <w:pStyle w:val="HChG"/>
      </w:pPr>
      <w:r>
        <w:tab/>
        <w:t>II.</w:t>
      </w:r>
      <w:r>
        <w:tab/>
      </w:r>
      <w:r w:rsidRPr="007E2427">
        <w:t xml:space="preserve">Description of </w:t>
      </w:r>
      <w:r w:rsidRPr="0032326A">
        <w:t>Regulations</w:t>
      </w:r>
    </w:p>
    <w:p w14:paraId="6208B9F5" w14:textId="6198B270" w:rsidR="00773658" w:rsidRPr="00F17E26" w:rsidRDefault="00D12388" w:rsidP="00B26202">
      <w:pPr>
        <w:pStyle w:val="SingleTxtG"/>
      </w:pPr>
      <w:r w:rsidRPr="00F17E26">
        <w:t>4.</w:t>
      </w:r>
      <w:r w:rsidRPr="00F17E26">
        <w:tab/>
      </w:r>
      <w:r w:rsidR="00773658" w:rsidRPr="00F17E26">
        <w:t>United States Environmental Protection Agency</w:t>
      </w:r>
    </w:p>
    <w:p w14:paraId="03D2D129" w14:textId="7D316B91" w:rsidR="00773658" w:rsidRPr="00F17E26" w:rsidRDefault="00D12388" w:rsidP="00D12388">
      <w:pPr>
        <w:pStyle w:val="SingleTxtG"/>
        <w:ind w:firstLine="567"/>
        <w:rPr>
          <w:color w:val="000000"/>
        </w:rPr>
      </w:pPr>
      <w:r w:rsidRPr="00F17E26">
        <w:rPr>
          <w:color w:val="000000"/>
        </w:rPr>
        <w:t xml:space="preserve">Extract from </w:t>
      </w:r>
      <w:r w:rsidR="006B481A">
        <w:rPr>
          <w:color w:val="000000"/>
        </w:rPr>
        <w:t xml:space="preserve">40 CFR </w:t>
      </w:r>
      <w:r w:rsidR="00773658" w:rsidRPr="00F17E26">
        <w:rPr>
          <w:color w:val="000000"/>
        </w:rPr>
        <w:t>86.427-78  Emission tests</w:t>
      </w:r>
      <w:r w:rsidRPr="00F17E26">
        <w:rPr>
          <w:color w:val="000000"/>
        </w:rPr>
        <w:t>:</w:t>
      </w:r>
    </w:p>
    <w:p w14:paraId="5212D0F5" w14:textId="2C5AAA39" w:rsidR="00773658" w:rsidRPr="00F17E26" w:rsidRDefault="004860F7" w:rsidP="002A12A1">
      <w:pPr>
        <w:pStyle w:val="SingleTxtG"/>
        <w:ind w:left="1701"/>
        <w:rPr>
          <w:color w:val="000000"/>
        </w:rPr>
      </w:pPr>
      <w:r w:rsidRPr="00F17E26">
        <w:rPr>
          <w:color w:val="000000"/>
        </w:rPr>
        <w:t>(a)</w:t>
      </w:r>
      <w:r w:rsidRPr="00F17E26">
        <w:rPr>
          <w:color w:val="000000"/>
        </w:rPr>
        <w:tab/>
      </w:r>
      <w:r w:rsidR="00AA6922" w:rsidRPr="00F17E26">
        <w:rPr>
          <w:color w:val="000000"/>
        </w:rPr>
        <w:t>(i)</w:t>
      </w:r>
      <w:r w:rsidR="00AA6922" w:rsidRPr="00F17E26">
        <w:rPr>
          <w:color w:val="000000"/>
        </w:rPr>
        <w:tab/>
      </w:r>
      <w:r w:rsidR="00773658" w:rsidRPr="00F17E26">
        <w:rPr>
          <w:color w:val="000000"/>
        </w:rPr>
        <w:t>Each test vehicle shall be driven with all emission control systems installed and operating for the following total test distances, or for such lesser distances as the Administrator may agree to as meeting the objectives of this procedure. (See §86.419 for class explanation.)</w:t>
      </w:r>
    </w:p>
    <w:tbl>
      <w:tblPr>
        <w:tblW w:w="7370" w:type="dxa"/>
        <w:tblInd w:w="1134" w:type="dxa"/>
        <w:tblLayout w:type="fixed"/>
        <w:tblCellMar>
          <w:left w:w="0" w:type="dxa"/>
          <w:right w:w="0" w:type="dxa"/>
        </w:tblCellMar>
        <w:tblLook w:val="04A0" w:firstRow="1" w:lastRow="0" w:firstColumn="1" w:lastColumn="0" w:noHBand="0" w:noVBand="1"/>
      </w:tblPr>
      <w:tblGrid>
        <w:gridCol w:w="1412"/>
        <w:gridCol w:w="2010"/>
        <w:gridCol w:w="2265"/>
        <w:gridCol w:w="1683"/>
      </w:tblGrid>
      <w:tr w:rsidR="00276F8C" w:rsidRPr="00F17E26" w14:paraId="7F870F82" w14:textId="77777777" w:rsidTr="00276F8C">
        <w:trPr>
          <w:tblHeader/>
        </w:trPr>
        <w:tc>
          <w:tcPr>
            <w:tcW w:w="1412" w:type="dxa"/>
            <w:tcBorders>
              <w:top w:val="single" w:sz="4" w:space="0" w:color="auto"/>
              <w:bottom w:val="single" w:sz="12" w:space="0" w:color="auto"/>
            </w:tcBorders>
            <w:shd w:val="clear" w:color="auto" w:fill="auto"/>
            <w:vAlign w:val="bottom"/>
            <w:hideMark/>
          </w:tcPr>
          <w:p w14:paraId="36E72770" w14:textId="77777777" w:rsidR="00773658" w:rsidRPr="00F17E26" w:rsidRDefault="00773658" w:rsidP="00276F8C">
            <w:pPr>
              <w:spacing w:before="80" w:after="80" w:line="200" w:lineRule="exact"/>
              <w:ind w:right="113"/>
              <w:rPr>
                <w:i/>
                <w:sz w:val="16"/>
              </w:rPr>
            </w:pPr>
            <w:r w:rsidRPr="00F17E26">
              <w:rPr>
                <w:i/>
                <w:sz w:val="16"/>
              </w:rPr>
              <w:t>Displacement class</w:t>
            </w:r>
          </w:p>
        </w:tc>
        <w:tc>
          <w:tcPr>
            <w:tcW w:w="2010" w:type="dxa"/>
            <w:tcBorders>
              <w:top w:val="single" w:sz="4" w:space="0" w:color="auto"/>
              <w:bottom w:val="single" w:sz="12" w:space="0" w:color="auto"/>
            </w:tcBorders>
            <w:shd w:val="clear" w:color="auto" w:fill="auto"/>
            <w:vAlign w:val="bottom"/>
            <w:hideMark/>
          </w:tcPr>
          <w:p w14:paraId="5CE0C4C2" w14:textId="77777777" w:rsidR="00773658" w:rsidRPr="00F17E26" w:rsidRDefault="00773658" w:rsidP="00276F8C">
            <w:pPr>
              <w:spacing w:before="80" w:after="80" w:line="200" w:lineRule="exact"/>
              <w:ind w:right="113"/>
              <w:rPr>
                <w:i/>
                <w:sz w:val="16"/>
              </w:rPr>
            </w:pPr>
            <w:r w:rsidRPr="00F17E26">
              <w:rPr>
                <w:i/>
                <w:sz w:val="16"/>
              </w:rPr>
              <w:t>Total test distance (kilometers)</w:t>
            </w:r>
          </w:p>
        </w:tc>
        <w:tc>
          <w:tcPr>
            <w:tcW w:w="2265" w:type="dxa"/>
            <w:tcBorders>
              <w:top w:val="single" w:sz="4" w:space="0" w:color="auto"/>
              <w:bottom w:val="single" w:sz="12" w:space="0" w:color="auto"/>
            </w:tcBorders>
            <w:shd w:val="clear" w:color="auto" w:fill="auto"/>
            <w:vAlign w:val="bottom"/>
            <w:hideMark/>
          </w:tcPr>
          <w:p w14:paraId="35E934D9" w14:textId="77777777" w:rsidR="00773658" w:rsidRPr="00F17E26" w:rsidRDefault="00773658" w:rsidP="00276F8C">
            <w:pPr>
              <w:spacing w:before="80" w:after="80" w:line="200" w:lineRule="exact"/>
              <w:ind w:right="113"/>
              <w:rPr>
                <w:i/>
                <w:sz w:val="16"/>
              </w:rPr>
            </w:pPr>
            <w:r w:rsidRPr="00F17E26">
              <w:rPr>
                <w:i/>
                <w:sz w:val="16"/>
              </w:rPr>
              <w:t>Minimum test distance (kilometers)</w:t>
            </w:r>
          </w:p>
        </w:tc>
        <w:tc>
          <w:tcPr>
            <w:tcW w:w="1683" w:type="dxa"/>
            <w:tcBorders>
              <w:top w:val="single" w:sz="4" w:space="0" w:color="auto"/>
              <w:bottom w:val="single" w:sz="12" w:space="0" w:color="auto"/>
            </w:tcBorders>
            <w:shd w:val="clear" w:color="auto" w:fill="auto"/>
            <w:vAlign w:val="bottom"/>
            <w:hideMark/>
          </w:tcPr>
          <w:p w14:paraId="4E9D31A9" w14:textId="77777777" w:rsidR="00773658" w:rsidRPr="00F17E26" w:rsidRDefault="00773658" w:rsidP="00276F8C">
            <w:pPr>
              <w:spacing w:before="80" w:after="80" w:line="200" w:lineRule="exact"/>
              <w:ind w:right="113"/>
              <w:rPr>
                <w:i/>
                <w:sz w:val="16"/>
              </w:rPr>
            </w:pPr>
            <w:r w:rsidRPr="00F17E26">
              <w:rPr>
                <w:i/>
                <w:sz w:val="16"/>
              </w:rPr>
              <w:t>Minimum number of tests</w:t>
            </w:r>
          </w:p>
        </w:tc>
      </w:tr>
      <w:tr w:rsidR="00276F8C" w:rsidRPr="00F17E26" w14:paraId="7DBC9A80" w14:textId="77777777" w:rsidTr="00276F8C">
        <w:trPr>
          <w:trHeight w:hRule="exact" w:val="113"/>
        </w:trPr>
        <w:tc>
          <w:tcPr>
            <w:tcW w:w="1412" w:type="dxa"/>
            <w:tcBorders>
              <w:top w:val="single" w:sz="12" w:space="0" w:color="auto"/>
            </w:tcBorders>
            <w:shd w:val="clear" w:color="auto" w:fill="auto"/>
          </w:tcPr>
          <w:p w14:paraId="3DFBE026" w14:textId="77777777" w:rsidR="00276F8C" w:rsidRPr="00F17E26" w:rsidRDefault="00276F8C" w:rsidP="00276F8C">
            <w:pPr>
              <w:spacing w:before="40" w:after="120"/>
              <w:ind w:right="113"/>
            </w:pPr>
          </w:p>
        </w:tc>
        <w:tc>
          <w:tcPr>
            <w:tcW w:w="2010" w:type="dxa"/>
            <w:tcBorders>
              <w:top w:val="single" w:sz="12" w:space="0" w:color="auto"/>
            </w:tcBorders>
            <w:shd w:val="clear" w:color="auto" w:fill="auto"/>
          </w:tcPr>
          <w:p w14:paraId="02D2EDBF" w14:textId="77777777" w:rsidR="00276F8C" w:rsidRPr="00F17E26" w:rsidRDefault="00276F8C" w:rsidP="00276F8C">
            <w:pPr>
              <w:spacing w:before="40" w:after="120"/>
              <w:ind w:right="113"/>
            </w:pPr>
          </w:p>
        </w:tc>
        <w:tc>
          <w:tcPr>
            <w:tcW w:w="2265" w:type="dxa"/>
            <w:tcBorders>
              <w:top w:val="single" w:sz="12" w:space="0" w:color="auto"/>
            </w:tcBorders>
            <w:shd w:val="clear" w:color="auto" w:fill="auto"/>
          </w:tcPr>
          <w:p w14:paraId="70F766FD" w14:textId="77777777" w:rsidR="00276F8C" w:rsidRPr="00F17E26" w:rsidRDefault="00276F8C" w:rsidP="00276F8C">
            <w:pPr>
              <w:spacing w:before="40" w:after="120"/>
              <w:ind w:right="113"/>
            </w:pPr>
          </w:p>
        </w:tc>
        <w:tc>
          <w:tcPr>
            <w:tcW w:w="1683" w:type="dxa"/>
            <w:tcBorders>
              <w:top w:val="single" w:sz="12" w:space="0" w:color="auto"/>
            </w:tcBorders>
            <w:shd w:val="clear" w:color="auto" w:fill="auto"/>
          </w:tcPr>
          <w:p w14:paraId="5E36F75D" w14:textId="77777777" w:rsidR="00276F8C" w:rsidRPr="00F17E26" w:rsidRDefault="00276F8C" w:rsidP="00276F8C">
            <w:pPr>
              <w:spacing w:before="40" w:after="120"/>
              <w:ind w:right="113"/>
            </w:pPr>
          </w:p>
        </w:tc>
      </w:tr>
      <w:tr w:rsidR="00276F8C" w:rsidRPr="00F17E26" w14:paraId="242EF26E" w14:textId="77777777" w:rsidTr="00276F8C">
        <w:tc>
          <w:tcPr>
            <w:tcW w:w="1412" w:type="dxa"/>
            <w:shd w:val="clear" w:color="auto" w:fill="auto"/>
            <w:hideMark/>
          </w:tcPr>
          <w:p w14:paraId="7B6AFCBD" w14:textId="77777777" w:rsidR="00773658" w:rsidRPr="00F17E26" w:rsidRDefault="00773658" w:rsidP="00276F8C">
            <w:pPr>
              <w:spacing w:before="40" w:after="120"/>
              <w:ind w:right="113"/>
            </w:pPr>
            <w:r w:rsidRPr="00F17E26">
              <w:t>I</w:t>
            </w:r>
          </w:p>
        </w:tc>
        <w:tc>
          <w:tcPr>
            <w:tcW w:w="2010" w:type="dxa"/>
            <w:shd w:val="clear" w:color="auto" w:fill="auto"/>
            <w:hideMark/>
          </w:tcPr>
          <w:p w14:paraId="526ECB15" w14:textId="77777777" w:rsidR="00773658" w:rsidRPr="00F17E26" w:rsidRDefault="00773658" w:rsidP="00276F8C">
            <w:pPr>
              <w:spacing w:before="40" w:after="120"/>
              <w:ind w:right="113"/>
            </w:pPr>
            <w:r w:rsidRPr="00F17E26">
              <w:t>6,000</w:t>
            </w:r>
          </w:p>
        </w:tc>
        <w:tc>
          <w:tcPr>
            <w:tcW w:w="2265" w:type="dxa"/>
            <w:shd w:val="clear" w:color="auto" w:fill="auto"/>
            <w:hideMark/>
          </w:tcPr>
          <w:p w14:paraId="7F71B82C" w14:textId="77777777" w:rsidR="00773658" w:rsidRPr="00F17E26" w:rsidRDefault="00773658" w:rsidP="00276F8C">
            <w:pPr>
              <w:spacing w:before="40" w:after="120"/>
              <w:ind w:right="113"/>
            </w:pPr>
            <w:r w:rsidRPr="00F17E26">
              <w:t>2,500</w:t>
            </w:r>
          </w:p>
        </w:tc>
        <w:tc>
          <w:tcPr>
            <w:tcW w:w="1683" w:type="dxa"/>
            <w:shd w:val="clear" w:color="auto" w:fill="auto"/>
            <w:hideMark/>
          </w:tcPr>
          <w:p w14:paraId="48B35E21" w14:textId="77777777" w:rsidR="00773658" w:rsidRPr="00F17E26" w:rsidRDefault="00773658" w:rsidP="00276F8C">
            <w:pPr>
              <w:spacing w:before="40" w:after="120"/>
              <w:ind w:right="113"/>
            </w:pPr>
            <w:r w:rsidRPr="00F17E26">
              <w:t>4</w:t>
            </w:r>
          </w:p>
        </w:tc>
      </w:tr>
      <w:tr w:rsidR="00276F8C" w:rsidRPr="00F17E26" w14:paraId="4BB39D85" w14:textId="77777777" w:rsidTr="00276F8C">
        <w:tc>
          <w:tcPr>
            <w:tcW w:w="1412" w:type="dxa"/>
            <w:shd w:val="clear" w:color="auto" w:fill="auto"/>
            <w:hideMark/>
          </w:tcPr>
          <w:p w14:paraId="381722A7" w14:textId="77777777" w:rsidR="00773658" w:rsidRPr="00F17E26" w:rsidRDefault="00773658" w:rsidP="00276F8C">
            <w:pPr>
              <w:spacing w:before="40" w:after="120"/>
              <w:ind w:right="113"/>
            </w:pPr>
            <w:r w:rsidRPr="00F17E26">
              <w:t>II</w:t>
            </w:r>
          </w:p>
        </w:tc>
        <w:tc>
          <w:tcPr>
            <w:tcW w:w="2010" w:type="dxa"/>
            <w:shd w:val="clear" w:color="auto" w:fill="auto"/>
            <w:hideMark/>
          </w:tcPr>
          <w:p w14:paraId="6A993F73" w14:textId="77777777" w:rsidR="00773658" w:rsidRPr="00F17E26" w:rsidRDefault="00773658" w:rsidP="00276F8C">
            <w:pPr>
              <w:spacing w:before="40" w:after="120"/>
              <w:ind w:right="113"/>
            </w:pPr>
            <w:r w:rsidRPr="00F17E26">
              <w:t>9,000</w:t>
            </w:r>
          </w:p>
        </w:tc>
        <w:tc>
          <w:tcPr>
            <w:tcW w:w="2265" w:type="dxa"/>
            <w:shd w:val="clear" w:color="auto" w:fill="auto"/>
            <w:hideMark/>
          </w:tcPr>
          <w:p w14:paraId="1424165E" w14:textId="77777777" w:rsidR="00773658" w:rsidRPr="00F17E26" w:rsidRDefault="00773658" w:rsidP="00276F8C">
            <w:pPr>
              <w:spacing w:before="40" w:after="120"/>
              <w:ind w:right="113"/>
            </w:pPr>
            <w:r w:rsidRPr="00F17E26">
              <w:t>2,500</w:t>
            </w:r>
          </w:p>
        </w:tc>
        <w:tc>
          <w:tcPr>
            <w:tcW w:w="1683" w:type="dxa"/>
            <w:shd w:val="clear" w:color="auto" w:fill="auto"/>
            <w:hideMark/>
          </w:tcPr>
          <w:p w14:paraId="477AC3BA" w14:textId="77777777" w:rsidR="00773658" w:rsidRPr="00F17E26" w:rsidRDefault="00773658" w:rsidP="00276F8C">
            <w:pPr>
              <w:spacing w:before="40" w:after="120"/>
              <w:ind w:right="113"/>
            </w:pPr>
            <w:r w:rsidRPr="00F17E26">
              <w:t>4</w:t>
            </w:r>
          </w:p>
        </w:tc>
      </w:tr>
      <w:tr w:rsidR="00276F8C" w:rsidRPr="00F17E26" w14:paraId="1EEB7ED7" w14:textId="77777777" w:rsidTr="00276F8C">
        <w:tc>
          <w:tcPr>
            <w:tcW w:w="1412" w:type="dxa"/>
            <w:tcBorders>
              <w:bottom w:val="single" w:sz="12" w:space="0" w:color="auto"/>
            </w:tcBorders>
            <w:shd w:val="clear" w:color="auto" w:fill="auto"/>
            <w:hideMark/>
          </w:tcPr>
          <w:p w14:paraId="44AEE72F" w14:textId="77777777" w:rsidR="00773658" w:rsidRPr="00F17E26" w:rsidRDefault="00773658" w:rsidP="00276F8C">
            <w:pPr>
              <w:spacing w:before="40" w:after="120"/>
              <w:ind w:right="113"/>
            </w:pPr>
            <w:r w:rsidRPr="00F17E26">
              <w:t>III</w:t>
            </w:r>
          </w:p>
        </w:tc>
        <w:tc>
          <w:tcPr>
            <w:tcW w:w="2010" w:type="dxa"/>
            <w:tcBorders>
              <w:bottom w:val="single" w:sz="12" w:space="0" w:color="auto"/>
            </w:tcBorders>
            <w:shd w:val="clear" w:color="auto" w:fill="auto"/>
            <w:hideMark/>
          </w:tcPr>
          <w:p w14:paraId="04E7D72F" w14:textId="77777777" w:rsidR="00773658" w:rsidRPr="00F17E26" w:rsidRDefault="00773658" w:rsidP="00276F8C">
            <w:pPr>
              <w:spacing w:before="40" w:after="120"/>
              <w:ind w:right="113"/>
            </w:pPr>
            <w:r w:rsidRPr="00F17E26">
              <w:t>15,000</w:t>
            </w:r>
          </w:p>
        </w:tc>
        <w:tc>
          <w:tcPr>
            <w:tcW w:w="2265" w:type="dxa"/>
            <w:tcBorders>
              <w:bottom w:val="single" w:sz="12" w:space="0" w:color="auto"/>
            </w:tcBorders>
            <w:shd w:val="clear" w:color="auto" w:fill="auto"/>
            <w:hideMark/>
          </w:tcPr>
          <w:p w14:paraId="4D36E922" w14:textId="77777777" w:rsidR="00773658" w:rsidRPr="00F17E26" w:rsidRDefault="00773658" w:rsidP="00276F8C">
            <w:pPr>
              <w:spacing w:before="40" w:after="120"/>
              <w:ind w:right="113"/>
            </w:pPr>
            <w:r w:rsidRPr="00F17E26">
              <w:t>3,500</w:t>
            </w:r>
          </w:p>
        </w:tc>
        <w:tc>
          <w:tcPr>
            <w:tcW w:w="1683" w:type="dxa"/>
            <w:tcBorders>
              <w:bottom w:val="single" w:sz="12" w:space="0" w:color="auto"/>
            </w:tcBorders>
            <w:shd w:val="clear" w:color="auto" w:fill="auto"/>
            <w:hideMark/>
          </w:tcPr>
          <w:p w14:paraId="4E9AACFF" w14:textId="77777777" w:rsidR="00773658" w:rsidRPr="00F17E26" w:rsidRDefault="00773658" w:rsidP="00276F8C">
            <w:pPr>
              <w:spacing w:before="40" w:after="120"/>
              <w:ind w:right="113"/>
            </w:pPr>
            <w:r w:rsidRPr="00F17E26">
              <w:t>4</w:t>
            </w:r>
          </w:p>
        </w:tc>
      </w:tr>
    </w:tbl>
    <w:p w14:paraId="4B6DCD87" w14:textId="4AD696BE" w:rsidR="00773658" w:rsidRPr="00F17E26" w:rsidRDefault="00773658" w:rsidP="002A12A1">
      <w:pPr>
        <w:pStyle w:val="SingleTxtG"/>
        <w:ind w:left="1701"/>
        <w:rPr>
          <w:rFonts w:eastAsiaTheme="minorHAnsi"/>
        </w:rPr>
      </w:pPr>
      <w:r w:rsidRPr="00F17E26">
        <w:t>(</w:t>
      </w:r>
      <w:r w:rsidR="00AA6922" w:rsidRPr="00F17E26">
        <w:t>ii</w:t>
      </w:r>
      <w:r w:rsidRPr="00F17E26">
        <w:t>)</w:t>
      </w:r>
      <w:r w:rsidR="00812604" w:rsidRPr="00F17E26">
        <w:tab/>
      </w:r>
      <w:r w:rsidRPr="00F17E26">
        <w:t xml:space="preserve">A zero </w:t>
      </w:r>
      <w:r w:rsidR="00FB13D2" w:rsidRPr="00F17E26">
        <w:t>kilometre</w:t>
      </w:r>
      <w:r w:rsidRPr="00F17E26">
        <w:t xml:space="preserve"> emission test may be performed prior to the beginning of service accumulation.</w:t>
      </w:r>
    </w:p>
    <w:p w14:paraId="4E72A290" w14:textId="68223FFE" w:rsidR="00773658" w:rsidRPr="00F17E26" w:rsidRDefault="00773658" w:rsidP="002A12A1">
      <w:pPr>
        <w:pStyle w:val="SingleTxtG"/>
        <w:ind w:firstLine="567"/>
      </w:pPr>
      <w:r w:rsidRPr="00F17E26">
        <w:t>(b)</w:t>
      </w:r>
      <w:r w:rsidR="00812604" w:rsidRPr="00F17E26">
        <w:tab/>
      </w:r>
      <w:r w:rsidRPr="00F17E26">
        <w:t>All vehicles shall undergo at least four emission tests; one at the minimum test distance, one before and one after periodic maintenance, and one at the total test distance. If no maintenance is scheduled, then at least two tests will be performed, at equal intervals, between the minimum and total test distances. Additional tests may be performed; such tests must be at equal intervals and approved by the Administrator prior to starting service accumulation.</w:t>
      </w:r>
    </w:p>
    <w:p w14:paraId="1ED34515" w14:textId="1ABDA02A" w:rsidR="00773658" w:rsidRPr="00F17E26" w:rsidRDefault="00773658" w:rsidP="002A12A1">
      <w:pPr>
        <w:pStyle w:val="SingleTxtG"/>
        <w:ind w:firstLine="567"/>
      </w:pPr>
      <w:r w:rsidRPr="00F17E26">
        <w:t>(c)</w:t>
      </w:r>
      <w:r w:rsidR="00812604" w:rsidRPr="00F17E26">
        <w:tab/>
      </w:r>
      <w:r w:rsidRPr="00F17E26">
        <w:t>Where the Administrator agrees to a lesser distance for service accumulation, he may modify the maintenance provisions of this subpart.</w:t>
      </w:r>
    </w:p>
    <w:p w14:paraId="2A0DF725" w14:textId="567E3713" w:rsidR="00773658" w:rsidRPr="00F17E26" w:rsidRDefault="00773658" w:rsidP="002A12A1">
      <w:pPr>
        <w:pStyle w:val="SingleTxtG"/>
        <w:ind w:firstLine="567"/>
      </w:pPr>
      <w:r w:rsidRPr="00F17E26">
        <w:t>(d)</w:t>
      </w:r>
      <w:r w:rsidR="00D534BD" w:rsidRPr="00F17E26">
        <w:tab/>
      </w:r>
      <w:r w:rsidRPr="00F17E26">
        <w:t xml:space="preserve">All tests required by this subpart must be conducted at an accumulated distance within 250 </w:t>
      </w:r>
      <w:r w:rsidR="00F62123" w:rsidRPr="00F17E26">
        <w:t>kilometres</w:t>
      </w:r>
      <w:r w:rsidRPr="00F17E26">
        <w:t xml:space="preserve"> (155 mi</w:t>
      </w:r>
      <w:r w:rsidR="00F62123" w:rsidRPr="00F17E26">
        <w:t>les</w:t>
      </w:r>
      <w:r w:rsidRPr="00F17E26">
        <w:t>) of the nominal distance at each test point.</w:t>
      </w:r>
    </w:p>
    <w:p w14:paraId="74CF08FA" w14:textId="79D5A665" w:rsidR="00773658" w:rsidRPr="00F17E26" w:rsidRDefault="00773658" w:rsidP="002A12A1">
      <w:pPr>
        <w:pStyle w:val="SingleTxtG"/>
        <w:ind w:left="1701"/>
      </w:pPr>
      <w:r w:rsidRPr="00F17E26">
        <w:t>(e)</w:t>
      </w:r>
      <w:r w:rsidR="00D534BD" w:rsidRPr="00F17E26">
        <w:tab/>
      </w:r>
      <w:r w:rsidRPr="00F17E26">
        <w:t>(</w:t>
      </w:r>
      <w:r w:rsidR="00D534BD" w:rsidRPr="00F17E26">
        <w:t>i</w:t>
      </w:r>
      <w:r w:rsidRPr="00F17E26">
        <w:t>)</w:t>
      </w:r>
      <w:r w:rsidR="00D534BD" w:rsidRPr="00F17E26">
        <w:tab/>
      </w:r>
      <w:r w:rsidRPr="00F17E26">
        <w:t>If a manufacturer conducts multiple tests at any test point at which the data are intended to be used in the calculation of the deterioration factor, the number of tests must be the same at each point and may not exceed three valid tests unless the manufacturer chooses to average the test results.</w:t>
      </w:r>
    </w:p>
    <w:p w14:paraId="4598440C" w14:textId="0B4593BE" w:rsidR="00773658" w:rsidRPr="00F17E26" w:rsidRDefault="00773658" w:rsidP="002A12A1">
      <w:pPr>
        <w:pStyle w:val="SingleTxtG"/>
        <w:ind w:left="1701"/>
      </w:pPr>
      <w:r w:rsidRPr="00F17E26">
        <w:lastRenderedPageBreak/>
        <w:t>(</w:t>
      </w:r>
      <w:r w:rsidR="00D534BD" w:rsidRPr="00F17E26">
        <w:t>ii</w:t>
      </w:r>
      <w:r w:rsidRPr="00F17E26">
        <w:t>)</w:t>
      </w:r>
      <w:r w:rsidR="00D534BD" w:rsidRPr="00F17E26">
        <w:tab/>
      </w:r>
      <w:r w:rsidRPr="00F17E26">
        <w:t>If the manufacturer chooses to average the test results at a test point, he may conduct more tests than the minimum number of tests conducted at any other test point.</w:t>
      </w:r>
    </w:p>
    <w:p w14:paraId="7D77697B" w14:textId="77777777" w:rsidR="00773658" w:rsidRPr="00F17E26" w:rsidRDefault="00773658" w:rsidP="002A12A1">
      <w:pPr>
        <w:pStyle w:val="SingleTxtG"/>
        <w:ind w:left="1701"/>
      </w:pPr>
      <w:r w:rsidRPr="00F17E26">
        <w:t>The results of the multiple tests shall be averaged to create a single value which is the test point value used in the deterioration factor calculation specified in §86.432-78.</w:t>
      </w:r>
    </w:p>
    <w:p w14:paraId="69168DD1" w14:textId="48CDF1D1" w:rsidR="00773658" w:rsidRPr="00F17E26" w:rsidRDefault="00773658" w:rsidP="002A12A1">
      <w:pPr>
        <w:pStyle w:val="SingleTxtG"/>
        <w:ind w:left="1701"/>
      </w:pPr>
      <w:r w:rsidRPr="00F17E26">
        <w:t>(</w:t>
      </w:r>
      <w:r w:rsidR="00D534BD" w:rsidRPr="00F17E26">
        <w:t>iii</w:t>
      </w:r>
      <w:r w:rsidRPr="00F17E26">
        <w:t>)</w:t>
      </w:r>
      <w:r w:rsidR="00D534BD" w:rsidRPr="00F17E26">
        <w:tab/>
      </w:r>
      <w:r w:rsidRPr="00F17E26">
        <w:t>When using this option to generate data for a particular test point, the manufacturer must include in the average all valid test data generated at that test point.</w:t>
      </w:r>
    </w:p>
    <w:p w14:paraId="214B67C4" w14:textId="305B40E0" w:rsidR="00773658" w:rsidRPr="00F17E26" w:rsidRDefault="00773658" w:rsidP="002A12A1">
      <w:pPr>
        <w:pStyle w:val="SingleTxtG"/>
        <w:ind w:left="1701"/>
      </w:pPr>
      <w:r w:rsidRPr="00F17E26">
        <w:t>(</w:t>
      </w:r>
      <w:r w:rsidR="00D534BD" w:rsidRPr="00F17E26">
        <w:t>iv</w:t>
      </w:r>
      <w:r w:rsidRPr="00F17E26">
        <w:t>)</w:t>
      </w:r>
      <w:r w:rsidR="00D534BD" w:rsidRPr="00F17E26">
        <w:tab/>
      </w:r>
      <w:r w:rsidRPr="00F17E26">
        <w:t>The manufacturer shall follow the same procedure for all exhaust pollutants.</w:t>
      </w:r>
    </w:p>
    <w:p w14:paraId="64D87FB3" w14:textId="5FCF0D5F" w:rsidR="00773658" w:rsidRPr="00F17E26" w:rsidRDefault="00773658" w:rsidP="002A12A1">
      <w:pPr>
        <w:pStyle w:val="SingleTxtG"/>
        <w:ind w:left="1701"/>
      </w:pPr>
      <w:r w:rsidRPr="00F17E26">
        <w:t>(</w:t>
      </w:r>
      <w:r w:rsidR="00D534BD" w:rsidRPr="00F17E26">
        <w:t>v</w:t>
      </w:r>
      <w:r w:rsidRPr="00F17E26">
        <w:t>)</w:t>
      </w:r>
      <w:r w:rsidR="00D534BD" w:rsidRPr="00F17E26">
        <w:tab/>
      </w:r>
      <w:r w:rsidRPr="00F17E26">
        <w:t>The test results obtained from the emission tests performed before and after maintenance affecting emissions shall not be averaged.</w:t>
      </w:r>
    </w:p>
    <w:p w14:paraId="60A7EA64" w14:textId="42D83BF0" w:rsidR="00773658" w:rsidRPr="00F17E26" w:rsidRDefault="00773658" w:rsidP="002A12A1">
      <w:pPr>
        <w:pStyle w:val="SingleTxtG"/>
        <w:ind w:firstLine="567"/>
      </w:pPr>
      <w:r w:rsidRPr="00F17E26">
        <w:t>(f)</w:t>
      </w:r>
      <w:r w:rsidR="00D534BD" w:rsidRPr="00F17E26">
        <w:tab/>
      </w:r>
      <w:r w:rsidRPr="00F17E26">
        <w:t>The Administrator may require that any one or more of the test vehicles be submitted to him, at such places as he may designate, for the purpose of conducting emissions tests. The Administrator may specify that he will conduct such testing at the manufacturer's facility, in which case instrumentation and equipment specified by the Administrator shall be made available by the manufacturer for test operations. Any testing conducted at a manufacturer's facility pursuant to this paragraph shall be scheduled by the manufacturer as promptly as possible.</w:t>
      </w:r>
    </w:p>
    <w:p w14:paraId="24D7DB8A" w14:textId="177121DC" w:rsidR="00773658" w:rsidRPr="00F17E26" w:rsidRDefault="00773658" w:rsidP="002A12A1">
      <w:pPr>
        <w:pStyle w:val="SingleTxtG"/>
        <w:ind w:firstLine="567"/>
      </w:pPr>
      <w:r w:rsidRPr="00F17E26">
        <w:t>(g)</w:t>
      </w:r>
      <w:r w:rsidR="0071128F" w:rsidRPr="00F17E26">
        <w:tab/>
      </w:r>
      <w:r w:rsidRPr="00F17E26">
        <w:t>Whenever the Administrator conducts a test on a test vehicle, the results of that test, unless subsequently invalidated by the Administrator, shall comprise the data for the vehicle at that prescribed test point and the manufacturer's data for that prescribed test point shall not be used in determining compliance with emission standards.</w:t>
      </w:r>
    </w:p>
    <w:p w14:paraId="080E157A" w14:textId="1673E74D" w:rsidR="00773658" w:rsidRPr="00F17E26" w:rsidRDefault="002A6B86" w:rsidP="0071128F">
      <w:pPr>
        <w:pStyle w:val="SingleTxtG"/>
        <w:ind w:firstLine="567"/>
      </w:pPr>
      <w:r w:rsidRPr="00F17E26">
        <w:t>(</w:t>
      </w:r>
      <w:r w:rsidR="00773658" w:rsidRPr="00F17E26">
        <w:t>42 FR 1126, Jan. 5, 1977, as amended at 49 FR 48139, Dec. 10, 1984</w:t>
      </w:r>
      <w:r w:rsidRPr="00F17E26">
        <w:t>)</w:t>
      </w:r>
    </w:p>
    <w:p w14:paraId="1F5AA2B8" w14:textId="44B567E7" w:rsidR="00773658" w:rsidRPr="00F17E26" w:rsidRDefault="00504ACC" w:rsidP="00504ACC">
      <w:pPr>
        <w:pStyle w:val="SingleTxtG"/>
        <w:rPr>
          <w:rFonts w:asciiTheme="majorBidi" w:hAnsiTheme="majorBidi" w:cstheme="majorBidi"/>
          <w:lang w:val="en-US"/>
        </w:rPr>
      </w:pPr>
      <w:r w:rsidRPr="00F17E26">
        <w:rPr>
          <w:rFonts w:asciiTheme="majorBidi" w:hAnsiTheme="majorBidi" w:cstheme="majorBidi"/>
        </w:rPr>
        <w:t>5.</w:t>
      </w:r>
      <w:r w:rsidRPr="00F17E26">
        <w:rPr>
          <w:rFonts w:asciiTheme="majorBidi" w:hAnsiTheme="majorBidi" w:cstheme="majorBidi"/>
        </w:rPr>
        <w:tab/>
      </w:r>
      <w:r w:rsidR="00824402" w:rsidRPr="00F17E26">
        <w:rPr>
          <w:rFonts w:asciiTheme="majorBidi" w:hAnsiTheme="majorBidi" w:cstheme="majorBidi"/>
        </w:rPr>
        <w:t xml:space="preserve">Extract from: </w:t>
      </w:r>
      <w:r w:rsidR="006B481A">
        <w:rPr>
          <w:rFonts w:asciiTheme="majorBidi" w:hAnsiTheme="majorBidi" w:cstheme="majorBidi"/>
        </w:rPr>
        <w:t xml:space="preserve">40 CFR </w:t>
      </w:r>
      <w:r w:rsidR="00773658" w:rsidRPr="00F17E26">
        <w:rPr>
          <w:rFonts w:asciiTheme="majorBidi" w:hAnsiTheme="majorBidi" w:cstheme="majorBidi"/>
        </w:rPr>
        <w:t>86.432-78</w:t>
      </w:r>
      <w:r w:rsidR="00ED0D5B" w:rsidRPr="00F17E26">
        <w:rPr>
          <w:rFonts w:asciiTheme="majorBidi" w:hAnsiTheme="majorBidi" w:cstheme="majorBidi"/>
        </w:rPr>
        <w:t xml:space="preserve"> </w:t>
      </w:r>
      <w:r w:rsidR="00773658" w:rsidRPr="00F17E26">
        <w:rPr>
          <w:rFonts w:asciiTheme="majorBidi" w:hAnsiTheme="majorBidi" w:cstheme="majorBidi"/>
        </w:rPr>
        <w:t>Deterioration factor.</w:t>
      </w:r>
    </w:p>
    <w:p w14:paraId="73212590" w14:textId="40E08596" w:rsidR="00773658" w:rsidRPr="00F17E26" w:rsidRDefault="00773658" w:rsidP="002A12A1">
      <w:pPr>
        <w:pStyle w:val="SingleTxtG"/>
        <w:ind w:firstLine="567"/>
      </w:pPr>
      <w:r w:rsidRPr="00F17E26">
        <w:t>(a)</w:t>
      </w:r>
      <w:r w:rsidR="00504ACC" w:rsidRPr="00F17E26">
        <w:tab/>
      </w:r>
      <w:r w:rsidRPr="00F17E26">
        <w:t>Deterioration factors shall be developed for each test vehicle from the emission test results. A separate factor shall be developed for each pollutant. The applicable data to be used in calculating these factors are:</w:t>
      </w:r>
    </w:p>
    <w:p w14:paraId="59AAF268" w14:textId="703C1514" w:rsidR="00773658" w:rsidRPr="00F17E26" w:rsidRDefault="00773658" w:rsidP="002A12A1">
      <w:pPr>
        <w:pStyle w:val="SingleTxtG"/>
        <w:ind w:left="1701"/>
      </w:pPr>
      <w:r w:rsidRPr="00F17E26">
        <w:t>(</w:t>
      </w:r>
      <w:r w:rsidR="00504ACC" w:rsidRPr="00F17E26">
        <w:t>i</w:t>
      </w:r>
      <w:r w:rsidRPr="00F17E26">
        <w:t>)</w:t>
      </w:r>
      <w:r w:rsidR="00504ACC" w:rsidRPr="00F17E26">
        <w:tab/>
      </w:r>
      <w:r w:rsidRPr="00F17E26">
        <w:t>The results from all valid tests conducted by the manufacturer or Administrator at scheduled test intervals.</w:t>
      </w:r>
    </w:p>
    <w:p w14:paraId="0E226B9B" w14:textId="699D2C44" w:rsidR="00773658" w:rsidRPr="00F17E26" w:rsidRDefault="00773658" w:rsidP="002A12A1">
      <w:pPr>
        <w:pStyle w:val="SingleTxtG"/>
        <w:ind w:left="1701"/>
      </w:pPr>
      <w:r w:rsidRPr="00F17E26">
        <w:t>(</w:t>
      </w:r>
      <w:r w:rsidR="00504ACC" w:rsidRPr="00F17E26">
        <w:t>ii</w:t>
      </w:r>
      <w:r w:rsidRPr="00F17E26">
        <w:t>)</w:t>
      </w:r>
      <w:r w:rsidR="004734B1" w:rsidRPr="00F17E26">
        <w:tab/>
      </w:r>
      <w:r w:rsidRPr="00F17E26">
        <w:t>The results from tests conducted before and after scheduled maintenance unless specifically excluded by the Administrator.</w:t>
      </w:r>
    </w:p>
    <w:p w14:paraId="5986DB65" w14:textId="1B5D431D" w:rsidR="00773658" w:rsidRPr="00F17E26" w:rsidRDefault="00773658" w:rsidP="002A12A1">
      <w:pPr>
        <w:pStyle w:val="SingleTxtG"/>
        <w:ind w:left="1701"/>
      </w:pPr>
      <w:r w:rsidRPr="00F17E26">
        <w:t>(</w:t>
      </w:r>
      <w:r w:rsidR="004734B1" w:rsidRPr="00F17E26">
        <w:t>iii</w:t>
      </w:r>
      <w:r w:rsidRPr="00F17E26">
        <w:t>)</w:t>
      </w:r>
      <w:r w:rsidR="004734B1" w:rsidRPr="00F17E26">
        <w:tab/>
      </w:r>
      <w:r w:rsidRPr="00F17E26">
        <w:t>The results from tests conducted before and after unscheduled maintenance, if approval of the maintenance by the Administrator was conditioned on the data being used in the deterioration factor calculation.</w:t>
      </w:r>
    </w:p>
    <w:p w14:paraId="259B937A" w14:textId="4C835294" w:rsidR="00773658" w:rsidRPr="00F17E26" w:rsidRDefault="00773658" w:rsidP="002A12A1">
      <w:pPr>
        <w:pStyle w:val="SingleTxtG"/>
        <w:ind w:firstLine="567"/>
      </w:pPr>
      <w:r w:rsidRPr="00F17E26">
        <w:t>(b)</w:t>
      </w:r>
      <w:r w:rsidR="004734B1" w:rsidRPr="00F17E26">
        <w:tab/>
      </w:r>
      <w:r w:rsidRPr="00F17E26">
        <w:t>Emission results which are less than 0.10 g/km shall be considered to be 0.10 g/km for purposes of this section.</w:t>
      </w:r>
    </w:p>
    <w:p w14:paraId="5C75645E" w14:textId="60A0C10E" w:rsidR="00773658" w:rsidRPr="00F17E26" w:rsidRDefault="00773658" w:rsidP="002A12A1">
      <w:pPr>
        <w:pStyle w:val="SingleTxtG"/>
        <w:ind w:firstLine="567"/>
      </w:pPr>
      <w:r w:rsidRPr="00F17E26">
        <w:t>(c)</w:t>
      </w:r>
      <w:r w:rsidR="004734B1" w:rsidRPr="00F17E26">
        <w:tab/>
      </w:r>
      <w:r w:rsidRPr="00F17E26">
        <w:t>Test results for each pollutant shall be plotted as a function of the service accumulated at the start of the emission test, rounded to the nearest kilometre. These results shall be correlated to a straight line, fit by the method of least squares.</w:t>
      </w:r>
    </w:p>
    <w:p w14:paraId="1E985B11" w14:textId="33E86124" w:rsidR="00773658" w:rsidRPr="00F17E26" w:rsidRDefault="00773658" w:rsidP="002A12A1">
      <w:pPr>
        <w:pStyle w:val="SingleTxtG"/>
        <w:ind w:firstLine="567"/>
      </w:pPr>
      <w:r w:rsidRPr="00F17E26">
        <w:t>(d)</w:t>
      </w:r>
      <w:r w:rsidR="004734B1" w:rsidRPr="00F17E26">
        <w:tab/>
      </w:r>
      <w:r w:rsidRPr="00F17E26">
        <w:t>An exhaust emission deterioration factor will be calculated by dividing the predicted emissions at the useful life distance by the predicted emissions at the total test distance. Predicted emissions are obtained from the correlation developed in paragraph (c) of this section.</w:t>
      </w:r>
    </w:p>
    <w:p w14:paraId="55EA6AC0" w14:textId="77777777" w:rsidR="00773658" w:rsidRPr="00F17E26" w:rsidRDefault="00773658" w:rsidP="004A5AFB">
      <w:pPr>
        <w:pStyle w:val="SingleTxtG"/>
        <w:ind w:firstLine="567"/>
      </w:pPr>
      <w:r w:rsidRPr="00F17E26">
        <w:t>Factor = Predicted total distance emissions ÷ Predicted total test distance emissions.</w:t>
      </w:r>
    </w:p>
    <w:p w14:paraId="1D0E1DD8" w14:textId="77777777" w:rsidR="00773658" w:rsidRPr="00F17E26" w:rsidRDefault="00773658" w:rsidP="002A12A1">
      <w:pPr>
        <w:pStyle w:val="SingleTxtG"/>
        <w:ind w:firstLine="567"/>
      </w:pPr>
      <w:r w:rsidRPr="00F17E26">
        <w:t>These interpolated and extrapolated values shall be carried out to four places to the right of the decimal point before dividing one by the other to determine the deterioration factor. The results shall be rounded to three places to the right of the decimal point.</w:t>
      </w:r>
    </w:p>
    <w:p w14:paraId="419BB5FE" w14:textId="54132F31" w:rsidR="00773658" w:rsidRPr="00F17E26" w:rsidRDefault="00773658" w:rsidP="004A5AFB">
      <w:pPr>
        <w:pStyle w:val="SingleTxtG"/>
        <w:ind w:firstLine="567"/>
      </w:pPr>
      <w:r w:rsidRPr="00F17E26">
        <w:t>(e)</w:t>
      </w:r>
      <w:r w:rsidR="004734B1" w:rsidRPr="00F17E26">
        <w:tab/>
      </w:r>
      <w:r w:rsidRPr="00F17E26">
        <w:t>Deterioration factors computed to be less than 1.000 shall be 1.000.</w:t>
      </w:r>
    </w:p>
    <w:p w14:paraId="0DA1B8E7" w14:textId="2BE4DF37" w:rsidR="00773658" w:rsidRPr="00F17E26" w:rsidRDefault="00773658" w:rsidP="002A12A1">
      <w:pPr>
        <w:pStyle w:val="SingleTxtG"/>
        <w:ind w:firstLine="567"/>
      </w:pPr>
      <w:r w:rsidRPr="00F17E26">
        <w:t>(f)</w:t>
      </w:r>
      <w:r w:rsidR="004734B1" w:rsidRPr="00F17E26">
        <w:tab/>
      </w:r>
      <w:r w:rsidRPr="00F17E26">
        <w:t>(</w:t>
      </w:r>
      <w:r w:rsidR="004734B1" w:rsidRPr="00F17E26">
        <w:t>i</w:t>
      </w:r>
      <w:r w:rsidRPr="00F17E26">
        <w:t>)</w:t>
      </w:r>
      <w:r w:rsidR="004734B1" w:rsidRPr="00F17E26">
        <w:tab/>
      </w:r>
      <w:r w:rsidRPr="00F17E26">
        <w:t>The manufacturer has the option of applying an outlier test point procedure to completed durability data within its certification testing program for a given model year.</w:t>
      </w:r>
    </w:p>
    <w:p w14:paraId="103F316A" w14:textId="209101F4" w:rsidR="00773658" w:rsidRPr="00F17E26" w:rsidRDefault="00773658" w:rsidP="002A12A1">
      <w:pPr>
        <w:pStyle w:val="SingleTxtG"/>
        <w:ind w:left="1701"/>
      </w:pPr>
      <w:r w:rsidRPr="00F17E26">
        <w:lastRenderedPageBreak/>
        <w:t>(</w:t>
      </w:r>
      <w:r w:rsidR="004734B1" w:rsidRPr="00F17E26">
        <w:t>ii</w:t>
      </w:r>
      <w:r w:rsidRPr="00F17E26">
        <w:t>)</w:t>
      </w:r>
      <w:r w:rsidR="004734B1" w:rsidRPr="00F17E26">
        <w:tab/>
      </w:r>
      <w:r w:rsidRPr="00F17E26">
        <w:t>The outlier procedure will be specified by the Administrator.</w:t>
      </w:r>
    </w:p>
    <w:p w14:paraId="63576B86" w14:textId="273BE43D" w:rsidR="00773658" w:rsidRPr="00F17E26" w:rsidRDefault="00773658" w:rsidP="002A12A1">
      <w:pPr>
        <w:pStyle w:val="SingleTxtG"/>
        <w:ind w:left="1701"/>
      </w:pPr>
      <w:r w:rsidRPr="00F17E26">
        <w:t>(</w:t>
      </w:r>
      <w:r w:rsidR="004734B1" w:rsidRPr="00F17E26">
        <w:t>iii</w:t>
      </w:r>
      <w:r w:rsidRPr="00F17E26">
        <w:t>)</w:t>
      </w:r>
      <w:r w:rsidR="004734B1" w:rsidRPr="00F17E26">
        <w:tab/>
      </w:r>
      <w:r w:rsidRPr="00F17E26">
        <w:t>For any pollutant, durability-data test points that are identified as outliers shall not be included in the determination of deterioration factors if the manufacturer has elected this option.</w:t>
      </w:r>
    </w:p>
    <w:p w14:paraId="2BC4E07A" w14:textId="0A19732F" w:rsidR="00773658" w:rsidRPr="00F17E26" w:rsidRDefault="00773658" w:rsidP="002A12A1">
      <w:pPr>
        <w:pStyle w:val="SingleTxtG"/>
        <w:ind w:left="1701"/>
      </w:pPr>
      <w:r w:rsidRPr="00F17E26">
        <w:t>(</w:t>
      </w:r>
      <w:r w:rsidR="004734B1" w:rsidRPr="00F17E26">
        <w:t>iv</w:t>
      </w:r>
      <w:r w:rsidRPr="00F17E26">
        <w:t>)</w:t>
      </w:r>
      <w:r w:rsidR="004734B1" w:rsidRPr="00F17E26">
        <w:tab/>
      </w:r>
      <w:r w:rsidRPr="00F17E26">
        <w:t>The manufacturer shall specify to the Administrator, before the certification of the first engine family for that model year, if it intends to use the outlier procedure.</w:t>
      </w:r>
    </w:p>
    <w:p w14:paraId="3AE47845" w14:textId="76C86589" w:rsidR="00773658" w:rsidRPr="00F17E26" w:rsidRDefault="00773658" w:rsidP="002A12A1">
      <w:pPr>
        <w:pStyle w:val="SingleTxtG"/>
        <w:ind w:left="1701"/>
      </w:pPr>
      <w:r w:rsidRPr="00F17E26">
        <w:t>(</w:t>
      </w:r>
      <w:r w:rsidR="00A95403" w:rsidRPr="00F17E26">
        <w:t>v</w:t>
      </w:r>
      <w:r w:rsidRPr="00F17E26">
        <w:t>)</w:t>
      </w:r>
      <w:r w:rsidR="00A95403" w:rsidRPr="00F17E26">
        <w:tab/>
      </w:r>
      <w:r w:rsidRPr="00F17E26">
        <w:t>The manufacturer may not change procedures after the first engine family of the model year is certified.</w:t>
      </w:r>
    </w:p>
    <w:p w14:paraId="69E6C1A3" w14:textId="067B1483" w:rsidR="00773658" w:rsidRPr="00F17E26" w:rsidRDefault="00773658" w:rsidP="002A12A1">
      <w:pPr>
        <w:pStyle w:val="SingleTxtG"/>
        <w:ind w:left="1701"/>
      </w:pPr>
      <w:r w:rsidRPr="00F17E26">
        <w:t>(</w:t>
      </w:r>
      <w:r w:rsidR="00A95403" w:rsidRPr="00F17E26">
        <w:t>vi</w:t>
      </w:r>
      <w:r w:rsidRPr="00F17E26">
        <w:t>) Where the manufacturer chooses to apply the outlier procedure to a data set containing data which were averaged under §86.427-78(e), the outlier procedure shall be completed before averaging the data.</w:t>
      </w:r>
    </w:p>
    <w:p w14:paraId="549F6A7F" w14:textId="59DC49E1" w:rsidR="00773658" w:rsidRPr="00F17E26" w:rsidRDefault="002228EA" w:rsidP="002350FB">
      <w:pPr>
        <w:pStyle w:val="SingleTxtG"/>
        <w:ind w:left="1701"/>
      </w:pPr>
      <w:r w:rsidRPr="00F17E26">
        <w:t>(</w:t>
      </w:r>
      <w:r w:rsidR="00773658" w:rsidRPr="00F17E26">
        <w:t>42 FR 1126, Jan. 5, 1977, as amended at 42 FR 56737, Oct. 28, 1977; 49 FR 48139, Dec. 10, 1984; 81 FR 73979, Oct. 25, 2016</w:t>
      </w:r>
      <w:r w:rsidRPr="00F17E26">
        <w:t>)</w:t>
      </w:r>
    </w:p>
    <w:p w14:paraId="36413D7E" w14:textId="77777777" w:rsidR="00093354" w:rsidRPr="00F17E26" w:rsidRDefault="00093354" w:rsidP="00093354">
      <w:pPr>
        <w:pStyle w:val="HChG"/>
      </w:pPr>
      <w:r w:rsidRPr="00F17E26">
        <w:tab/>
        <w:t>III.</w:t>
      </w:r>
      <w:r w:rsidRPr="00F17E26">
        <w:tab/>
        <w:t>Related documents</w:t>
      </w:r>
    </w:p>
    <w:p w14:paraId="12806289" w14:textId="028EABFB" w:rsidR="00987746" w:rsidRPr="00F17E26" w:rsidRDefault="00EB751F" w:rsidP="002A12A1">
      <w:pPr>
        <w:pStyle w:val="SingleTxtG"/>
      </w:pPr>
      <w:r>
        <w:rPr>
          <w:lang w:eastAsia="ja-JP"/>
        </w:rPr>
        <w:t>6</w:t>
      </w:r>
      <w:r w:rsidR="00093354" w:rsidRPr="00F17E26">
        <w:rPr>
          <w:rFonts w:hint="eastAsia"/>
          <w:lang w:eastAsia="ja-JP"/>
        </w:rPr>
        <w:t>.</w:t>
      </w:r>
      <w:r w:rsidR="00093354" w:rsidRPr="00F17E26">
        <w:rPr>
          <w:rFonts w:hint="eastAsia"/>
          <w:lang w:eastAsia="ja-JP"/>
        </w:rPr>
        <w:tab/>
      </w:r>
      <w:r w:rsidR="00987746" w:rsidRPr="00F17E26">
        <w:t>40 CFR 86.427-78 Emission tests - Code of Federal Regulations (ecfr.io)</w:t>
      </w:r>
    </w:p>
    <w:p w14:paraId="6250DF96" w14:textId="6198CC28" w:rsidR="00987746" w:rsidRPr="00F17E26" w:rsidRDefault="00EB751F" w:rsidP="002A12A1">
      <w:pPr>
        <w:pStyle w:val="SingleTxtG"/>
      </w:pPr>
      <w:r>
        <w:t>7</w:t>
      </w:r>
      <w:r w:rsidR="0000614A" w:rsidRPr="00F17E26">
        <w:t>.</w:t>
      </w:r>
      <w:r w:rsidR="00987746" w:rsidRPr="00F17E26">
        <w:tab/>
        <w:t>40 CFR 86.432-78 Deterioration factor - Code of Federal Regulations (ecfr.io)</w:t>
      </w:r>
    </w:p>
    <w:p w14:paraId="040B7414" w14:textId="627A9C74" w:rsidR="00093354" w:rsidRDefault="00EB751F" w:rsidP="002A12A1">
      <w:pPr>
        <w:pStyle w:val="SingleTxtG"/>
      </w:pPr>
      <w:r>
        <w:t>8</w:t>
      </w:r>
      <w:r w:rsidR="0000614A" w:rsidRPr="00F17E26">
        <w:t>.</w:t>
      </w:r>
      <w:r w:rsidR="00987746" w:rsidRPr="00F17E26">
        <w:tab/>
        <w:t>13 CCR § 1958 § 1958. Exhaust</w:t>
      </w:r>
      <w:r w:rsidR="00987746">
        <w:t xml:space="preserve"> Emission Standards and Test Procedures - Motorcycles and Motorcycle Engines Manufactured on or After January 1, 1978.</w:t>
      </w:r>
    </w:p>
    <w:p w14:paraId="7A5E94CC" w14:textId="77777777" w:rsidR="006B3551" w:rsidRPr="00EE5A92" w:rsidRDefault="006B3551" w:rsidP="006B3551">
      <w:pPr>
        <w:spacing w:before="240"/>
        <w:jc w:val="center"/>
        <w:rPr>
          <w:u w:val="single"/>
        </w:rPr>
      </w:pPr>
      <w:r>
        <w:rPr>
          <w:u w:val="single"/>
        </w:rPr>
        <w:tab/>
      </w:r>
      <w:r>
        <w:rPr>
          <w:u w:val="single"/>
        </w:rPr>
        <w:tab/>
      </w:r>
      <w:r>
        <w:rPr>
          <w:u w:val="single"/>
        </w:rPr>
        <w:tab/>
      </w:r>
    </w:p>
    <w:sectPr w:rsidR="006B3551" w:rsidRPr="00EE5A92" w:rsidSect="006B3551">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8EE9" w14:textId="77777777" w:rsidR="00EC4542" w:rsidRDefault="00EC4542"/>
  </w:endnote>
  <w:endnote w:type="continuationSeparator" w:id="0">
    <w:p w14:paraId="2E5F3DE9" w14:textId="77777777" w:rsidR="00EC4542" w:rsidRDefault="00EC4542"/>
  </w:endnote>
  <w:endnote w:type="continuationNotice" w:id="1">
    <w:p w14:paraId="4B45438B" w14:textId="77777777" w:rsidR="00EC4542" w:rsidRDefault="00EC4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83FB" w14:textId="0F9511F3" w:rsidR="000800E0" w:rsidRDefault="000800E0" w:rsidP="000800E0">
    <w:pPr>
      <w:pStyle w:val="Footer"/>
    </w:pPr>
    <w:r w:rsidRPr="0027112F">
      <w:rPr>
        <w:noProof/>
        <w:lang w:val="en-US"/>
      </w:rPr>
      <w:drawing>
        <wp:anchor distT="0" distB="0" distL="114300" distR="114300" simplePos="0" relativeHeight="251659264" behindDoc="0" locked="1" layoutInCell="1" allowOverlap="1" wp14:anchorId="7D70F439" wp14:editId="71561CA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DE5970" w14:textId="0F62D9D3" w:rsidR="000800E0" w:rsidRPr="000800E0" w:rsidRDefault="000800E0" w:rsidP="000800E0">
    <w:pPr>
      <w:pStyle w:val="Footer"/>
      <w:ind w:right="1134"/>
      <w:rPr>
        <w:sz w:val="20"/>
      </w:rPr>
    </w:pPr>
    <w:r>
      <w:rPr>
        <w:sz w:val="20"/>
      </w:rPr>
      <w:t>GE.22-00621(E)</w:t>
    </w:r>
    <w:r>
      <w:rPr>
        <w:noProof/>
        <w:sz w:val="20"/>
      </w:rPr>
      <w:drawing>
        <wp:anchor distT="0" distB="0" distL="114300" distR="114300" simplePos="0" relativeHeight="251660288" behindDoc="0" locked="0" layoutInCell="1" allowOverlap="1" wp14:anchorId="1F5F05B6" wp14:editId="386E1022">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E6A35" w14:textId="77777777" w:rsidR="00EC4542" w:rsidRPr="000B175B" w:rsidRDefault="00EC4542" w:rsidP="000B175B">
      <w:pPr>
        <w:tabs>
          <w:tab w:val="right" w:pos="2155"/>
        </w:tabs>
        <w:spacing w:after="80"/>
        <w:ind w:left="680"/>
        <w:rPr>
          <w:u w:val="single"/>
        </w:rPr>
      </w:pPr>
      <w:r>
        <w:rPr>
          <w:u w:val="single"/>
        </w:rPr>
        <w:tab/>
      </w:r>
    </w:p>
  </w:footnote>
  <w:footnote w:type="continuationSeparator" w:id="0">
    <w:p w14:paraId="33541BD6" w14:textId="77777777" w:rsidR="00EC4542" w:rsidRPr="00FC68B7" w:rsidRDefault="00EC4542" w:rsidP="00FC68B7">
      <w:pPr>
        <w:tabs>
          <w:tab w:val="left" w:pos="2155"/>
        </w:tabs>
        <w:spacing w:after="80"/>
        <w:ind w:left="680"/>
        <w:rPr>
          <w:u w:val="single"/>
        </w:rPr>
      </w:pPr>
      <w:r>
        <w:rPr>
          <w:u w:val="single"/>
        </w:rPr>
        <w:tab/>
      </w:r>
    </w:p>
  </w:footnote>
  <w:footnote w:type="continuationNotice" w:id="1">
    <w:p w14:paraId="2B3B46BF" w14:textId="77777777" w:rsidR="00EC4542" w:rsidRDefault="00EC4542"/>
  </w:footnote>
  <w:footnote w:id="2">
    <w:p w14:paraId="1FB27B1D" w14:textId="77777777" w:rsidR="00B33AE9" w:rsidRPr="00DC2C16" w:rsidRDefault="00B33AE9" w:rsidP="00B33AE9">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32721763" w:rsidR="006B3551" w:rsidRPr="006B3551" w:rsidRDefault="00B10B38">
    <w:pPr>
      <w:pStyle w:val="Header"/>
    </w:pPr>
    <w:r>
      <w:t>ECE/TRANS/WP.29/2021/155</w:t>
    </w:r>
    <w:r w:rsidR="00911679">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5DF80422" w:rsidR="006B3551" w:rsidRPr="006B3551" w:rsidRDefault="00B10B38" w:rsidP="006B3551">
    <w:pPr>
      <w:pStyle w:val="Header"/>
      <w:jc w:val="right"/>
    </w:pPr>
    <w:r>
      <w:t>ECE/TRANS/WP.29/2021/155</w:t>
    </w:r>
    <w:r w:rsidR="00911679">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C84CF6"/>
    <w:multiLevelType w:val="hybridMultilevel"/>
    <w:tmpl w:val="09C64632"/>
    <w:lvl w:ilvl="0" w:tplc="4958110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4CAB7C4C"/>
    <w:multiLevelType w:val="hybridMultilevel"/>
    <w:tmpl w:val="28F6AC64"/>
    <w:lvl w:ilvl="0" w:tplc="ABF4548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0"/>
  </w:num>
  <w:num w:numId="19">
    <w:abstractNumId w:val="11"/>
  </w:num>
  <w:num w:numId="20">
    <w:abstractNumId w:val="17"/>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TT" w:vendorID="64" w:dllVersion="0" w:nlCheck="1" w:checkStyle="0"/>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1AFD"/>
    <w:rsid w:val="00002A7D"/>
    <w:rsid w:val="000038A8"/>
    <w:rsid w:val="00005DF3"/>
    <w:rsid w:val="0000614A"/>
    <w:rsid w:val="00006790"/>
    <w:rsid w:val="00012A21"/>
    <w:rsid w:val="000172AB"/>
    <w:rsid w:val="00027624"/>
    <w:rsid w:val="00050F6B"/>
    <w:rsid w:val="00055DF6"/>
    <w:rsid w:val="000678CD"/>
    <w:rsid w:val="00072C8C"/>
    <w:rsid w:val="00077DCD"/>
    <w:rsid w:val="000800E0"/>
    <w:rsid w:val="00081CE0"/>
    <w:rsid w:val="00084D30"/>
    <w:rsid w:val="00090320"/>
    <w:rsid w:val="000931C0"/>
    <w:rsid w:val="00093354"/>
    <w:rsid w:val="00097003"/>
    <w:rsid w:val="000A2E09"/>
    <w:rsid w:val="000B175B"/>
    <w:rsid w:val="000B3A0F"/>
    <w:rsid w:val="000E0415"/>
    <w:rsid w:val="000F7715"/>
    <w:rsid w:val="00140E69"/>
    <w:rsid w:val="00156B99"/>
    <w:rsid w:val="00166124"/>
    <w:rsid w:val="00184DDA"/>
    <w:rsid w:val="001900CD"/>
    <w:rsid w:val="001A0452"/>
    <w:rsid w:val="001B2FC4"/>
    <w:rsid w:val="001B4B04"/>
    <w:rsid w:val="001B5875"/>
    <w:rsid w:val="001C4B9C"/>
    <w:rsid w:val="001C6663"/>
    <w:rsid w:val="001C7895"/>
    <w:rsid w:val="001D26DF"/>
    <w:rsid w:val="001D3CA8"/>
    <w:rsid w:val="001F1599"/>
    <w:rsid w:val="001F19C4"/>
    <w:rsid w:val="001F1F25"/>
    <w:rsid w:val="001F5326"/>
    <w:rsid w:val="002043F0"/>
    <w:rsid w:val="00211E0B"/>
    <w:rsid w:val="002228EA"/>
    <w:rsid w:val="00232575"/>
    <w:rsid w:val="002350FB"/>
    <w:rsid w:val="00247258"/>
    <w:rsid w:val="002519AC"/>
    <w:rsid w:val="00257CAC"/>
    <w:rsid w:val="0027237A"/>
    <w:rsid w:val="00276F8C"/>
    <w:rsid w:val="00280E16"/>
    <w:rsid w:val="00295E04"/>
    <w:rsid w:val="002974E9"/>
    <w:rsid w:val="002A12A1"/>
    <w:rsid w:val="002A306B"/>
    <w:rsid w:val="002A3B73"/>
    <w:rsid w:val="002A6B86"/>
    <w:rsid w:val="002A7F94"/>
    <w:rsid w:val="002B109A"/>
    <w:rsid w:val="002B6BEC"/>
    <w:rsid w:val="002C37F4"/>
    <w:rsid w:val="002C6D45"/>
    <w:rsid w:val="002C7B23"/>
    <w:rsid w:val="002D6E53"/>
    <w:rsid w:val="002F046D"/>
    <w:rsid w:val="002F06C8"/>
    <w:rsid w:val="002F3023"/>
    <w:rsid w:val="0030006F"/>
    <w:rsid w:val="00301764"/>
    <w:rsid w:val="003113CD"/>
    <w:rsid w:val="003229D8"/>
    <w:rsid w:val="0032326A"/>
    <w:rsid w:val="00326598"/>
    <w:rsid w:val="00336C97"/>
    <w:rsid w:val="00337F88"/>
    <w:rsid w:val="00342432"/>
    <w:rsid w:val="0035223F"/>
    <w:rsid w:val="00352D4B"/>
    <w:rsid w:val="003541AE"/>
    <w:rsid w:val="0035638C"/>
    <w:rsid w:val="003A46BB"/>
    <w:rsid w:val="003A4EC7"/>
    <w:rsid w:val="003A7295"/>
    <w:rsid w:val="003B1F60"/>
    <w:rsid w:val="003C2CC4"/>
    <w:rsid w:val="003D4B23"/>
    <w:rsid w:val="003D6A18"/>
    <w:rsid w:val="003D7E49"/>
    <w:rsid w:val="003E0C2F"/>
    <w:rsid w:val="003E278A"/>
    <w:rsid w:val="003F5918"/>
    <w:rsid w:val="00413520"/>
    <w:rsid w:val="004325CB"/>
    <w:rsid w:val="00435DA6"/>
    <w:rsid w:val="00440A07"/>
    <w:rsid w:val="00447916"/>
    <w:rsid w:val="00453806"/>
    <w:rsid w:val="00462880"/>
    <w:rsid w:val="00463078"/>
    <w:rsid w:val="004734B1"/>
    <w:rsid w:val="00476F24"/>
    <w:rsid w:val="004860F7"/>
    <w:rsid w:val="004A5AFB"/>
    <w:rsid w:val="004A5D33"/>
    <w:rsid w:val="004C55B0"/>
    <w:rsid w:val="004C6E45"/>
    <w:rsid w:val="004E24AE"/>
    <w:rsid w:val="004F1B21"/>
    <w:rsid w:val="004F6BA0"/>
    <w:rsid w:val="00503BEA"/>
    <w:rsid w:val="00504ACC"/>
    <w:rsid w:val="00514589"/>
    <w:rsid w:val="00520BA2"/>
    <w:rsid w:val="00533616"/>
    <w:rsid w:val="00535ABA"/>
    <w:rsid w:val="0053768B"/>
    <w:rsid w:val="005420F2"/>
    <w:rsid w:val="0054285C"/>
    <w:rsid w:val="00567243"/>
    <w:rsid w:val="005748F7"/>
    <w:rsid w:val="00581FC8"/>
    <w:rsid w:val="00584173"/>
    <w:rsid w:val="00595520"/>
    <w:rsid w:val="005A1E47"/>
    <w:rsid w:val="005A44B9"/>
    <w:rsid w:val="005B1BA0"/>
    <w:rsid w:val="005B3DB3"/>
    <w:rsid w:val="005C0268"/>
    <w:rsid w:val="005C506D"/>
    <w:rsid w:val="005C7DD7"/>
    <w:rsid w:val="005D15CA"/>
    <w:rsid w:val="005F08DF"/>
    <w:rsid w:val="005F3066"/>
    <w:rsid w:val="005F3E61"/>
    <w:rsid w:val="00604DDD"/>
    <w:rsid w:val="006115CC"/>
    <w:rsid w:val="00611FC4"/>
    <w:rsid w:val="006176FB"/>
    <w:rsid w:val="00620810"/>
    <w:rsid w:val="00624226"/>
    <w:rsid w:val="00626CA7"/>
    <w:rsid w:val="00627A43"/>
    <w:rsid w:val="00630FCB"/>
    <w:rsid w:val="00635046"/>
    <w:rsid w:val="00640B26"/>
    <w:rsid w:val="0065766B"/>
    <w:rsid w:val="006770B2"/>
    <w:rsid w:val="00686A48"/>
    <w:rsid w:val="0068763C"/>
    <w:rsid w:val="006940E1"/>
    <w:rsid w:val="006A3C72"/>
    <w:rsid w:val="006A7392"/>
    <w:rsid w:val="006B03A1"/>
    <w:rsid w:val="006B0E2C"/>
    <w:rsid w:val="006B3551"/>
    <w:rsid w:val="006B481A"/>
    <w:rsid w:val="006B67D9"/>
    <w:rsid w:val="006C2A30"/>
    <w:rsid w:val="006C5535"/>
    <w:rsid w:val="006D0589"/>
    <w:rsid w:val="006E182C"/>
    <w:rsid w:val="006E564B"/>
    <w:rsid w:val="006E7154"/>
    <w:rsid w:val="006F47A7"/>
    <w:rsid w:val="007003CD"/>
    <w:rsid w:val="007014C2"/>
    <w:rsid w:val="0070701E"/>
    <w:rsid w:val="0071128F"/>
    <w:rsid w:val="0071349B"/>
    <w:rsid w:val="0072632A"/>
    <w:rsid w:val="007358E8"/>
    <w:rsid w:val="00736ECE"/>
    <w:rsid w:val="0074533B"/>
    <w:rsid w:val="007643BC"/>
    <w:rsid w:val="00771366"/>
    <w:rsid w:val="00773658"/>
    <w:rsid w:val="00780C68"/>
    <w:rsid w:val="007959FE"/>
    <w:rsid w:val="007A0291"/>
    <w:rsid w:val="007A0631"/>
    <w:rsid w:val="007A0CF1"/>
    <w:rsid w:val="007B6BA5"/>
    <w:rsid w:val="007C3390"/>
    <w:rsid w:val="007C3E37"/>
    <w:rsid w:val="007C42D8"/>
    <w:rsid w:val="007C4F4B"/>
    <w:rsid w:val="007D37EE"/>
    <w:rsid w:val="007D3C81"/>
    <w:rsid w:val="007D6F65"/>
    <w:rsid w:val="007D7362"/>
    <w:rsid w:val="007E56D1"/>
    <w:rsid w:val="007F5CE2"/>
    <w:rsid w:val="007F6611"/>
    <w:rsid w:val="00802734"/>
    <w:rsid w:val="00810BAC"/>
    <w:rsid w:val="00812604"/>
    <w:rsid w:val="0081601A"/>
    <w:rsid w:val="008175E9"/>
    <w:rsid w:val="008242D7"/>
    <w:rsid w:val="00824402"/>
    <w:rsid w:val="0082577B"/>
    <w:rsid w:val="00825CB5"/>
    <w:rsid w:val="00866893"/>
    <w:rsid w:val="00866F02"/>
    <w:rsid w:val="00867D18"/>
    <w:rsid w:val="00871F9A"/>
    <w:rsid w:val="00871FD5"/>
    <w:rsid w:val="0088102C"/>
    <w:rsid w:val="0088172E"/>
    <w:rsid w:val="00881EFA"/>
    <w:rsid w:val="00886F57"/>
    <w:rsid w:val="008879CB"/>
    <w:rsid w:val="008979B1"/>
    <w:rsid w:val="008A6B25"/>
    <w:rsid w:val="008A6C4F"/>
    <w:rsid w:val="008B2F3F"/>
    <w:rsid w:val="008B389E"/>
    <w:rsid w:val="008C4DD1"/>
    <w:rsid w:val="008D045E"/>
    <w:rsid w:val="008D3F25"/>
    <w:rsid w:val="008D4D82"/>
    <w:rsid w:val="008E0E46"/>
    <w:rsid w:val="008E6FD5"/>
    <w:rsid w:val="008E7116"/>
    <w:rsid w:val="008F143B"/>
    <w:rsid w:val="008F3882"/>
    <w:rsid w:val="008F4B7C"/>
    <w:rsid w:val="00911679"/>
    <w:rsid w:val="00926E47"/>
    <w:rsid w:val="00947162"/>
    <w:rsid w:val="00952833"/>
    <w:rsid w:val="009610D0"/>
    <w:rsid w:val="0096375C"/>
    <w:rsid w:val="009662E6"/>
    <w:rsid w:val="0097095E"/>
    <w:rsid w:val="00975187"/>
    <w:rsid w:val="0098592B"/>
    <w:rsid w:val="00985FC4"/>
    <w:rsid w:val="00987746"/>
    <w:rsid w:val="00990766"/>
    <w:rsid w:val="00991261"/>
    <w:rsid w:val="00993387"/>
    <w:rsid w:val="00993B76"/>
    <w:rsid w:val="009964C4"/>
    <w:rsid w:val="009A3B16"/>
    <w:rsid w:val="009A3B8F"/>
    <w:rsid w:val="009A7B81"/>
    <w:rsid w:val="009B7EB7"/>
    <w:rsid w:val="009D01C0"/>
    <w:rsid w:val="009D6A08"/>
    <w:rsid w:val="009E0A16"/>
    <w:rsid w:val="009E6CB7"/>
    <w:rsid w:val="009E7970"/>
    <w:rsid w:val="009F294A"/>
    <w:rsid w:val="009F2EAC"/>
    <w:rsid w:val="009F57E3"/>
    <w:rsid w:val="00A0508D"/>
    <w:rsid w:val="00A10F4F"/>
    <w:rsid w:val="00A11067"/>
    <w:rsid w:val="00A1704A"/>
    <w:rsid w:val="00A36AC2"/>
    <w:rsid w:val="00A425EB"/>
    <w:rsid w:val="00A455E2"/>
    <w:rsid w:val="00A72F22"/>
    <w:rsid w:val="00A733BC"/>
    <w:rsid w:val="00A748A6"/>
    <w:rsid w:val="00A75F91"/>
    <w:rsid w:val="00A76A69"/>
    <w:rsid w:val="00A829EF"/>
    <w:rsid w:val="00A879A4"/>
    <w:rsid w:val="00A95403"/>
    <w:rsid w:val="00AA0FF8"/>
    <w:rsid w:val="00AA46D6"/>
    <w:rsid w:val="00AA6922"/>
    <w:rsid w:val="00AB1459"/>
    <w:rsid w:val="00AC0F2C"/>
    <w:rsid w:val="00AC502A"/>
    <w:rsid w:val="00AE1E26"/>
    <w:rsid w:val="00AE6876"/>
    <w:rsid w:val="00AF58C1"/>
    <w:rsid w:val="00B04A3F"/>
    <w:rsid w:val="00B06643"/>
    <w:rsid w:val="00B10B38"/>
    <w:rsid w:val="00B14F8E"/>
    <w:rsid w:val="00B15055"/>
    <w:rsid w:val="00B20551"/>
    <w:rsid w:val="00B23E82"/>
    <w:rsid w:val="00B26202"/>
    <w:rsid w:val="00B30179"/>
    <w:rsid w:val="00B31E0B"/>
    <w:rsid w:val="00B33AE9"/>
    <w:rsid w:val="00B33FC7"/>
    <w:rsid w:val="00B37B15"/>
    <w:rsid w:val="00B4162A"/>
    <w:rsid w:val="00B42512"/>
    <w:rsid w:val="00B45C02"/>
    <w:rsid w:val="00B525DD"/>
    <w:rsid w:val="00B70B63"/>
    <w:rsid w:val="00B72A1E"/>
    <w:rsid w:val="00B7635F"/>
    <w:rsid w:val="00B81E12"/>
    <w:rsid w:val="00BA339B"/>
    <w:rsid w:val="00BB04F3"/>
    <w:rsid w:val="00BB0C69"/>
    <w:rsid w:val="00BB23CC"/>
    <w:rsid w:val="00BC1E7E"/>
    <w:rsid w:val="00BC74E9"/>
    <w:rsid w:val="00BC78E0"/>
    <w:rsid w:val="00BD15CE"/>
    <w:rsid w:val="00BE0DCE"/>
    <w:rsid w:val="00BE36A9"/>
    <w:rsid w:val="00BE5A76"/>
    <w:rsid w:val="00BE618E"/>
    <w:rsid w:val="00BE7BEC"/>
    <w:rsid w:val="00BF0A5A"/>
    <w:rsid w:val="00BF0E63"/>
    <w:rsid w:val="00BF12A3"/>
    <w:rsid w:val="00BF16D7"/>
    <w:rsid w:val="00BF2373"/>
    <w:rsid w:val="00BF279B"/>
    <w:rsid w:val="00C043FD"/>
    <w:rsid w:val="00C044E2"/>
    <w:rsid w:val="00C048CB"/>
    <w:rsid w:val="00C066F3"/>
    <w:rsid w:val="00C463DD"/>
    <w:rsid w:val="00C745C3"/>
    <w:rsid w:val="00C83364"/>
    <w:rsid w:val="00C9019E"/>
    <w:rsid w:val="00C9422C"/>
    <w:rsid w:val="00C978F5"/>
    <w:rsid w:val="00CA24A4"/>
    <w:rsid w:val="00CB2052"/>
    <w:rsid w:val="00CB348D"/>
    <w:rsid w:val="00CC74C9"/>
    <w:rsid w:val="00CD46F5"/>
    <w:rsid w:val="00CE4A8F"/>
    <w:rsid w:val="00CE5B53"/>
    <w:rsid w:val="00CF071D"/>
    <w:rsid w:val="00CF5192"/>
    <w:rsid w:val="00D0123D"/>
    <w:rsid w:val="00D02E0B"/>
    <w:rsid w:val="00D12388"/>
    <w:rsid w:val="00D15B04"/>
    <w:rsid w:val="00D2031B"/>
    <w:rsid w:val="00D25FE2"/>
    <w:rsid w:val="00D37DA9"/>
    <w:rsid w:val="00D406A7"/>
    <w:rsid w:val="00D43252"/>
    <w:rsid w:val="00D44D86"/>
    <w:rsid w:val="00D50B7D"/>
    <w:rsid w:val="00D52012"/>
    <w:rsid w:val="00D534BD"/>
    <w:rsid w:val="00D63B52"/>
    <w:rsid w:val="00D704E5"/>
    <w:rsid w:val="00D72727"/>
    <w:rsid w:val="00D81E26"/>
    <w:rsid w:val="00D86BED"/>
    <w:rsid w:val="00D95291"/>
    <w:rsid w:val="00D97605"/>
    <w:rsid w:val="00D978C6"/>
    <w:rsid w:val="00DA060E"/>
    <w:rsid w:val="00DA0956"/>
    <w:rsid w:val="00DA357F"/>
    <w:rsid w:val="00DA3E12"/>
    <w:rsid w:val="00DA4540"/>
    <w:rsid w:val="00DB6D71"/>
    <w:rsid w:val="00DC18AD"/>
    <w:rsid w:val="00DD7FD4"/>
    <w:rsid w:val="00DF7CAE"/>
    <w:rsid w:val="00E03836"/>
    <w:rsid w:val="00E23C1B"/>
    <w:rsid w:val="00E27D0E"/>
    <w:rsid w:val="00E40D04"/>
    <w:rsid w:val="00E423C0"/>
    <w:rsid w:val="00E55953"/>
    <w:rsid w:val="00E6414C"/>
    <w:rsid w:val="00E7260F"/>
    <w:rsid w:val="00E86173"/>
    <w:rsid w:val="00E8702D"/>
    <w:rsid w:val="00E905F4"/>
    <w:rsid w:val="00E916A9"/>
    <w:rsid w:val="00E916DE"/>
    <w:rsid w:val="00E925AD"/>
    <w:rsid w:val="00E96630"/>
    <w:rsid w:val="00EA307D"/>
    <w:rsid w:val="00EA70E7"/>
    <w:rsid w:val="00EB751F"/>
    <w:rsid w:val="00EC4542"/>
    <w:rsid w:val="00ED0D5B"/>
    <w:rsid w:val="00ED18DC"/>
    <w:rsid w:val="00ED6201"/>
    <w:rsid w:val="00ED7A2A"/>
    <w:rsid w:val="00ED7F04"/>
    <w:rsid w:val="00EE6261"/>
    <w:rsid w:val="00EE73D3"/>
    <w:rsid w:val="00EF1D7F"/>
    <w:rsid w:val="00F0137E"/>
    <w:rsid w:val="00F04E44"/>
    <w:rsid w:val="00F176F5"/>
    <w:rsid w:val="00F17E26"/>
    <w:rsid w:val="00F21786"/>
    <w:rsid w:val="00F246D7"/>
    <w:rsid w:val="00F25D06"/>
    <w:rsid w:val="00F2751E"/>
    <w:rsid w:val="00F31CFF"/>
    <w:rsid w:val="00F31D42"/>
    <w:rsid w:val="00F3742B"/>
    <w:rsid w:val="00F41FDB"/>
    <w:rsid w:val="00F4710C"/>
    <w:rsid w:val="00F50597"/>
    <w:rsid w:val="00F56D63"/>
    <w:rsid w:val="00F609A9"/>
    <w:rsid w:val="00F62123"/>
    <w:rsid w:val="00F80C99"/>
    <w:rsid w:val="00F867EC"/>
    <w:rsid w:val="00F91B2B"/>
    <w:rsid w:val="00F953C1"/>
    <w:rsid w:val="00FB13D2"/>
    <w:rsid w:val="00FB3FDB"/>
    <w:rsid w:val="00FC03CD"/>
    <w:rsid w:val="00FC0646"/>
    <w:rsid w:val="00FC68B7"/>
    <w:rsid w:val="00FC6C49"/>
    <w:rsid w:val="00FE56F8"/>
    <w:rsid w:val="00FE6985"/>
    <w:rsid w:val="00FF2F57"/>
    <w:rsid w:val="00FF607E"/>
    <w:rsid w:val="0805C820"/>
    <w:rsid w:val="0C7C7BB8"/>
    <w:rsid w:val="12C65EE8"/>
    <w:rsid w:val="1839FA80"/>
    <w:rsid w:val="1AE1F703"/>
    <w:rsid w:val="1E9257CA"/>
    <w:rsid w:val="1F2232D6"/>
    <w:rsid w:val="23F5A3F9"/>
    <w:rsid w:val="2CD3D950"/>
    <w:rsid w:val="38D94ECD"/>
    <w:rsid w:val="3E8D449F"/>
    <w:rsid w:val="49D7E4CC"/>
    <w:rsid w:val="4EAB55EF"/>
    <w:rsid w:val="50472650"/>
    <w:rsid w:val="7D6B55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B33AE9"/>
    <w:rPr>
      <w:b/>
      <w:sz w:val="28"/>
      <w:lang w:val="en-GB"/>
    </w:rPr>
  </w:style>
  <w:style w:type="character" w:customStyle="1" w:styleId="H1GChar">
    <w:name w:val="_ H_1_G Char"/>
    <w:link w:val="H1G"/>
    <w:rsid w:val="00B33AE9"/>
    <w:rPr>
      <w:b/>
      <w:sz w:val="24"/>
      <w:lang w:val="en-GB"/>
    </w:rPr>
  </w:style>
  <w:style w:type="character" w:customStyle="1" w:styleId="SingleTxtGChar">
    <w:name w:val="_ Single Txt_G Char"/>
    <w:link w:val="SingleTxtG"/>
    <w:qFormat/>
    <w:rsid w:val="00B33AE9"/>
    <w:rPr>
      <w:lang w:val="en-GB"/>
    </w:rPr>
  </w:style>
  <w:style w:type="character" w:customStyle="1" w:styleId="paraChar">
    <w:name w:val="para Char"/>
    <w:link w:val="para"/>
    <w:locked/>
    <w:rsid w:val="00FC6C49"/>
    <w:rPr>
      <w:lang w:val="en-GB" w:eastAsia="en-US"/>
    </w:rPr>
  </w:style>
  <w:style w:type="paragraph" w:customStyle="1" w:styleId="para">
    <w:name w:val="para"/>
    <w:basedOn w:val="Normal"/>
    <w:link w:val="paraChar"/>
    <w:qFormat/>
    <w:rsid w:val="00FC6C49"/>
    <w:pPr>
      <w:spacing w:after="120"/>
      <w:ind w:left="2268" w:right="1134" w:hanging="1134"/>
      <w:jc w:val="both"/>
    </w:pPr>
    <w:rPr>
      <w:lang w:eastAsia="en-US"/>
    </w:rPr>
  </w:style>
  <w:style w:type="paragraph" w:customStyle="1" w:styleId="Default">
    <w:name w:val="Default"/>
    <w:rsid w:val="00FC6C49"/>
    <w:pPr>
      <w:autoSpaceDE w:val="0"/>
      <w:autoSpaceDN w:val="0"/>
      <w:adjustRightInd w:val="0"/>
    </w:pPr>
    <w:rPr>
      <w:rFonts w:eastAsia="MS Mincho"/>
      <w:color w:val="000000"/>
      <w:sz w:val="24"/>
      <w:szCs w:val="24"/>
      <w:lang w:eastAsia="ja-JP"/>
    </w:rPr>
  </w:style>
  <w:style w:type="paragraph" w:styleId="ListParagraph">
    <w:name w:val="List Paragraph"/>
    <w:basedOn w:val="Normal"/>
    <w:uiPriority w:val="34"/>
    <w:qFormat/>
    <w:rsid w:val="00FC6C49"/>
    <w:pPr>
      <w:suppressAutoHyphens w:val="0"/>
      <w:spacing w:line="240" w:lineRule="auto"/>
      <w:ind w:left="720"/>
      <w:contextualSpacing/>
    </w:pPr>
    <w:rPr>
      <w:rFonts w:ascii="Univers (W1)" w:hAnsi="Univers (W1)"/>
      <w:lang w:eastAsia="en-US"/>
    </w:rPr>
  </w:style>
  <w:style w:type="character" w:styleId="CommentReference">
    <w:name w:val="annotation reference"/>
    <w:basedOn w:val="DefaultParagraphFont"/>
    <w:semiHidden/>
    <w:unhideWhenUsed/>
    <w:rsid w:val="0088102C"/>
    <w:rPr>
      <w:sz w:val="16"/>
      <w:szCs w:val="16"/>
    </w:rPr>
  </w:style>
  <w:style w:type="paragraph" w:styleId="CommentText">
    <w:name w:val="annotation text"/>
    <w:basedOn w:val="Normal"/>
    <w:link w:val="CommentTextChar"/>
    <w:semiHidden/>
    <w:unhideWhenUsed/>
    <w:rsid w:val="0088102C"/>
    <w:pPr>
      <w:spacing w:line="240" w:lineRule="auto"/>
    </w:pPr>
  </w:style>
  <w:style w:type="character" w:customStyle="1" w:styleId="CommentTextChar">
    <w:name w:val="Comment Text Char"/>
    <w:basedOn w:val="DefaultParagraphFont"/>
    <w:link w:val="CommentText"/>
    <w:semiHidden/>
    <w:rsid w:val="0088102C"/>
    <w:rPr>
      <w:lang w:val="en-GB"/>
    </w:rPr>
  </w:style>
  <w:style w:type="paragraph" w:styleId="CommentSubject">
    <w:name w:val="annotation subject"/>
    <w:basedOn w:val="CommentText"/>
    <w:next w:val="CommentText"/>
    <w:link w:val="CommentSubjectChar"/>
    <w:semiHidden/>
    <w:unhideWhenUsed/>
    <w:rsid w:val="0088102C"/>
    <w:rPr>
      <w:b/>
      <w:bCs/>
    </w:rPr>
  </w:style>
  <w:style w:type="character" w:customStyle="1" w:styleId="CommentSubjectChar">
    <w:name w:val="Comment Subject Char"/>
    <w:basedOn w:val="CommentTextChar"/>
    <w:link w:val="CommentSubject"/>
    <w:semiHidden/>
    <w:rsid w:val="0088102C"/>
    <w:rPr>
      <w:b/>
      <w:bCs/>
      <w:lang w:val="en-GB"/>
    </w:rPr>
  </w:style>
  <w:style w:type="paragraph" w:styleId="PlainText">
    <w:name w:val="Plain Text"/>
    <w:basedOn w:val="Normal"/>
    <w:link w:val="PlainTextChar"/>
    <w:uiPriority w:val="99"/>
    <w:semiHidden/>
    <w:rsid w:val="00093354"/>
    <w:rPr>
      <w:rFonts w:eastAsia="MS Mincho" w:cs="Courier New"/>
      <w:lang w:eastAsia="en-US"/>
    </w:rPr>
  </w:style>
  <w:style w:type="character" w:customStyle="1" w:styleId="PlainTextChar">
    <w:name w:val="Plain Text Char"/>
    <w:basedOn w:val="DefaultParagraphFont"/>
    <w:link w:val="PlainText"/>
    <w:uiPriority w:val="99"/>
    <w:semiHidden/>
    <w:rsid w:val="00093354"/>
    <w:rPr>
      <w:rFonts w:eastAsia="MS Mincho" w:cs="Courier New"/>
      <w:lang w:val="en-GB" w:eastAsia="en-US"/>
    </w:rPr>
  </w:style>
  <w:style w:type="paragraph" w:styleId="NormalWeb">
    <w:name w:val="Normal (Web)"/>
    <w:basedOn w:val="Normal"/>
    <w:uiPriority w:val="99"/>
    <w:rsid w:val="00093354"/>
    <w:rPr>
      <w:rFonts w:eastAsia="MS Mincho"/>
      <w:sz w:val="24"/>
      <w:szCs w:val="24"/>
      <w:lang w:eastAsia="en-US"/>
    </w:rPr>
  </w:style>
  <w:style w:type="character" w:styleId="Strong">
    <w:name w:val="Strong"/>
    <w:qFormat/>
    <w:rsid w:val="00093354"/>
    <w:rPr>
      <w:b/>
      <w:bCs/>
    </w:rPr>
  </w:style>
  <w:style w:type="paragraph" w:customStyle="1" w:styleId="ydpcc533e38fp">
    <w:name w:val="ydpcc533e38fp"/>
    <w:basedOn w:val="Normal"/>
    <w:uiPriority w:val="99"/>
    <w:semiHidden/>
    <w:rsid w:val="00773658"/>
    <w:pPr>
      <w:suppressAutoHyphens w:val="0"/>
      <w:spacing w:before="100" w:beforeAutospacing="1" w:after="100" w:afterAutospacing="1" w:line="240" w:lineRule="auto"/>
    </w:pPr>
    <w:rPr>
      <w:rFonts w:ascii="Calibri" w:eastAsiaTheme="minorHAnsi" w:hAnsi="Calibri" w:cs="Calibri"/>
      <w:sz w:val="22"/>
      <w:szCs w:val="22"/>
      <w:lang w:val="en-US" w:eastAsia="en-US"/>
    </w:rPr>
  </w:style>
  <w:style w:type="paragraph" w:customStyle="1" w:styleId="ydpa41ac967cita">
    <w:name w:val="ydpa41ac967cita"/>
    <w:basedOn w:val="Normal"/>
    <w:uiPriority w:val="99"/>
    <w:semiHidden/>
    <w:rsid w:val="00773658"/>
    <w:pPr>
      <w:suppressAutoHyphens w:val="0"/>
      <w:spacing w:before="100" w:beforeAutospacing="1" w:after="100" w:afterAutospacing="1" w:line="240" w:lineRule="auto"/>
    </w:pPr>
    <w:rPr>
      <w:rFonts w:ascii="Calibri" w:eastAsiaTheme="minorHAnsi" w:hAnsi="Calibri" w:cs="Calibri"/>
      <w:sz w:val="22"/>
      <w:szCs w:val="22"/>
      <w:lang w:val="en-US" w:eastAsia="en-US"/>
    </w:rPr>
  </w:style>
  <w:style w:type="paragraph" w:styleId="Revision">
    <w:name w:val="Revision"/>
    <w:hidden/>
    <w:uiPriority w:val="99"/>
    <w:semiHidden/>
    <w:rsid w:val="002B6BE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458E63D1-FAE7-48F0-B012-B86663277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4.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63C22E2-7047-4766-95A8-4CBF03D9D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7585</Characters>
  <Application>Microsoft Office Word</Application>
  <DocSecurity>0</DocSecurity>
  <Lines>160</Lines>
  <Paragraphs>76</Paragraphs>
  <ScaleCrop>false</ScaleCrop>
  <Company>CSD</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ECE/TRANS/WP.29/2021/155/Rev.1</dc:title>
  <dc:subject>2200621</dc:subject>
  <dc:creator>Una Giltsoff</dc:creator>
  <cp:keywords/>
  <dc:description/>
  <cp:lastModifiedBy>Una Giltsoff</cp:lastModifiedBy>
  <cp:revision>2</cp:revision>
  <cp:lastPrinted>2009-02-18T09:36:00Z</cp:lastPrinted>
  <dcterms:created xsi:type="dcterms:W3CDTF">2022-02-14T15:04:00Z</dcterms:created>
  <dcterms:modified xsi:type="dcterms:W3CDTF">2022-02-14T15:04:00Z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