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Economic Commission for Europe</w:t>
      </w:r>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1EC140FA"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8522F9">
        <w:rPr>
          <w:b/>
        </w:rPr>
        <w:t>1</w:t>
      </w:r>
      <w:r w:rsidR="00B632A9">
        <w:rPr>
          <w:b/>
        </w:rPr>
        <w:t>7</w:t>
      </w:r>
      <w:r w:rsidR="00E62258">
        <w:rPr>
          <w:b/>
        </w:rPr>
        <w:t xml:space="preserve"> September</w:t>
      </w:r>
      <w:r w:rsidR="00C30AAC">
        <w:rPr>
          <w:b/>
        </w:rPr>
        <w:t xml:space="preserve"> </w:t>
      </w:r>
      <w:r w:rsidR="00FA3269">
        <w:rPr>
          <w:b/>
        </w:rPr>
        <w:t>20</w:t>
      </w:r>
      <w:r w:rsidR="0073337B">
        <w:rPr>
          <w:b/>
        </w:rPr>
        <w:t>2</w:t>
      </w:r>
      <w:r w:rsidR="00FA3269">
        <w:rPr>
          <w:b/>
        </w:rPr>
        <w:t>1</w:t>
      </w:r>
    </w:p>
    <w:p w14:paraId="102E690D" w14:textId="77777777" w:rsidR="00215A1B" w:rsidRPr="00560572" w:rsidRDefault="00215A1B" w:rsidP="002A5150">
      <w:pPr>
        <w:spacing w:before="120" w:after="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58CE0DD6" w:rsidR="006643C6" w:rsidRDefault="00097793" w:rsidP="00DC584A">
      <w:pPr>
        <w:spacing w:after="0" w:line="240" w:lineRule="atLeast"/>
        <w:rPr>
          <w:b/>
        </w:rPr>
      </w:pPr>
      <w:r w:rsidRPr="00560572">
        <w:t>Geneva</w:t>
      </w:r>
      <w:r w:rsidR="00215A1B" w:rsidRPr="00560572">
        <w:t xml:space="preserve">, </w:t>
      </w:r>
      <w:r w:rsidR="0073337B">
        <w:t>2</w:t>
      </w:r>
      <w:r w:rsidR="00DC584A" w:rsidRPr="00560572">
        <w:t>1</w:t>
      </w:r>
      <w:r w:rsidRPr="00560572">
        <w:t xml:space="preserve"> </w:t>
      </w:r>
      <w:r w:rsidR="007D5759" w:rsidRPr="00560572">
        <w:t xml:space="preserve">September </w:t>
      </w:r>
      <w:r w:rsidR="0073337B">
        <w:t xml:space="preserve">– 1 October </w:t>
      </w:r>
      <w:r w:rsidR="00FA3269">
        <w:t>20</w:t>
      </w:r>
      <w:r w:rsidR="0073337B">
        <w:t>2</w:t>
      </w:r>
      <w:r w:rsidR="00FA3269">
        <w:t>1</w:t>
      </w:r>
      <w:r w:rsidR="00215A1B" w:rsidRPr="00560572">
        <w:br/>
        <w:t xml:space="preserve">Item </w:t>
      </w:r>
      <w:r w:rsidR="00B632A9">
        <w:t>6</w:t>
      </w:r>
      <w:r w:rsidR="00215A1B" w:rsidRPr="00560572">
        <w:t xml:space="preserve"> of the provisional agenda</w:t>
      </w:r>
      <w:r w:rsidR="00AD79E9">
        <w:t>:</w:t>
      </w:r>
      <w:r w:rsidR="00215A1B" w:rsidRPr="00560572">
        <w:br/>
      </w:r>
      <w:r w:rsidR="00B632A9" w:rsidRPr="00B632A9">
        <w:rPr>
          <w:b/>
        </w:rPr>
        <w:t>Interpretation of RID/ADR/ADN</w:t>
      </w:r>
    </w:p>
    <w:p w14:paraId="41265508" w14:textId="124DD54F" w:rsidR="00B632A9" w:rsidRPr="00E70778" w:rsidRDefault="002574B9" w:rsidP="00B632A9">
      <w:pPr>
        <w:pStyle w:val="HChG"/>
        <w:rPr>
          <w:bCs/>
        </w:rPr>
      </w:pPr>
      <w:r w:rsidRPr="00560572">
        <w:tab/>
      </w:r>
      <w:r w:rsidR="00C03A88">
        <w:tab/>
      </w:r>
      <w:r w:rsidR="00B632A9">
        <w:t xml:space="preserve">Clarification on the </w:t>
      </w:r>
      <w:r w:rsidR="00720679">
        <w:t xml:space="preserve">UN </w:t>
      </w:r>
      <w:r w:rsidR="00B632A9">
        <w:t xml:space="preserve">Model Regulations </w:t>
      </w:r>
      <w:r w:rsidR="00A06D30">
        <w:t xml:space="preserve">(and ADR) </w:t>
      </w:r>
      <w:r w:rsidR="00B632A9">
        <w:t>6.2.2.7.5 – placement of cylinder marking groups</w:t>
      </w:r>
    </w:p>
    <w:p w14:paraId="7698D876" w14:textId="3D693A36" w:rsidR="00B632A9" w:rsidRDefault="00B632A9" w:rsidP="00B632A9">
      <w:pPr>
        <w:pStyle w:val="H1G"/>
      </w:pPr>
      <w:r>
        <w:tab/>
      </w:r>
      <w:r>
        <w:tab/>
      </w:r>
      <w:r w:rsidRPr="007C7BC4">
        <w:t xml:space="preserve">Transmitted by </w:t>
      </w:r>
      <w:r>
        <w:t>WLPGA and Liquid Gas Europe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B632A9" w:rsidRPr="007C7BC4" w14:paraId="21D0C20B" w14:textId="77777777" w:rsidTr="0054290F">
        <w:trPr>
          <w:jc w:val="center"/>
        </w:trPr>
        <w:tc>
          <w:tcPr>
            <w:tcW w:w="9082" w:type="dxa"/>
            <w:shd w:val="clear" w:color="auto" w:fill="auto"/>
          </w:tcPr>
          <w:p w14:paraId="60B52EC9" w14:textId="77777777" w:rsidR="00B632A9" w:rsidRPr="003A39EA" w:rsidRDefault="00B632A9" w:rsidP="0054290F">
            <w:pPr>
              <w:spacing w:before="240" w:after="120"/>
              <w:ind w:left="255"/>
              <w:rPr>
                <w:i/>
              </w:rPr>
            </w:pPr>
            <w:r w:rsidRPr="003A39EA">
              <w:rPr>
                <w:i/>
              </w:rPr>
              <w:t>Summary</w:t>
            </w:r>
          </w:p>
        </w:tc>
      </w:tr>
      <w:tr w:rsidR="00B632A9" w:rsidRPr="00585E7B" w14:paraId="7C54279D" w14:textId="77777777" w:rsidTr="0054290F">
        <w:trPr>
          <w:jc w:val="center"/>
        </w:trPr>
        <w:tc>
          <w:tcPr>
            <w:tcW w:w="9082" w:type="dxa"/>
            <w:shd w:val="clear" w:color="auto" w:fill="auto"/>
          </w:tcPr>
          <w:p w14:paraId="60B0DE7C" w14:textId="77777777" w:rsidR="00B632A9" w:rsidRPr="003A39EA" w:rsidRDefault="00B632A9" w:rsidP="0054290F">
            <w:pPr>
              <w:tabs>
                <w:tab w:val="left" w:pos="3260"/>
              </w:tabs>
              <w:spacing w:after="120"/>
              <w:ind w:left="3260" w:right="1134" w:hanging="2126"/>
              <w:jc w:val="both"/>
            </w:pPr>
            <w:r w:rsidRPr="003A39EA">
              <w:rPr>
                <w:b/>
              </w:rPr>
              <w:t xml:space="preserve">Executive summary: </w:t>
            </w:r>
            <w:r w:rsidRPr="003A39EA">
              <w:tab/>
            </w:r>
            <w:r>
              <w:t>6.2.2.7.5 requires that the manufacturing, operational and certification marks shall be placed in three groups and the example shows that the three groups are placed in a single group. However, that is shown as an example and the LPG industry has followed the guidance in ISO13769 and placed the groups of marks in separate locations. Some inspection bodies are following the example shown in 6.2.2.7.5 and are requiring all of the three groups of marks to be placed together, whereas other inspection bodies allow the three groups of marks to be placed in separate locations.</w:t>
            </w:r>
          </w:p>
        </w:tc>
      </w:tr>
      <w:tr w:rsidR="00B632A9" w:rsidRPr="00585E7B" w14:paraId="07C24EBB" w14:textId="77777777" w:rsidTr="0054290F">
        <w:trPr>
          <w:jc w:val="center"/>
        </w:trPr>
        <w:tc>
          <w:tcPr>
            <w:tcW w:w="9082" w:type="dxa"/>
            <w:shd w:val="clear" w:color="auto" w:fill="auto"/>
          </w:tcPr>
          <w:p w14:paraId="3C64F2C5" w14:textId="24201C76" w:rsidR="00B632A9" w:rsidRPr="001A6463" w:rsidRDefault="00B632A9" w:rsidP="00F27A69">
            <w:pPr>
              <w:tabs>
                <w:tab w:val="left" w:pos="3260"/>
              </w:tabs>
              <w:ind w:left="3260" w:right="1134" w:hanging="2126"/>
              <w:rPr>
                <w:lang w:val="en-US"/>
              </w:rPr>
            </w:pPr>
            <w:r w:rsidRPr="003A39EA">
              <w:rPr>
                <w:b/>
              </w:rPr>
              <w:t>Action to be taken:</w:t>
            </w:r>
            <w:r w:rsidRPr="003A39EA">
              <w:rPr>
                <w:b/>
              </w:rPr>
              <w:tab/>
            </w:r>
            <w:r>
              <w:t xml:space="preserve">Revise the wording of 6.2.2.7.5 so </w:t>
            </w:r>
            <w:r w:rsidR="00580362">
              <w:t>to clar</w:t>
            </w:r>
            <w:r>
              <w:t xml:space="preserve"> that the three groups of makings do not need to be placed together.</w:t>
            </w:r>
          </w:p>
        </w:tc>
      </w:tr>
      <w:tr w:rsidR="00B632A9" w:rsidRPr="00585E7B" w14:paraId="3FB155C4" w14:textId="77777777" w:rsidTr="0054290F">
        <w:trPr>
          <w:jc w:val="center"/>
        </w:trPr>
        <w:tc>
          <w:tcPr>
            <w:tcW w:w="9082" w:type="dxa"/>
            <w:shd w:val="clear" w:color="auto" w:fill="auto"/>
          </w:tcPr>
          <w:p w14:paraId="44530345" w14:textId="77777777" w:rsidR="00B632A9" w:rsidRPr="003A39EA" w:rsidRDefault="00B632A9" w:rsidP="0054290F">
            <w:pPr>
              <w:tabs>
                <w:tab w:val="left" w:pos="3260"/>
              </w:tabs>
              <w:ind w:left="3260" w:right="1134" w:hanging="2126"/>
              <w:rPr>
                <w:b/>
                <w:lang w:val="en-US"/>
              </w:rPr>
            </w:pPr>
            <w:r w:rsidRPr="003A39EA">
              <w:rPr>
                <w:b/>
              </w:rPr>
              <w:t>Related documents:</w:t>
            </w:r>
            <w:r w:rsidRPr="003A39EA">
              <w:rPr>
                <w:b/>
              </w:rPr>
              <w:tab/>
            </w:r>
            <w:r>
              <w:t>None.</w:t>
            </w:r>
          </w:p>
        </w:tc>
      </w:tr>
    </w:tbl>
    <w:p w14:paraId="7C010BA0" w14:textId="0BA1DC85" w:rsidR="00580362" w:rsidRPr="007C7BC4" w:rsidRDefault="00084329" w:rsidP="00084329">
      <w:pPr>
        <w:pStyle w:val="HChG"/>
        <w:ind w:firstLine="0"/>
        <w:jc w:val="both"/>
      </w:pPr>
      <w:r>
        <w:t>Introduction</w:t>
      </w:r>
    </w:p>
    <w:p w14:paraId="23B38DB3" w14:textId="540816A1" w:rsidR="00580362" w:rsidRDefault="008160C7" w:rsidP="008160C7">
      <w:pPr>
        <w:pStyle w:val="SingleTxtG"/>
        <w:suppressAutoHyphens/>
        <w:spacing w:line="240" w:lineRule="atLeast"/>
      </w:pPr>
      <w:r>
        <w:t>1.</w:t>
      </w:r>
      <w:r>
        <w:tab/>
      </w:r>
      <w:r w:rsidR="00A9295C">
        <w:t xml:space="preserve">This proposal has been prepared for final submission </w:t>
      </w:r>
      <w:r w:rsidR="00084329">
        <w:t>to</w:t>
      </w:r>
      <w:r w:rsidR="00A9295C">
        <w:t xml:space="preserve"> the ECOSOC Sub-Committee of Experts on the Transport of Dangerous Goods (59th session) of 29 November </w:t>
      </w:r>
      <w:r w:rsidR="00084329">
        <w:t>to</w:t>
      </w:r>
      <w:r w:rsidR="00A9295C">
        <w:t xml:space="preserve"> 8 December 2021. However, as ADR includes the same text and subsequently, following the above meeting decisions, any changes will be transposed later </w:t>
      </w:r>
      <w:r w:rsidR="00084329">
        <w:t>in</w:t>
      </w:r>
      <w:r w:rsidR="00A9295C">
        <w:t>to ADR, it has been considered helpful to hear also the views of the Joint Meeting in advance, and possibly improve/amend the proposal accordingly.</w:t>
      </w:r>
    </w:p>
    <w:p w14:paraId="6F39FE5E" w14:textId="3C83B495" w:rsidR="00B632A9" w:rsidRPr="007C7BC4" w:rsidRDefault="00B632A9" w:rsidP="00B632A9">
      <w:pPr>
        <w:pStyle w:val="HChG"/>
        <w:jc w:val="both"/>
      </w:pPr>
      <w:r>
        <w:rPr>
          <w:lang w:val="en-US"/>
        </w:rPr>
        <w:tab/>
      </w:r>
      <w:r>
        <w:rPr>
          <w:lang w:val="en-US"/>
        </w:rPr>
        <w:tab/>
        <w:t>Background</w:t>
      </w:r>
    </w:p>
    <w:p w14:paraId="1EE0407B" w14:textId="09F49E2C" w:rsidR="00B632A9" w:rsidRDefault="008160C7" w:rsidP="008160C7">
      <w:pPr>
        <w:pStyle w:val="SingleTxtG"/>
        <w:suppressAutoHyphens/>
        <w:spacing w:line="240" w:lineRule="atLeast"/>
      </w:pPr>
      <w:r>
        <w:t>2.</w:t>
      </w:r>
      <w:r>
        <w:tab/>
      </w:r>
      <w:r w:rsidR="00B632A9">
        <w:t>6.2.2.7.5 currently reads as follows</w:t>
      </w:r>
      <w:r w:rsidR="004C561E">
        <w:t>:</w:t>
      </w:r>
    </w:p>
    <w:p w14:paraId="23028215" w14:textId="0B666BA8" w:rsidR="00B632A9" w:rsidRDefault="00084329" w:rsidP="00F27A69">
      <w:pPr>
        <w:pStyle w:val="SingleTxtG"/>
      </w:pPr>
      <w:r>
        <w:t>"</w:t>
      </w:r>
      <w:r w:rsidR="00B632A9">
        <w:t>6.2.2.7.5</w:t>
      </w:r>
      <w:r w:rsidR="00B632A9">
        <w:tab/>
        <w:t>The above marks shall be placed in three groups:</w:t>
      </w:r>
    </w:p>
    <w:p w14:paraId="324537D2" w14:textId="4A6D4108" w:rsidR="00B632A9" w:rsidRPr="00F27A69" w:rsidRDefault="00B632A9" w:rsidP="00F27A69">
      <w:pPr>
        <w:pStyle w:val="SingleTxtG"/>
        <w:ind w:left="2268"/>
      </w:pPr>
      <w:r w:rsidRPr="00F27A69">
        <w:t>-</w:t>
      </w:r>
      <w:r w:rsidRPr="00F27A69">
        <w:tab/>
        <w:t xml:space="preserve">Manufacturing marks shall be the top grouping and shall appear consecutively in the sequence given in 6.2.2.7.4 except for the marks described in 6.2.2.7.4 (q) and </w:t>
      </w:r>
      <w:r w:rsidR="00AE1AB3">
        <w:t>(r)</w:t>
      </w:r>
      <w:r w:rsidRPr="00F27A69">
        <w:t xml:space="preserve"> which shall be adjacent to the periodic inspection and test marks of 6.2.2.7.7.</w:t>
      </w:r>
    </w:p>
    <w:p w14:paraId="247B451D" w14:textId="77777777" w:rsidR="00B632A9" w:rsidRPr="00F27A69" w:rsidRDefault="00B632A9" w:rsidP="00F27A69">
      <w:pPr>
        <w:pStyle w:val="SingleTxtG"/>
        <w:ind w:left="2268"/>
      </w:pPr>
      <w:r w:rsidRPr="00F27A69">
        <w:lastRenderedPageBreak/>
        <w:t>-</w:t>
      </w:r>
      <w:r w:rsidRPr="00F27A69">
        <w:tab/>
        <w:t>The operational marks in 6.2.2.7.3 shall be the middle grouping and the test pressure (f) shall be immediately preceded by the working pressure (i) when the latter required.</w:t>
      </w:r>
    </w:p>
    <w:p w14:paraId="28172A80" w14:textId="77777777" w:rsidR="00B632A9" w:rsidRPr="00F27A69" w:rsidRDefault="00B632A9" w:rsidP="00F27A69">
      <w:pPr>
        <w:pStyle w:val="SingleTxtG"/>
        <w:ind w:left="2268"/>
      </w:pPr>
      <w:r w:rsidRPr="00F27A69">
        <w:t>-</w:t>
      </w:r>
      <w:r w:rsidRPr="00F27A69">
        <w:tab/>
        <w:t>Certification marks shall be in the bottom grouping and shall appear in the sequence given in 6.2.2.7.2.</w:t>
      </w:r>
    </w:p>
    <w:p w14:paraId="1BC6367C" w14:textId="2057DE4C" w:rsidR="00B632A9" w:rsidRDefault="00B632A9" w:rsidP="00B632A9">
      <w:pPr>
        <w:pStyle w:val="SingleTxtG"/>
        <w:ind w:left="0"/>
        <w:jc w:val="right"/>
      </w:pPr>
      <w:r w:rsidRPr="00C62207">
        <w:rPr>
          <w:noProof/>
          <w:lang w:val="de-DE" w:eastAsia="de-DE"/>
        </w:rPr>
        <w:drawing>
          <wp:inline distT="0" distB="0" distL="0" distR="0" wp14:anchorId="58D46D5C" wp14:editId="6874567C">
            <wp:extent cx="4647565" cy="2306818"/>
            <wp:effectExtent l="0" t="0" r="635"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1"/>
                    <a:stretch>
                      <a:fillRect/>
                    </a:stretch>
                  </pic:blipFill>
                  <pic:spPr>
                    <a:xfrm>
                      <a:off x="0" y="0"/>
                      <a:ext cx="4711850" cy="2338726"/>
                    </a:xfrm>
                    <a:prstGeom prst="rect">
                      <a:avLst/>
                    </a:prstGeom>
                  </pic:spPr>
                </pic:pic>
              </a:graphicData>
            </a:graphic>
          </wp:inline>
        </w:drawing>
      </w:r>
      <w:r w:rsidR="00AE1AB3">
        <w:t>"</w:t>
      </w:r>
    </w:p>
    <w:p w14:paraId="1E24FF8D" w14:textId="29A2657D" w:rsidR="00B632A9" w:rsidRPr="00E002CD" w:rsidRDefault="008160C7" w:rsidP="0009193F">
      <w:pPr>
        <w:pStyle w:val="SingleTxtG"/>
      </w:pPr>
      <w:r>
        <w:t>3</w:t>
      </w:r>
      <w:r w:rsidR="0009193F">
        <w:t>.</w:t>
      </w:r>
      <w:r w:rsidR="0009193F">
        <w:tab/>
      </w:r>
      <w:r w:rsidR="00B632A9">
        <w:t>The LPG industry has followed guidance in ISO</w:t>
      </w:r>
      <w:r w:rsidR="00B632A9" w:rsidRPr="0092751C">
        <w:t xml:space="preserve"> </w:t>
      </w:r>
      <w:r w:rsidR="00B632A9">
        <w:t>13769 and separated the three groups of markings</w:t>
      </w:r>
      <w:r w:rsidR="001F7C72">
        <w:t>.</w:t>
      </w:r>
      <w:r w:rsidR="00B632A9">
        <w:t xml:space="preserve"> </w:t>
      </w:r>
      <w:r w:rsidR="001F7C72">
        <w:t xml:space="preserve">Standard </w:t>
      </w:r>
      <w:r w:rsidR="00B632A9" w:rsidRPr="00E002CD">
        <w:t xml:space="preserve">EN 14894 Annex A states </w:t>
      </w:r>
      <w:r w:rsidR="001F7C72">
        <w:t>a</w:t>
      </w:r>
      <w:r w:rsidR="001F7C72" w:rsidRPr="00E002CD">
        <w:t xml:space="preserve">lso </w:t>
      </w:r>
      <w:r w:rsidR="00B632A9" w:rsidRPr="00E002CD">
        <w:t>that the groups can be in a single location or in separate locations.</w:t>
      </w:r>
      <w:r w:rsidR="00B632A9" w:rsidRPr="00DD6DF8">
        <w:t xml:space="preserve"> H</w:t>
      </w:r>
      <w:r w:rsidR="00B632A9">
        <w:t>owever</w:t>
      </w:r>
      <w:r w:rsidR="00B632A9" w:rsidRPr="00DD6DF8">
        <w:t>,</w:t>
      </w:r>
      <w:r w:rsidR="00B632A9">
        <w:t xml:space="preserve"> some inspection bodies have stated that a </w:t>
      </w:r>
      <w:r w:rsidR="00B632A9" w:rsidRPr="00DD6DF8">
        <w:t xml:space="preserve">separation </w:t>
      </w:r>
      <w:r w:rsidR="00B632A9">
        <w:t>of t</w:t>
      </w:r>
      <w:r w:rsidR="00B632A9" w:rsidRPr="00DD6DF8">
        <w:t>he three groups</w:t>
      </w:r>
      <w:r w:rsidR="00B632A9">
        <w:t xml:space="preserve"> is not permitted</w:t>
      </w:r>
      <w:r w:rsidR="00B632A9" w:rsidRPr="00264253">
        <w:t>, whereas other inspection bodies have permitted separation.</w:t>
      </w:r>
    </w:p>
    <w:p w14:paraId="0C6C8929" w14:textId="12224091" w:rsidR="00B632A9" w:rsidRDefault="008160C7" w:rsidP="0009193F">
      <w:pPr>
        <w:pStyle w:val="SingleTxtG"/>
      </w:pPr>
      <w:r>
        <w:t>4</w:t>
      </w:r>
      <w:r w:rsidR="0009193F">
        <w:t>.</w:t>
      </w:r>
      <w:r w:rsidR="0009193F">
        <w:tab/>
      </w:r>
      <w:r w:rsidR="00B632A9" w:rsidRPr="00E002CD">
        <w:t xml:space="preserve">The groups themselves are clearly distinguishable and thus </w:t>
      </w:r>
      <w:r w:rsidR="00B632A9" w:rsidRPr="00264253">
        <w:t>a defined sequence</w:t>
      </w:r>
      <w:r w:rsidR="00B632A9" w:rsidRPr="00E002CD">
        <w:t xml:space="preserve"> on the cylinder </w:t>
      </w:r>
      <w:r w:rsidR="00B632A9" w:rsidRPr="00264253">
        <w:t>is not necessary for understanding and clarity</w:t>
      </w:r>
      <w:r w:rsidR="00B632A9" w:rsidRPr="00E002CD">
        <w:t xml:space="preserve">. </w:t>
      </w:r>
      <w:r w:rsidR="00B632A9" w:rsidRPr="00364027">
        <w:t>Furthermore, s</w:t>
      </w:r>
      <w:r w:rsidR="00B632A9" w:rsidRPr="00E002CD">
        <w:t>ince there are cylinders in different sizes and shapes, it is not always possible to have enough space for all groups to be placed together</w:t>
      </w:r>
      <w:r w:rsidR="00B632A9" w:rsidRPr="00364027">
        <w:t xml:space="preserve"> and still have an easy-to-read size</w:t>
      </w:r>
      <w:r w:rsidR="00B632A9">
        <w:t>.</w:t>
      </w:r>
    </w:p>
    <w:p w14:paraId="3AD6A191" w14:textId="77777777" w:rsidR="00B632A9" w:rsidRPr="00900AF3" w:rsidRDefault="00B632A9" w:rsidP="00B632A9">
      <w:pPr>
        <w:pStyle w:val="HChG"/>
      </w:pPr>
      <w:r>
        <w:tab/>
      </w:r>
      <w:r>
        <w:tab/>
      </w:r>
      <w:r w:rsidRPr="00900AF3">
        <w:t>Action to be taken</w:t>
      </w:r>
    </w:p>
    <w:p w14:paraId="57010FF1" w14:textId="5C5FB98F" w:rsidR="00B632A9" w:rsidRPr="0009193F" w:rsidRDefault="008160C7" w:rsidP="0009193F">
      <w:pPr>
        <w:pStyle w:val="SingleTxtG"/>
      </w:pPr>
      <w:r>
        <w:t>5</w:t>
      </w:r>
      <w:r w:rsidR="0009193F">
        <w:t>.</w:t>
      </w:r>
      <w:r w:rsidR="0009193F">
        <w:tab/>
      </w:r>
      <w:r w:rsidR="00B632A9" w:rsidRPr="0009193F">
        <w:t>Revise the text of 6.2.2.7.5 so that it is clear that the three groups of markings do not need to be placed together.</w:t>
      </w:r>
    </w:p>
    <w:p w14:paraId="5ECD6957" w14:textId="6F2478CC" w:rsidR="00B632A9" w:rsidRPr="0009193F" w:rsidRDefault="008160C7" w:rsidP="0009193F">
      <w:pPr>
        <w:pStyle w:val="SingleTxtG"/>
      </w:pPr>
      <w:r>
        <w:t>6</w:t>
      </w:r>
      <w:r w:rsidR="0009193F">
        <w:t>.</w:t>
      </w:r>
      <w:r w:rsidR="0009193F">
        <w:tab/>
      </w:r>
      <w:r w:rsidR="0082656A">
        <w:t>Amend</w:t>
      </w:r>
      <w:r w:rsidR="0082656A" w:rsidRPr="0009193F">
        <w:t xml:space="preserve"> 6.2.2.7.5 </w:t>
      </w:r>
      <w:r w:rsidR="0082656A">
        <w:t xml:space="preserve">to read as follows </w:t>
      </w:r>
      <w:r w:rsidR="00394CD7">
        <w:t>(new text in bold and underlined, deleted text in strike-through)</w:t>
      </w:r>
      <w:r w:rsidR="00B632A9" w:rsidRPr="0009193F">
        <w:t>:</w:t>
      </w:r>
    </w:p>
    <w:p w14:paraId="094F11D0" w14:textId="3CD032C3" w:rsidR="00B632A9" w:rsidRPr="0009193F" w:rsidRDefault="008160C7" w:rsidP="0009193F">
      <w:pPr>
        <w:pStyle w:val="SingleTxtG"/>
      </w:pPr>
      <w:r>
        <w:t>"</w:t>
      </w:r>
      <w:r w:rsidR="00B632A9" w:rsidRPr="0009193F">
        <w:t>6.2.2.7.5</w:t>
      </w:r>
      <w:r w:rsidR="00B632A9" w:rsidRPr="0009193F">
        <w:tab/>
        <w:t>The above marks shall be placed in three groups:</w:t>
      </w:r>
    </w:p>
    <w:p w14:paraId="396B1EEC" w14:textId="50A1F5BC" w:rsidR="00B632A9" w:rsidRPr="0009193F" w:rsidRDefault="00B632A9" w:rsidP="0082656A">
      <w:pPr>
        <w:pStyle w:val="SingleTxtG"/>
        <w:ind w:left="2835" w:hanging="567"/>
      </w:pPr>
      <w:r w:rsidRPr="0009193F">
        <w:t>-</w:t>
      </w:r>
      <w:r w:rsidRPr="0009193F">
        <w:tab/>
        <w:t>Manufacturing marks shall be</w:t>
      </w:r>
      <w:r w:rsidR="003F609C">
        <w:t xml:space="preserve"> </w:t>
      </w:r>
      <w:r w:rsidR="003F609C" w:rsidRPr="00D65692">
        <w:rPr>
          <w:b/>
          <w:bCs/>
          <w:u w:val="single"/>
        </w:rPr>
        <w:t>in a single</w:t>
      </w:r>
      <w:r w:rsidR="003F609C">
        <w:rPr>
          <w:u w:val="single"/>
        </w:rPr>
        <w:t xml:space="preserve"> </w:t>
      </w:r>
      <w:r w:rsidR="003F609C" w:rsidRPr="00D21A52">
        <w:rPr>
          <w:strike/>
        </w:rPr>
        <w:t>the top</w:t>
      </w:r>
      <w:r w:rsidRPr="0009193F">
        <w:t xml:space="preserve"> grouping and shall appear consecutively in the sequence given in 6.2.2.7.4 except for the marks described in 6.2.2.7.4 (q) and </w:t>
      </w:r>
      <w:r w:rsidR="0082656A">
        <w:t>(r)</w:t>
      </w:r>
      <w:r w:rsidRPr="0009193F">
        <w:t xml:space="preserve"> which shall be adjacent to the periodic inspection and test marks of 6.2.2.7.7.</w:t>
      </w:r>
    </w:p>
    <w:p w14:paraId="5D8E0CB7" w14:textId="14D08FEB" w:rsidR="00B632A9" w:rsidRPr="0009193F" w:rsidRDefault="00B632A9" w:rsidP="0082656A">
      <w:pPr>
        <w:pStyle w:val="SingleTxtG"/>
        <w:ind w:left="2835" w:hanging="567"/>
      </w:pPr>
      <w:r w:rsidRPr="0009193F">
        <w:t>-</w:t>
      </w:r>
      <w:r w:rsidRPr="0009193F">
        <w:tab/>
        <w:t xml:space="preserve">The operational marks in 6.2.2.7.3 shall be </w:t>
      </w:r>
      <w:r w:rsidR="000C3725" w:rsidRPr="00D65692">
        <w:rPr>
          <w:b/>
          <w:bCs/>
          <w:u w:val="single"/>
        </w:rPr>
        <w:t>in a single</w:t>
      </w:r>
      <w:r w:rsidR="000C3725">
        <w:rPr>
          <w:u w:val="single"/>
        </w:rPr>
        <w:t xml:space="preserve"> </w:t>
      </w:r>
      <w:r w:rsidR="000C3725" w:rsidRPr="00773D75">
        <w:rPr>
          <w:strike/>
        </w:rPr>
        <w:t>the middle</w:t>
      </w:r>
      <w:r w:rsidRPr="0009193F">
        <w:t xml:space="preserve"> grouping and the test pressure (f) shall be immediately preceded by the working pressure (i) when the latter required.</w:t>
      </w:r>
    </w:p>
    <w:p w14:paraId="2D8A9F2D" w14:textId="0068755D" w:rsidR="00B632A9" w:rsidRPr="0009193F" w:rsidRDefault="00B632A9" w:rsidP="0082656A">
      <w:pPr>
        <w:pStyle w:val="SingleTxtG"/>
        <w:ind w:left="2835" w:hanging="567"/>
      </w:pPr>
      <w:r w:rsidRPr="0009193F">
        <w:t>-</w:t>
      </w:r>
      <w:r w:rsidRPr="0009193F">
        <w:tab/>
        <w:t xml:space="preserve">Certification marks shall be </w:t>
      </w:r>
      <w:r w:rsidR="00254C0A" w:rsidRPr="00D65692">
        <w:rPr>
          <w:b/>
          <w:bCs/>
          <w:u w:val="single"/>
        </w:rPr>
        <w:t>a single</w:t>
      </w:r>
      <w:r w:rsidR="00254C0A">
        <w:rPr>
          <w:u w:val="single"/>
        </w:rPr>
        <w:t xml:space="preserve"> </w:t>
      </w:r>
      <w:r w:rsidR="00254C0A" w:rsidRPr="00300F9A">
        <w:rPr>
          <w:strike/>
        </w:rPr>
        <w:t>the bottom</w:t>
      </w:r>
      <w:r w:rsidRPr="0009193F">
        <w:t xml:space="preserve"> grouping and shall appear in the sequence given in 6.2.2.7.2.</w:t>
      </w:r>
    </w:p>
    <w:p w14:paraId="1E77D780" w14:textId="77777777" w:rsidR="00740C6B" w:rsidRPr="00D228E5" w:rsidRDefault="00B632A9" w:rsidP="0082656A">
      <w:pPr>
        <w:pStyle w:val="SingleTxtG"/>
        <w:keepNext/>
        <w:keepLines/>
        <w:ind w:left="2268"/>
        <w:rPr>
          <w:b/>
          <w:bCs/>
          <w:u w:val="single"/>
        </w:rPr>
      </w:pPr>
      <w:r w:rsidRPr="0009193F">
        <w:lastRenderedPageBreak/>
        <w:t xml:space="preserve">The following is an example of marking a cylinder, </w:t>
      </w:r>
      <w:r w:rsidR="00740C6B" w:rsidRPr="00D228E5">
        <w:rPr>
          <w:b/>
          <w:bCs/>
          <w:u w:val="single"/>
        </w:rPr>
        <w:t>but the groups may be placed in separate locations.</w:t>
      </w:r>
    </w:p>
    <w:p w14:paraId="1FC34EB0" w14:textId="229F3BBA" w:rsidR="00B632A9" w:rsidRDefault="00B632A9" w:rsidP="0082656A">
      <w:pPr>
        <w:pStyle w:val="SingleTxtG"/>
        <w:keepNext/>
        <w:keepLines/>
        <w:rPr>
          <w:u w:val="single"/>
        </w:rPr>
      </w:pPr>
      <w:r w:rsidRPr="00A516C7">
        <w:rPr>
          <w:noProof/>
          <w:lang w:val="de-DE" w:eastAsia="de-DE"/>
        </w:rPr>
        <w:drawing>
          <wp:inline distT="0" distB="0" distL="0" distR="0" wp14:anchorId="5226BABF" wp14:editId="32D71A36">
            <wp:extent cx="4229099" cy="2133600"/>
            <wp:effectExtent l="0" t="0" r="63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stretch>
                      <a:fillRect/>
                    </a:stretch>
                  </pic:blipFill>
                  <pic:spPr>
                    <a:xfrm>
                      <a:off x="0" y="0"/>
                      <a:ext cx="4275151" cy="2156833"/>
                    </a:xfrm>
                    <a:prstGeom prst="rect">
                      <a:avLst/>
                    </a:prstGeom>
                  </pic:spPr>
                </pic:pic>
              </a:graphicData>
            </a:graphic>
          </wp:inline>
        </w:drawing>
      </w:r>
      <w:r w:rsidR="0082656A" w:rsidRPr="0082656A">
        <w:t>"</w:t>
      </w:r>
    </w:p>
    <w:p w14:paraId="30968B35" w14:textId="77777777" w:rsidR="001F7B42" w:rsidRDefault="001F7B42" w:rsidP="00740C6B">
      <w:pPr>
        <w:pStyle w:val="SingleTxtG"/>
        <w:rPr>
          <w:u w:val="single"/>
        </w:rPr>
      </w:pPr>
    </w:p>
    <w:p w14:paraId="22AE7C26" w14:textId="77777777" w:rsidR="00B632A9" w:rsidRPr="00314CB6" w:rsidRDefault="00B632A9" w:rsidP="00B632A9">
      <w:pPr>
        <w:spacing w:before="240"/>
        <w:jc w:val="center"/>
        <w:rPr>
          <w:u w:val="single"/>
        </w:rPr>
      </w:pPr>
      <w:r>
        <w:rPr>
          <w:u w:val="single"/>
        </w:rPr>
        <w:tab/>
      </w:r>
      <w:r>
        <w:rPr>
          <w:u w:val="single"/>
        </w:rPr>
        <w:tab/>
      </w:r>
    </w:p>
    <w:sectPr w:rsidR="00B632A9" w:rsidRPr="00314CB6" w:rsidSect="00901190">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305EA" w14:textId="77777777" w:rsidR="0041648E" w:rsidRDefault="0041648E"/>
  </w:endnote>
  <w:endnote w:type="continuationSeparator" w:id="0">
    <w:p w14:paraId="52B218E7" w14:textId="77777777" w:rsidR="0041648E" w:rsidRDefault="0041648E"/>
  </w:endnote>
  <w:endnote w:type="continuationNotice" w:id="1">
    <w:p w14:paraId="5934706C" w14:textId="77777777" w:rsidR="0041648E" w:rsidRDefault="00416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E7A7" w14:textId="77777777" w:rsidR="002B16A1" w:rsidRPr="003B3A7E" w:rsidRDefault="002B16A1" w:rsidP="003B3A7E">
    <w:pPr>
      <w:pStyle w:val="Pieddepage"/>
    </w:pPr>
    <w:r>
      <w:rPr>
        <w:rStyle w:val="Numrodepage"/>
      </w:rPr>
      <w:fldChar w:fldCharType="begin"/>
    </w:r>
    <w:r>
      <w:rPr>
        <w:rStyle w:val="Numrodepage"/>
      </w:rPr>
      <w:instrText xml:space="preserve"> PAGE </w:instrText>
    </w:r>
    <w:r>
      <w:rPr>
        <w:rStyle w:val="Numrodepage"/>
      </w:rPr>
      <w:fldChar w:fldCharType="separate"/>
    </w:r>
    <w:r w:rsidR="00082FAE">
      <w:rPr>
        <w:rStyle w:val="Numrodepage"/>
        <w:noProof/>
      </w:rPr>
      <w:t>4</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5EC7" w14:textId="77777777" w:rsidR="002B16A1" w:rsidRDefault="002B16A1" w:rsidP="003B3A7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82FAE">
      <w:rPr>
        <w:rStyle w:val="Numrodepage"/>
        <w:noProof/>
      </w:rPr>
      <w:t>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934C" w14:textId="77777777" w:rsidR="0041648E" w:rsidRPr="000B175B" w:rsidRDefault="0041648E" w:rsidP="000B175B">
      <w:pPr>
        <w:tabs>
          <w:tab w:val="right" w:pos="2155"/>
        </w:tabs>
        <w:spacing w:after="80"/>
        <w:ind w:left="680"/>
        <w:rPr>
          <w:u w:val="single"/>
        </w:rPr>
      </w:pPr>
      <w:r>
        <w:rPr>
          <w:u w:val="single"/>
        </w:rPr>
        <w:tab/>
      </w:r>
    </w:p>
  </w:footnote>
  <w:footnote w:type="continuationSeparator" w:id="0">
    <w:p w14:paraId="2EA03294" w14:textId="77777777" w:rsidR="0041648E" w:rsidRPr="00FC68B7" w:rsidRDefault="0041648E" w:rsidP="00FC68B7">
      <w:pPr>
        <w:tabs>
          <w:tab w:val="left" w:pos="2155"/>
        </w:tabs>
        <w:spacing w:after="80"/>
        <w:ind w:left="680"/>
        <w:rPr>
          <w:u w:val="single"/>
        </w:rPr>
      </w:pPr>
      <w:r>
        <w:rPr>
          <w:u w:val="single"/>
        </w:rPr>
        <w:tab/>
      </w:r>
    </w:p>
  </w:footnote>
  <w:footnote w:type="continuationNotice" w:id="1">
    <w:p w14:paraId="56823109" w14:textId="77777777" w:rsidR="0041648E" w:rsidRDefault="00416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2077" w14:textId="2CAF50A9" w:rsidR="002B16A1" w:rsidRPr="0009455D" w:rsidRDefault="002B16A1">
    <w:pPr>
      <w:pStyle w:val="En-tte"/>
      <w:rPr>
        <w:lang w:val="fr-CH"/>
      </w:rPr>
    </w:pPr>
    <w:r>
      <w:rPr>
        <w:lang w:val="fr-CH"/>
      </w:rPr>
      <w:t>INF.</w:t>
    </w:r>
    <w:r w:rsidR="00901190">
      <w:rPr>
        <w:lang w:val="fr-CH"/>
      </w:rPr>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5538" w14:textId="759B1034" w:rsidR="002B16A1" w:rsidRPr="00073BC9" w:rsidRDefault="002B16A1" w:rsidP="0009455D">
    <w:pPr>
      <w:pStyle w:val="En-tte"/>
      <w:jc w:val="right"/>
    </w:pPr>
    <w:r>
      <w:t>INF.</w:t>
    </w:r>
    <w:r w:rsidR="00901190">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0788" w14:textId="0024E0D6" w:rsidR="002B16A1" w:rsidRPr="00560572" w:rsidRDefault="002B16A1" w:rsidP="00E37495">
    <w:pPr>
      <w:pStyle w:val="En-tte"/>
      <w:pBdr>
        <w:bottom w:val="single" w:sz="4" w:space="1" w:color="auto"/>
      </w:pBdr>
      <w:jc w:val="right"/>
      <w:rPr>
        <w:sz w:val="28"/>
        <w:szCs w:val="28"/>
      </w:rPr>
    </w:pPr>
    <w:r w:rsidRPr="00560572">
      <w:rPr>
        <w:sz w:val="28"/>
        <w:szCs w:val="28"/>
      </w:rPr>
      <w:t>INF.</w:t>
    </w:r>
    <w:r w:rsidR="00901190">
      <w:rPr>
        <w:sz w:val="28"/>
        <w:szCs w:val="28"/>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29A85A31"/>
    <w:multiLevelType w:val="hybridMultilevel"/>
    <w:tmpl w:val="48A42AD0"/>
    <w:lvl w:ilvl="0" w:tplc="A8BCE50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1"/>
  </w:num>
  <w:num w:numId="15">
    <w:abstractNumId w:val="18"/>
  </w:num>
  <w:num w:numId="16">
    <w:abstractNumId w:val="13"/>
  </w:num>
  <w:num w:numId="17">
    <w:abstractNumId w:val="25"/>
  </w:num>
  <w:num w:numId="18">
    <w:abstractNumId w:val="27"/>
  </w:num>
  <w:num w:numId="19">
    <w:abstractNumId w:val="24"/>
  </w:num>
  <w:num w:numId="20">
    <w:abstractNumId w:val="12"/>
  </w:num>
  <w:num w:numId="21">
    <w:abstractNumId w:val="20"/>
  </w:num>
  <w:num w:numId="22">
    <w:abstractNumId w:val="28"/>
  </w:num>
  <w:num w:numId="23">
    <w:abstractNumId w:val="19"/>
  </w:num>
  <w:num w:numId="24">
    <w:abstractNumId w:val="22"/>
  </w:num>
  <w:num w:numId="25">
    <w:abstractNumId w:val="26"/>
  </w:num>
  <w:num w:numId="26">
    <w:abstractNumId w:val="21"/>
  </w:num>
  <w:num w:numId="27">
    <w:abstractNumId w:val="15"/>
  </w:num>
  <w:num w:numId="28">
    <w:abstractNumId w:val="23"/>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0F7"/>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329"/>
    <w:rsid w:val="00084D30"/>
    <w:rsid w:val="00090320"/>
    <w:rsid w:val="00091148"/>
    <w:rsid w:val="000918D7"/>
    <w:rsid w:val="0009193F"/>
    <w:rsid w:val="000931C0"/>
    <w:rsid w:val="0009455D"/>
    <w:rsid w:val="00097793"/>
    <w:rsid w:val="000A2E09"/>
    <w:rsid w:val="000B175B"/>
    <w:rsid w:val="000B3A0F"/>
    <w:rsid w:val="000B41FA"/>
    <w:rsid w:val="000C2A7D"/>
    <w:rsid w:val="000C3725"/>
    <w:rsid w:val="000D5A55"/>
    <w:rsid w:val="000E0415"/>
    <w:rsid w:val="000E233A"/>
    <w:rsid w:val="000E6779"/>
    <w:rsid w:val="000E7EB0"/>
    <w:rsid w:val="000F5D2C"/>
    <w:rsid w:val="000F7715"/>
    <w:rsid w:val="001022EF"/>
    <w:rsid w:val="00103E99"/>
    <w:rsid w:val="00116363"/>
    <w:rsid w:val="001179A1"/>
    <w:rsid w:val="00125674"/>
    <w:rsid w:val="00135A69"/>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1F7B42"/>
    <w:rsid w:val="001F7C72"/>
    <w:rsid w:val="002041AA"/>
    <w:rsid w:val="002043F0"/>
    <w:rsid w:val="002060B9"/>
    <w:rsid w:val="00207664"/>
    <w:rsid w:val="00211E0B"/>
    <w:rsid w:val="00215A1B"/>
    <w:rsid w:val="00216BB2"/>
    <w:rsid w:val="00222F2C"/>
    <w:rsid w:val="00230496"/>
    <w:rsid w:val="00232575"/>
    <w:rsid w:val="0023589F"/>
    <w:rsid w:val="00244A09"/>
    <w:rsid w:val="00247258"/>
    <w:rsid w:val="00250261"/>
    <w:rsid w:val="00250356"/>
    <w:rsid w:val="00254C0A"/>
    <w:rsid w:val="002565C8"/>
    <w:rsid w:val="002574B9"/>
    <w:rsid w:val="00257CAC"/>
    <w:rsid w:val="00264807"/>
    <w:rsid w:val="002815FC"/>
    <w:rsid w:val="00295F1A"/>
    <w:rsid w:val="002974E9"/>
    <w:rsid w:val="002A214F"/>
    <w:rsid w:val="002A5150"/>
    <w:rsid w:val="002A6D75"/>
    <w:rsid w:val="002A7F94"/>
    <w:rsid w:val="002B109A"/>
    <w:rsid w:val="002B16A1"/>
    <w:rsid w:val="002B1765"/>
    <w:rsid w:val="002B400C"/>
    <w:rsid w:val="002B5293"/>
    <w:rsid w:val="002C1973"/>
    <w:rsid w:val="002C3A37"/>
    <w:rsid w:val="002C4661"/>
    <w:rsid w:val="002C57D6"/>
    <w:rsid w:val="002C591B"/>
    <w:rsid w:val="002C6D45"/>
    <w:rsid w:val="002D15DD"/>
    <w:rsid w:val="002D1828"/>
    <w:rsid w:val="002D2102"/>
    <w:rsid w:val="002D28D9"/>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94CD7"/>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3F557E"/>
    <w:rsid w:val="003F609C"/>
    <w:rsid w:val="003F72F0"/>
    <w:rsid w:val="004019C8"/>
    <w:rsid w:val="004024E2"/>
    <w:rsid w:val="004032CF"/>
    <w:rsid w:val="00413520"/>
    <w:rsid w:val="00414F7A"/>
    <w:rsid w:val="0041648E"/>
    <w:rsid w:val="00431D4D"/>
    <w:rsid w:val="004325CB"/>
    <w:rsid w:val="00432608"/>
    <w:rsid w:val="00433A82"/>
    <w:rsid w:val="00440A07"/>
    <w:rsid w:val="00441BA9"/>
    <w:rsid w:val="00450EF8"/>
    <w:rsid w:val="00456441"/>
    <w:rsid w:val="00462880"/>
    <w:rsid w:val="0047298C"/>
    <w:rsid w:val="0047429E"/>
    <w:rsid w:val="00476F24"/>
    <w:rsid w:val="0048402E"/>
    <w:rsid w:val="004909E7"/>
    <w:rsid w:val="0049311D"/>
    <w:rsid w:val="004B2A91"/>
    <w:rsid w:val="004B45B0"/>
    <w:rsid w:val="004B7EA2"/>
    <w:rsid w:val="004C55B0"/>
    <w:rsid w:val="004C561E"/>
    <w:rsid w:val="004D51F6"/>
    <w:rsid w:val="004D63B1"/>
    <w:rsid w:val="004D6D1E"/>
    <w:rsid w:val="004E4179"/>
    <w:rsid w:val="004E608F"/>
    <w:rsid w:val="004E7160"/>
    <w:rsid w:val="004F3F8F"/>
    <w:rsid w:val="004F6BA0"/>
    <w:rsid w:val="00503BEA"/>
    <w:rsid w:val="00512C18"/>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0362"/>
    <w:rsid w:val="00584173"/>
    <w:rsid w:val="005850DE"/>
    <w:rsid w:val="00587C17"/>
    <w:rsid w:val="00595520"/>
    <w:rsid w:val="005A0287"/>
    <w:rsid w:val="005A44B9"/>
    <w:rsid w:val="005A548A"/>
    <w:rsid w:val="005A5AE3"/>
    <w:rsid w:val="005B1BA0"/>
    <w:rsid w:val="005B3DB3"/>
    <w:rsid w:val="005C58F0"/>
    <w:rsid w:val="005C6BFA"/>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0679"/>
    <w:rsid w:val="0072632A"/>
    <w:rsid w:val="0073337B"/>
    <w:rsid w:val="007358E8"/>
    <w:rsid w:val="00736ECE"/>
    <w:rsid w:val="007408A0"/>
    <w:rsid w:val="00740C6B"/>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60C7"/>
    <w:rsid w:val="008175E9"/>
    <w:rsid w:val="008203B2"/>
    <w:rsid w:val="0082405C"/>
    <w:rsid w:val="008242D7"/>
    <w:rsid w:val="00825578"/>
    <w:rsid w:val="0082577B"/>
    <w:rsid w:val="0082656A"/>
    <w:rsid w:val="00830D15"/>
    <w:rsid w:val="0083344C"/>
    <w:rsid w:val="00834DF7"/>
    <w:rsid w:val="00843148"/>
    <w:rsid w:val="00845399"/>
    <w:rsid w:val="008522F9"/>
    <w:rsid w:val="008558E7"/>
    <w:rsid w:val="00857A4B"/>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900AA9"/>
    <w:rsid w:val="00901190"/>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7970"/>
    <w:rsid w:val="009F2C95"/>
    <w:rsid w:val="009F2EAC"/>
    <w:rsid w:val="009F55EE"/>
    <w:rsid w:val="009F57E3"/>
    <w:rsid w:val="00A00D3D"/>
    <w:rsid w:val="00A06D30"/>
    <w:rsid w:val="00A07EBB"/>
    <w:rsid w:val="00A10F4F"/>
    <w:rsid w:val="00A11067"/>
    <w:rsid w:val="00A138AB"/>
    <w:rsid w:val="00A1704A"/>
    <w:rsid w:val="00A23E9E"/>
    <w:rsid w:val="00A370D7"/>
    <w:rsid w:val="00A41BB8"/>
    <w:rsid w:val="00A425EB"/>
    <w:rsid w:val="00A433C3"/>
    <w:rsid w:val="00A45CB7"/>
    <w:rsid w:val="00A47439"/>
    <w:rsid w:val="00A516C7"/>
    <w:rsid w:val="00A72F22"/>
    <w:rsid w:val="00A733BC"/>
    <w:rsid w:val="00A748A6"/>
    <w:rsid w:val="00A749C1"/>
    <w:rsid w:val="00A76A69"/>
    <w:rsid w:val="00A77D0C"/>
    <w:rsid w:val="00A80B8D"/>
    <w:rsid w:val="00A824E7"/>
    <w:rsid w:val="00A865A7"/>
    <w:rsid w:val="00A879A4"/>
    <w:rsid w:val="00A910B4"/>
    <w:rsid w:val="00A9295C"/>
    <w:rsid w:val="00A96696"/>
    <w:rsid w:val="00A976DD"/>
    <w:rsid w:val="00AA0FF8"/>
    <w:rsid w:val="00AA3567"/>
    <w:rsid w:val="00AB2CE7"/>
    <w:rsid w:val="00AB2D13"/>
    <w:rsid w:val="00AC0F2C"/>
    <w:rsid w:val="00AC502A"/>
    <w:rsid w:val="00AC58F4"/>
    <w:rsid w:val="00AC7298"/>
    <w:rsid w:val="00AC7C33"/>
    <w:rsid w:val="00AD79E9"/>
    <w:rsid w:val="00AE1AB3"/>
    <w:rsid w:val="00AF3A98"/>
    <w:rsid w:val="00AF58C1"/>
    <w:rsid w:val="00B01321"/>
    <w:rsid w:val="00B03E68"/>
    <w:rsid w:val="00B05D2C"/>
    <w:rsid w:val="00B06643"/>
    <w:rsid w:val="00B1269C"/>
    <w:rsid w:val="00B15055"/>
    <w:rsid w:val="00B17FC5"/>
    <w:rsid w:val="00B2175D"/>
    <w:rsid w:val="00B23A4E"/>
    <w:rsid w:val="00B27044"/>
    <w:rsid w:val="00B30179"/>
    <w:rsid w:val="00B37B15"/>
    <w:rsid w:val="00B4482F"/>
    <w:rsid w:val="00B45C02"/>
    <w:rsid w:val="00B4691D"/>
    <w:rsid w:val="00B56A74"/>
    <w:rsid w:val="00B609E7"/>
    <w:rsid w:val="00B628EC"/>
    <w:rsid w:val="00B62EEE"/>
    <w:rsid w:val="00B632A9"/>
    <w:rsid w:val="00B63F27"/>
    <w:rsid w:val="00B70F5A"/>
    <w:rsid w:val="00B71791"/>
    <w:rsid w:val="00B72A1E"/>
    <w:rsid w:val="00B75E02"/>
    <w:rsid w:val="00B80493"/>
    <w:rsid w:val="00B80D50"/>
    <w:rsid w:val="00B81E12"/>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30AAC"/>
    <w:rsid w:val="00C31A6C"/>
    <w:rsid w:val="00C36878"/>
    <w:rsid w:val="00C443B6"/>
    <w:rsid w:val="00C44BB0"/>
    <w:rsid w:val="00C45BBB"/>
    <w:rsid w:val="00C463DD"/>
    <w:rsid w:val="00C505CD"/>
    <w:rsid w:val="00C60D93"/>
    <w:rsid w:val="00C62A7A"/>
    <w:rsid w:val="00C70809"/>
    <w:rsid w:val="00C745C3"/>
    <w:rsid w:val="00C805A7"/>
    <w:rsid w:val="00C83923"/>
    <w:rsid w:val="00C9213B"/>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EC1"/>
    <w:rsid w:val="00D25FE2"/>
    <w:rsid w:val="00D37DA9"/>
    <w:rsid w:val="00D406A7"/>
    <w:rsid w:val="00D43252"/>
    <w:rsid w:val="00D44D86"/>
    <w:rsid w:val="00D4540B"/>
    <w:rsid w:val="00D50B7D"/>
    <w:rsid w:val="00D52012"/>
    <w:rsid w:val="00D52588"/>
    <w:rsid w:val="00D53D19"/>
    <w:rsid w:val="00D57536"/>
    <w:rsid w:val="00D6633F"/>
    <w:rsid w:val="00D67E4D"/>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04FFB"/>
    <w:rsid w:val="00E05E6D"/>
    <w:rsid w:val="00E06CCB"/>
    <w:rsid w:val="00E1773B"/>
    <w:rsid w:val="00E324A0"/>
    <w:rsid w:val="00E37495"/>
    <w:rsid w:val="00E423C0"/>
    <w:rsid w:val="00E50BC6"/>
    <w:rsid w:val="00E53624"/>
    <w:rsid w:val="00E550E7"/>
    <w:rsid w:val="00E57974"/>
    <w:rsid w:val="00E62258"/>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C1A07"/>
    <w:rsid w:val="00ED18DC"/>
    <w:rsid w:val="00ED6201"/>
    <w:rsid w:val="00ED7A2A"/>
    <w:rsid w:val="00ED7F40"/>
    <w:rsid w:val="00EE4832"/>
    <w:rsid w:val="00EF1D7F"/>
    <w:rsid w:val="00EF4426"/>
    <w:rsid w:val="00F0137E"/>
    <w:rsid w:val="00F0148F"/>
    <w:rsid w:val="00F21786"/>
    <w:rsid w:val="00F237F4"/>
    <w:rsid w:val="00F27A69"/>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1B2B"/>
    <w:rsid w:val="00F96CB6"/>
    <w:rsid w:val="00FA28CC"/>
    <w:rsid w:val="00FA3135"/>
    <w:rsid w:val="00FA3269"/>
    <w:rsid w:val="00FB468B"/>
    <w:rsid w:val="00FC03CD"/>
    <w:rsid w:val="00FC0646"/>
    <w:rsid w:val="00FC0826"/>
    <w:rsid w:val="00FC161F"/>
    <w:rsid w:val="00FC2FC6"/>
    <w:rsid w:val="00FC55A7"/>
    <w:rsid w:val="00FC68B7"/>
    <w:rsid w:val="00FD0A90"/>
    <w:rsid w:val="00FD1D35"/>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qFormat/>
    <w:rsid w:val="007B6BA5"/>
    <w:rPr>
      <w:rFonts w:ascii="Times New Roman" w:hAnsi="Times New Roman"/>
      <w:sz w:val="18"/>
      <w:vertAlign w:val="superscript"/>
    </w:rPr>
  </w:style>
  <w:style w:type="paragraph" w:styleId="Notedebasdepage">
    <w:name w:val="footnote text"/>
    <w:aliases w:val="5_G"/>
    <w:basedOn w:val="Normal"/>
    <w:link w:val="NotedebasdepageC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auNormal"/>
    <w:next w:val="Grilledutableau"/>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22806"/>
    <w:pPr>
      <w:spacing w:after="0"/>
    </w:pPr>
    <w:rPr>
      <w:rFonts w:ascii="Tahoma" w:hAnsi="Tahoma" w:cs="Tahoma"/>
      <w:sz w:val="16"/>
      <w:szCs w:val="16"/>
    </w:rPr>
  </w:style>
  <w:style w:type="character" w:customStyle="1" w:styleId="TextedebullesCar">
    <w:name w:val="Texte de bulles Car"/>
    <w:link w:val="Textedebulles"/>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Mentionnonrsolue">
    <w:name w:val="Unresolved Mention"/>
    <w:basedOn w:val="Policepardfaut"/>
    <w:uiPriority w:val="99"/>
    <w:semiHidden/>
    <w:unhideWhenUsed/>
    <w:rsid w:val="00C03A88"/>
    <w:rPr>
      <w:color w:val="605E5C"/>
      <w:shd w:val="clear" w:color="auto" w:fill="E1DFDD"/>
    </w:rPr>
  </w:style>
  <w:style w:type="paragraph" w:styleId="Paragraphedeliste">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NotedebasdepageCar">
    <w:name w:val="Note de bas de page Car"/>
    <w:aliases w:val="5_G Car"/>
    <w:link w:val="Notedebasdepage"/>
    <w:qFormat/>
    <w:rsid w:val="00857A4B"/>
    <w:rPr>
      <w:sz w:val="18"/>
      <w:lang w:val="en-GB"/>
    </w:rPr>
  </w:style>
  <w:style w:type="character" w:customStyle="1" w:styleId="Ancredenotedebasdepage">
    <w:name w:val="Ancre de note de bas de page"/>
    <w:rsid w:val="00857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C0F42-10C3-4B97-976C-A4EE6505C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4.xml><?xml version="1.0" encoding="utf-8"?>
<ds:datastoreItem xmlns:ds="http://schemas.openxmlformats.org/officeDocument/2006/customXml" ds:itemID="{9EC0D251-4914-43D2-8613-65A800ED9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605</Words>
  <Characters>3450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Romain Hubert</cp:lastModifiedBy>
  <cp:revision>22</cp:revision>
  <cp:lastPrinted>2019-09-06T13:58:00Z</cp:lastPrinted>
  <dcterms:created xsi:type="dcterms:W3CDTF">2021-09-17T09:39:00Z</dcterms:created>
  <dcterms:modified xsi:type="dcterms:W3CDTF">2021-09-17T11:51:00Z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