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A7E89A0" w14:textId="77777777" w:rsidTr="00387CD4">
        <w:trPr>
          <w:trHeight w:hRule="exact" w:val="851"/>
        </w:trPr>
        <w:tc>
          <w:tcPr>
            <w:tcW w:w="142" w:type="dxa"/>
            <w:tcBorders>
              <w:bottom w:val="single" w:sz="4" w:space="0" w:color="auto"/>
            </w:tcBorders>
          </w:tcPr>
          <w:p w14:paraId="5EDD1480" w14:textId="77777777" w:rsidR="002D5AAC" w:rsidRDefault="002D5AAC" w:rsidP="003A321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26850D5"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6F1EF84" w14:textId="2BAD5199" w:rsidR="002D5AAC" w:rsidRDefault="003A3218" w:rsidP="003A3218">
            <w:pPr>
              <w:jc w:val="right"/>
            </w:pPr>
            <w:r w:rsidRPr="003A3218">
              <w:rPr>
                <w:sz w:val="40"/>
              </w:rPr>
              <w:t>ECE</w:t>
            </w:r>
            <w:r>
              <w:t>/TRANS/WP.15/2021/9</w:t>
            </w:r>
          </w:p>
        </w:tc>
      </w:tr>
      <w:tr w:rsidR="002D5AAC" w:rsidRPr="003A3218" w14:paraId="5C193602" w14:textId="77777777" w:rsidTr="00387CD4">
        <w:trPr>
          <w:trHeight w:hRule="exact" w:val="2835"/>
        </w:trPr>
        <w:tc>
          <w:tcPr>
            <w:tcW w:w="1280" w:type="dxa"/>
            <w:gridSpan w:val="2"/>
            <w:tcBorders>
              <w:top w:val="single" w:sz="4" w:space="0" w:color="auto"/>
              <w:bottom w:val="single" w:sz="12" w:space="0" w:color="auto"/>
            </w:tcBorders>
          </w:tcPr>
          <w:p w14:paraId="03727D78" w14:textId="77777777" w:rsidR="002D5AAC" w:rsidRDefault="002E5067" w:rsidP="00387CD4">
            <w:pPr>
              <w:spacing w:before="120"/>
              <w:jc w:val="center"/>
            </w:pPr>
            <w:r>
              <w:rPr>
                <w:noProof/>
                <w:lang w:val="fr-CH" w:eastAsia="fr-CH"/>
              </w:rPr>
              <w:drawing>
                <wp:inline distT="0" distB="0" distL="0" distR="0" wp14:anchorId="7B52A7F9" wp14:editId="2D03085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A441CDD"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21E3D49" w14:textId="77777777" w:rsidR="002D5AAC" w:rsidRDefault="003A3218" w:rsidP="00387CD4">
            <w:pPr>
              <w:spacing w:before="240"/>
              <w:rPr>
                <w:lang w:val="en-US"/>
              </w:rPr>
            </w:pPr>
            <w:r>
              <w:rPr>
                <w:lang w:val="en-US"/>
              </w:rPr>
              <w:t>Distr.: General</w:t>
            </w:r>
          </w:p>
          <w:p w14:paraId="07AA64F5" w14:textId="77777777" w:rsidR="003A3218" w:rsidRDefault="003A3218" w:rsidP="003A3218">
            <w:pPr>
              <w:spacing w:line="240" w:lineRule="exact"/>
              <w:rPr>
                <w:lang w:val="en-US"/>
              </w:rPr>
            </w:pPr>
            <w:r>
              <w:rPr>
                <w:lang w:val="en-US"/>
              </w:rPr>
              <w:t>24 August 2021</w:t>
            </w:r>
          </w:p>
          <w:p w14:paraId="752C2243" w14:textId="77777777" w:rsidR="003A3218" w:rsidRDefault="003A3218" w:rsidP="003A3218">
            <w:pPr>
              <w:spacing w:line="240" w:lineRule="exact"/>
              <w:rPr>
                <w:lang w:val="en-US"/>
              </w:rPr>
            </w:pPr>
            <w:r>
              <w:rPr>
                <w:lang w:val="en-US"/>
              </w:rPr>
              <w:t>Russian</w:t>
            </w:r>
          </w:p>
          <w:p w14:paraId="021433F0" w14:textId="518ED0BA" w:rsidR="003A3218" w:rsidRPr="008D53B6" w:rsidRDefault="003A3218" w:rsidP="003A3218">
            <w:pPr>
              <w:spacing w:line="240" w:lineRule="exact"/>
              <w:rPr>
                <w:lang w:val="en-US"/>
              </w:rPr>
            </w:pPr>
            <w:r>
              <w:rPr>
                <w:lang w:val="en-US"/>
              </w:rPr>
              <w:t>Original: English</w:t>
            </w:r>
          </w:p>
        </w:tc>
      </w:tr>
    </w:tbl>
    <w:p w14:paraId="4E39D0EE"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5A2DA485" w14:textId="77777777" w:rsidR="003A3218" w:rsidRPr="00F34EA5" w:rsidRDefault="003A3218" w:rsidP="003A3218">
      <w:pPr>
        <w:spacing w:before="120"/>
        <w:rPr>
          <w:sz w:val="28"/>
          <w:szCs w:val="28"/>
        </w:rPr>
      </w:pPr>
      <w:r w:rsidRPr="00F34EA5">
        <w:rPr>
          <w:sz w:val="28"/>
          <w:szCs w:val="28"/>
        </w:rPr>
        <w:t>Комитет по внутреннему транспорту</w:t>
      </w:r>
    </w:p>
    <w:p w14:paraId="240D6081" w14:textId="77777777" w:rsidR="003A3218" w:rsidRPr="00F34EA5" w:rsidRDefault="003A3218" w:rsidP="003A3218">
      <w:pPr>
        <w:spacing w:before="120"/>
        <w:rPr>
          <w:b/>
          <w:sz w:val="24"/>
          <w:szCs w:val="24"/>
        </w:rPr>
      </w:pPr>
      <w:r w:rsidRPr="00F34EA5">
        <w:rPr>
          <w:b/>
          <w:bCs/>
          <w:sz w:val="24"/>
          <w:szCs w:val="24"/>
        </w:rPr>
        <w:t>Рабочая группа по перевозкам опасных грузов</w:t>
      </w:r>
    </w:p>
    <w:p w14:paraId="303BF4B4" w14:textId="77777777" w:rsidR="003A3218" w:rsidRPr="00593FB7" w:rsidRDefault="003A3218" w:rsidP="003A3218">
      <w:pPr>
        <w:spacing w:before="120"/>
        <w:rPr>
          <w:b/>
          <w:bCs/>
        </w:rPr>
      </w:pPr>
      <w:r>
        <w:rPr>
          <w:b/>
          <w:bCs/>
        </w:rPr>
        <w:t>Сто десятая сессия</w:t>
      </w:r>
    </w:p>
    <w:p w14:paraId="07276DF1" w14:textId="77777777" w:rsidR="003A3218" w:rsidRPr="00593FB7" w:rsidRDefault="003A3218" w:rsidP="003A3218">
      <w:pPr>
        <w:rPr>
          <w:rFonts w:eastAsia="SimSun"/>
        </w:rPr>
      </w:pPr>
      <w:r>
        <w:t>Женева, 8–12 ноября 2021 года</w:t>
      </w:r>
    </w:p>
    <w:p w14:paraId="0EB17425" w14:textId="77777777" w:rsidR="003A3218" w:rsidRPr="00593FB7" w:rsidRDefault="003A3218" w:rsidP="003A3218">
      <w:r>
        <w:t>Пункт 6 предварительной повестки дня</w:t>
      </w:r>
    </w:p>
    <w:p w14:paraId="3CF7E148" w14:textId="48C16EC1" w:rsidR="00E12C5F" w:rsidRDefault="003A3218" w:rsidP="003A3218">
      <w:r>
        <w:rPr>
          <w:b/>
          <w:bCs/>
        </w:rPr>
        <w:t>Толкование ДОПОГ</w:t>
      </w:r>
    </w:p>
    <w:p w14:paraId="3C03D081" w14:textId="50547964" w:rsidR="003A3218" w:rsidRPr="00593FB7" w:rsidRDefault="003A3218" w:rsidP="003A3218">
      <w:pPr>
        <w:pStyle w:val="HChG"/>
      </w:pPr>
      <w:r>
        <w:tab/>
      </w:r>
      <w:r>
        <w:tab/>
        <w:t>Толкование ДОПОГ: применение требований в</w:t>
      </w:r>
      <w:r>
        <w:rPr>
          <w:lang w:val="en-US"/>
        </w:rPr>
        <w:t> </w:t>
      </w:r>
      <w:r>
        <w:t xml:space="preserve">отношении электрооборудования транспортных средств в соответствии с пунктом 9.2.1.1 ДОПОГ — переходные положения </w:t>
      </w:r>
    </w:p>
    <w:p w14:paraId="73EA9289" w14:textId="3F51E930" w:rsidR="003A3218" w:rsidRPr="000F3002" w:rsidRDefault="003A3218" w:rsidP="003A3218">
      <w:pPr>
        <w:pStyle w:val="H1G"/>
        <w:rPr>
          <w:lang w:val="en-US"/>
        </w:rPr>
      </w:pPr>
      <w:r>
        <w:tab/>
      </w:r>
      <w:r>
        <w:tab/>
      </w:r>
      <w:r w:rsidRPr="008474DE">
        <w:t>Передано правительством Нидерландов</w:t>
      </w:r>
      <w:r w:rsidRPr="003A3218">
        <w:rPr>
          <w:b w:val="0"/>
          <w:bCs/>
          <w:sz w:val="20"/>
        </w:rPr>
        <w:footnoteReference w:customMarkFollows="1" w:id="1"/>
        <w:sym w:font="Symbol" w:char="F02A"/>
      </w:r>
      <w:r w:rsidR="000F3002">
        <w:rPr>
          <w:b w:val="0"/>
          <w:bCs/>
          <w:sz w:val="20"/>
          <w:lang w:val="en-US"/>
        </w:rPr>
        <w:t xml:space="preserve"> </w:t>
      </w:r>
    </w:p>
    <w:tbl>
      <w:tblPr>
        <w:tblStyle w:val="TableGrid"/>
        <w:tblW w:w="0" w:type="auto"/>
        <w:jc w:val="center"/>
        <w:tblLook w:val="05E0" w:firstRow="1" w:lastRow="1" w:firstColumn="1" w:lastColumn="1" w:noHBand="0" w:noVBand="1"/>
      </w:tblPr>
      <w:tblGrid>
        <w:gridCol w:w="9628"/>
      </w:tblGrid>
      <w:tr w:rsidR="003A3218" w:rsidRPr="003A3218" w14:paraId="76264EFE" w14:textId="77777777" w:rsidTr="003A3218">
        <w:trPr>
          <w:jc w:val="center"/>
        </w:trPr>
        <w:tc>
          <w:tcPr>
            <w:tcW w:w="9628" w:type="dxa"/>
            <w:tcBorders>
              <w:bottom w:val="nil"/>
            </w:tcBorders>
          </w:tcPr>
          <w:p w14:paraId="5FCDD30C" w14:textId="77777777" w:rsidR="003A3218" w:rsidRPr="003A3218" w:rsidRDefault="003A3218" w:rsidP="00850215">
            <w:pPr>
              <w:tabs>
                <w:tab w:val="left" w:pos="255"/>
              </w:tabs>
              <w:spacing w:before="240" w:after="120"/>
              <w:rPr>
                <w:rFonts w:cs="Times New Roman"/>
                <w:sz w:val="24"/>
              </w:rPr>
            </w:pPr>
            <w:r w:rsidRPr="003A3218">
              <w:rPr>
                <w:rFonts w:cs="Times New Roman"/>
              </w:rPr>
              <w:tab/>
            </w:r>
            <w:r w:rsidRPr="003A3218">
              <w:rPr>
                <w:rFonts w:cs="Times New Roman"/>
                <w:i/>
                <w:sz w:val="24"/>
              </w:rPr>
              <w:t>Резюме</w:t>
            </w:r>
          </w:p>
        </w:tc>
      </w:tr>
      <w:tr w:rsidR="003A3218" w:rsidRPr="000F3002" w14:paraId="4F8CBE71" w14:textId="77777777" w:rsidTr="003A3218">
        <w:trPr>
          <w:jc w:val="center"/>
        </w:trPr>
        <w:tc>
          <w:tcPr>
            <w:tcW w:w="9628" w:type="dxa"/>
            <w:tcBorders>
              <w:top w:val="nil"/>
              <w:bottom w:val="nil"/>
            </w:tcBorders>
            <w:shd w:val="clear" w:color="auto" w:fill="auto"/>
          </w:tcPr>
          <w:p w14:paraId="75BFB8AC" w14:textId="3A8D75B3" w:rsidR="003A3218" w:rsidRPr="00593FB7" w:rsidRDefault="003A3218" w:rsidP="003A3218">
            <w:pPr>
              <w:tabs>
                <w:tab w:val="left" w:pos="3680"/>
              </w:tabs>
              <w:snapToGrid w:val="0"/>
              <w:spacing w:before="120" w:after="120" w:line="240" w:lineRule="auto"/>
              <w:ind w:left="3680" w:right="1315" w:hanging="2546"/>
              <w:jc w:val="both"/>
            </w:pPr>
            <w:r>
              <w:rPr>
                <w:b/>
                <w:bCs/>
              </w:rPr>
              <w:t>Существо предложения</w:t>
            </w:r>
            <w:proofErr w:type="gramStart"/>
            <w:r>
              <w:rPr>
                <w:b/>
                <w:bCs/>
              </w:rPr>
              <w:t>:</w:t>
            </w:r>
            <w:r>
              <w:rPr>
                <w:b/>
                <w:bCs/>
              </w:rPr>
              <w:tab/>
            </w:r>
            <w:r>
              <w:t>Остались</w:t>
            </w:r>
            <w:proofErr w:type="gramEnd"/>
            <w:r>
              <w:t xml:space="preserve"> вопросы относительно того, что следует понимать под датой первой регистрации транспортных средств. На сто девятой сессии было принято принципиальное решение, однако остались некоторые вопросы. Эта дата важна для определения того, каким требованиям главы 9.2 должны отвечать транспортные средства.</w:t>
            </w:r>
          </w:p>
          <w:p w14:paraId="571C9DA3" w14:textId="77777777" w:rsidR="003A3218" w:rsidRPr="00593FB7" w:rsidRDefault="003A3218" w:rsidP="003A3218">
            <w:pPr>
              <w:tabs>
                <w:tab w:val="left" w:pos="3680"/>
              </w:tabs>
              <w:snapToGrid w:val="0"/>
              <w:spacing w:before="120" w:after="120" w:line="240" w:lineRule="auto"/>
              <w:ind w:left="3680" w:right="1315" w:hanging="2546"/>
              <w:jc w:val="both"/>
            </w:pPr>
            <w:r>
              <w:rPr>
                <w:b/>
                <w:bCs/>
              </w:rPr>
              <w:t>Предлагаемое решение:</w:t>
            </w:r>
            <w:r>
              <w:t xml:space="preserve"> </w:t>
            </w:r>
            <w:r>
              <w:tab/>
              <w:t>Принятие руководящего документа.</w:t>
            </w:r>
          </w:p>
          <w:p w14:paraId="36EF490D" w14:textId="77777777" w:rsidR="000F3002" w:rsidRDefault="003A3218" w:rsidP="000F3002">
            <w:pPr>
              <w:tabs>
                <w:tab w:val="left" w:pos="3680"/>
              </w:tabs>
              <w:snapToGrid w:val="0"/>
              <w:spacing w:before="120" w:line="240" w:lineRule="auto"/>
              <w:ind w:left="3680" w:right="1315" w:hanging="2546"/>
              <w:jc w:val="both"/>
            </w:pPr>
            <w:r>
              <w:rPr>
                <w:b/>
                <w:bCs/>
              </w:rPr>
              <w:t>Справочные документы:</w:t>
            </w:r>
            <w:r>
              <w:tab/>
              <w:t>Неофициальный документ INF.13 сто восьмой сессии WP.15, состоявшейся в ноябре 2020 года;</w:t>
            </w:r>
            <w:r w:rsidR="000F3002" w:rsidRPr="000F3002">
              <w:t xml:space="preserve"> </w:t>
            </w:r>
          </w:p>
          <w:p w14:paraId="63B2516E" w14:textId="1236FCBE" w:rsidR="000F3002" w:rsidRDefault="000F3002" w:rsidP="000F3002">
            <w:pPr>
              <w:tabs>
                <w:tab w:val="left" w:pos="3680"/>
              </w:tabs>
              <w:snapToGrid w:val="0"/>
              <w:spacing w:line="240" w:lineRule="auto"/>
              <w:ind w:left="3680" w:right="1315" w:hanging="2546"/>
              <w:jc w:val="both"/>
            </w:pPr>
            <w:r>
              <w:tab/>
            </w:r>
            <w:r w:rsidR="003A3218">
              <w:t>неофициальный документ INF.26 сто восьмой сессии WP.15, состоявшейся в ноябре 2020 года;</w:t>
            </w:r>
            <w:r w:rsidRPr="000F3002">
              <w:t xml:space="preserve"> </w:t>
            </w:r>
          </w:p>
          <w:p w14:paraId="7CA25A31" w14:textId="628ACD7A" w:rsidR="000F3002" w:rsidRDefault="000F3002" w:rsidP="000F3002">
            <w:pPr>
              <w:tabs>
                <w:tab w:val="left" w:pos="3680"/>
              </w:tabs>
              <w:snapToGrid w:val="0"/>
              <w:spacing w:line="240" w:lineRule="auto"/>
              <w:ind w:left="3680" w:right="1315" w:hanging="2546"/>
              <w:jc w:val="both"/>
              <w:rPr>
                <w:lang w:val="en-US"/>
              </w:rPr>
            </w:pPr>
            <w:r>
              <w:rPr>
                <w:lang w:val="en-US"/>
              </w:rPr>
              <w:tab/>
            </w:r>
            <w:r w:rsidR="003A3218" w:rsidRPr="00593FB7">
              <w:rPr>
                <w:lang w:val="en-US"/>
              </w:rPr>
              <w:t>ECE</w:t>
            </w:r>
            <w:r w:rsidR="003A3218" w:rsidRPr="000F3002">
              <w:rPr>
                <w:lang w:val="en-US"/>
              </w:rPr>
              <w:t>/</w:t>
            </w:r>
            <w:r w:rsidR="003A3218" w:rsidRPr="00593FB7">
              <w:rPr>
                <w:lang w:val="en-US"/>
              </w:rPr>
              <w:t>TRANS</w:t>
            </w:r>
            <w:r w:rsidR="003A3218" w:rsidRPr="000F3002">
              <w:rPr>
                <w:lang w:val="en-US"/>
              </w:rPr>
              <w:t>/</w:t>
            </w:r>
            <w:r w:rsidR="003A3218" w:rsidRPr="00593FB7">
              <w:rPr>
                <w:lang w:val="en-US"/>
              </w:rPr>
              <w:t>WP</w:t>
            </w:r>
            <w:r w:rsidR="003A3218" w:rsidRPr="000F3002">
              <w:rPr>
                <w:lang w:val="en-US"/>
              </w:rPr>
              <w:t>.15/2021/6;</w:t>
            </w:r>
            <w:r>
              <w:rPr>
                <w:lang w:val="en-US"/>
              </w:rPr>
              <w:t xml:space="preserve"> </w:t>
            </w:r>
          </w:p>
          <w:p w14:paraId="36B16C19" w14:textId="01F9B3F7" w:rsidR="003A3218" w:rsidRPr="000F3002" w:rsidRDefault="000F3002" w:rsidP="000F3002">
            <w:pPr>
              <w:tabs>
                <w:tab w:val="left" w:pos="3680"/>
              </w:tabs>
              <w:snapToGrid w:val="0"/>
              <w:spacing w:after="120" w:line="240" w:lineRule="auto"/>
              <w:ind w:left="3680" w:right="1315" w:hanging="2546"/>
              <w:jc w:val="both"/>
              <w:rPr>
                <w:rFonts w:cs="Times New Roman"/>
                <w:lang w:val="en-US"/>
              </w:rPr>
            </w:pPr>
            <w:r>
              <w:rPr>
                <w:lang w:val="en-US"/>
              </w:rPr>
              <w:tab/>
            </w:r>
            <w:r w:rsidR="003A3218" w:rsidRPr="00593FB7">
              <w:rPr>
                <w:lang w:val="en-US"/>
              </w:rPr>
              <w:t>ECE</w:t>
            </w:r>
            <w:r w:rsidR="003A3218" w:rsidRPr="000F3002">
              <w:rPr>
                <w:lang w:val="en-US"/>
              </w:rPr>
              <w:t>/</w:t>
            </w:r>
            <w:r w:rsidR="003A3218" w:rsidRPr="00593FB7">
              <w:rPr>
                <w:lang w:val="en-US"/>
              </w:rPr>
              <w:t>TRANS</w:t>
            </w:r>
            <w:r w:rsidR="003A3218" w:rsidRPr="000F3002">
              <w:rPr>
                <w:lang w:val="en-US"/>
              </w:rPr>
              <w:t>/</w:t>
            </w:r>
            <w:r w:rsidR="003A3218" w:rsidRPr="00593FB7">
              <w:rPr>
                <w:lang w:val="en-US"/>
              </w:rPr>
              <w:t>WP</w:t>
            </w:r>
            <w:r w:rsidR="003A3218" w:rsidRPr="000F3002">
              <w:rPr>
                <w:lang w:val="en-US"/>
              </w:rPr>
              <w:t>.15/253 (</w:t>
            </w:r>
            <w:r w:rsidR="003A3218">
              <w:t>пункты</w:t>
            </w:r>
            <w:r w:rsidR="003A3218" w:rsidRPr="000F3002">
              <w:rPr>
                <w:lang w:val="en-US"/>
              </w:rPr>
              <w:t xml:space="preserve"> 44–46).</w:t>
            </w:r>
          </w:p>
        </w:tc>
      </w:tr>
      <w:tr w:rsidR="003A3218" w:rsidRPr="000F3002" w14:paraId="0229DEFA" w14:textId="77777777" w:rsidTr="003A3218">
        <w:trPr>
          <w:jc w:val="center"/>
        </w:trPr>
        <w:tc>
          <w:tcPr>
            <w:tcW w:w="9628" w:type="dxa"/>
            <w:tcBorders>
              <w:top w:val="nil"/>
            </w:tcBorders>
          </w:tcPr>
          <w:p w14:paraId="6572DA34" w14:textId="77777777" w:rsidR="003A3218" w:rsidRPr="000F3002" w:rsidRDefault="003A3218" w:rsidP="00850215">
            <w:pPr>
              <w:rPr>
                <w:rFonts w:cs="Times New Roman"/>
                <w:lang w:val="en-US"/>
              </w:rPr>
            </w:pPr>
          </w:p>
        </w:tc>
      </w:tr>
    </w:tbl>
    <w:p w14:paraId="257BA3BC" w14:textId="77777777" w:rsidR="003A3218" w:rsidRPr="00593FB7" w:rsidRDefault="003A3218" w:rsidP="000F3002">
      <w:pPr>
        <w:pStyle w:val="HChG"/>
      </w:pPr>
      <w:r w:rsidRPr="000F3002">
        <w:rPr>
          <w:lang w:val="en-US"/>
        </w:rPr>
        <w:lastRenderedPageBreak/>
        <w:tab/>
      </w:r>
      <w:r w:rsidRPr="000F3002">
        <w:rPr>
          <w:lang w:val="en-US"/>
        </w:rPr>
        <w:tab/>
      </w:r>
      <w:r>
        <w:t>Введение</w:t>
      </w:r>
    </w:p>
    <w:p w14:paraId="13452A1B" w14:textId="77777777" w:rsidR="003A3218" w:rsidRPr="00593FB7" w:rsidRDefault="003A3218" w:rsidP="000F3002">
      <w:pPr>
        <w:keepNext/>
        <w:keepLines/>
        <w:snapToGrid w:val="0"/>
        <w:spacing w:before="120" w:after="120" w:line="240" w:lineRule="auto"/>
        <w:ind w:left="1134" w:right="851"/>
        <w:jc w:val="both"/>
      </w:pPr>
      <w:r>
        <w:t>1.</w:t>
      </w:r>
      <w:r>
        <w:tab/>
        <w:t>На своей майской (сто девятой) сессии 2021 года WP.15 обсудила документ ECE/TRANS/WP.15/2021/6. Ниже приводится выдержка из доклада о работе сто девятой сессии:</w:t>
      </w:r>
    </w:p>
    <w:p w14:paraId="5F6D1A3C" w14:textId="77777777" w:rsidR="003A3218" w:rsidRPr="00593FB7" w:rsidRDefault="003A3218" w:rsidP="003A3218">
      <w:pPr>
        <w:tabs>
          <w:tab w:val="left" w:pos="2268"/>
        </w:tabs>
        <w:snapToGrid w:val="0"/>
        <w:spacing w:before="120" w:after="120" w:line="240" w:lineRule="auto"/>
        <w:ind w:left="1701" w:right="851"/>
        <w:jc w:val="both"/>
        <w:rPr>
          <w:rFonts w:eastAsia="SimSun"/>
          <w:i/>
          <w:iCs/>
        </w:rPr>
      </w:pPr>
      <w:r w:rsidRPr="00593FB7">
        <w:t>«</w:t>
      </w:r>
      <w:r>
        <w:rPr>
          <w:i/>
          <w:iCs/>
        </w:rPr>
        <w:t>45.</w:t>
      </w:r>
      <w:r>
        <w:t xml:space="preserve"> </w:t>
      </w:r>
      <w:r>
        <w:rPr>
          <w:i/>
          <w:iCs/>
        </w:rPr>
        <w:t>Что касается первого вопроса, то Рабочая группа одобрила ответы представителя Нидерландов и просила секретариат сослаться на них на странице, посвященной толкованию ДОПОГ, на веб-сайте ЕЭК.</w:t>
      </w:r>
    </w:p>
    <w:p w14:paraId="7794541F" w14:textId="77777777" w:rsidR="003A3218" w:rsidRPr="00593FB7" w:rsidRDefault="003A3218" w:rsidP="003A3218">
      <w:pPr>
        <w:tabs>
          <w:tab w:val="left" w:pos="2268"/>
        </w:tabs>
        <w:spacing w:after="120"/>
        <w:ind w:left="1701" w:right="850"/>
        <w:jc w:val="both"/>
      </w:pPr>
      <w:r>
        <w:rPr>
          <w:i/>
          <w:iCs/>
        </w:rPr>
        <w:t>46.</w:t>
      </w:r>
      <w:r>
        <w:t xml:space="preserve"> </w:t>
      </w:r>
      <w:r>
        <w:rPr>
          <w:i/>
          <w:iCs/>
        </w:rPr>
        <w:t>В связи со вторым вопросом Рабочая группа хотела бы получить пересмотренное предложение, в котором проводилось бы различие между разными возможными случаями в зависимости от дат регистрации и возможного допущения к перевозке опасных грузов.</w:t>
      </w:r>
      <w:r>
        <w:t xml:space="preserve"> </w:t>
      </w:r>
      <w:r>
        <w:rPr>
          <w:i/>
          <w:iCs/>
        </w:rPr>
        <w:t>Представитель Германии указала, что она представит пересмотренное предложение на следующей сессии.</w:t>
      </w:r>
      <w:r w:rsidRPr="00593FB7">
        <w:t>»</w:t>
      </w:r>
      <w:r>
        <w:rPr>
          <w:i/>
          <w:iCs/>
        </w:rPr>
        <w:t>.</w:t>
      </w:r>
    </w:p>
    <w:p w14:paraId="106C31C9" w14:textId="0C55D9E1" w:rsidR="003A3218" w:rsidRPr="00593FB7" w:rsidRDefault="003A3218" w:rsidP="003A3218">
      <w:pPr>
        <w:pStyle w:val="SingleTxtG"/>
      </w:pPr>
      <w:r>
        <w:t>2.</w:t>
      </w:r>
      <w:r>
        <w:tab/>
        <w:t>Точный смысл второго вопроса, поставленного в упомянутом документе, не</w:t>
      </w:r>
      <w:r w:rsidR="000F3002">
        <w:rPr>
          <w:lang w:val="en-US"/>
        </w:rPr>
        <w:t> </w:t>
      </w:r>
      <w:r>
        <w:t xml:space="preserve">был правильно понят. Было указано, что этот вопрос может быть связан с соблюдением требований, предъявляемых к подержанным военным транспортным средствам, в отношении которых подается заявка на допущение к перевозке в соответствии с ДОПОГ. </w:t>
      </w:r>
    </w:p>
    <w:p w14:paraId="21BE9DB3" w14:textId="77777777" w:rsidR="003A3218" w:rsidRPr="00593FB7" w:rsidRDefault="003A3218" w:rsidP="003A3218">
      <w:pPr>
        <w:pStyle w:val="SingleTxtG"/>
      </w:pPr>
      <w:r>
        <w:t>3.</w:t>
      </w:r>
      <w:r>
        <w:tab/>
        <w:t>Для обсуждения этого вопроса было организовано виртуальное совещание с участием Германии, Швеции и Нидерландов. Ниже излагаются общие итоги этого обсуждения.</w:t>
      </w:r>
    </w:p>
    <w:p w14:paraId="28B49FEA" w14:textId="77777777" w:rsidR="003A3218" w:rsidRPr="00593FB7" w:rsidRDefault="003A3218" w:rsidP="000F3002">
      <w:pPr>
        <w:pStyle w:val="HChG"/>
      </w:pPr>
      <w:r>
        <w:tab/>
      </w:r>
      <w:r>
        <w:tab/>
      </w:r>
      <w:r>
        <w:tab/>
        <w:t>Дата первой регистрации или дата ввода в эксплуатацию</w:t>
      </w:r>
    </w:p>
    <w:p w14:paraId="34679D37" w14:textId="77777777" w:rsidR="003A3218" w:rsidRPr="00593FB7" w:rsidRDefault="003A3218" w:rsidP="003A3218">
      <w:pPr>
        <w:snapToGrid w:val="0"/>
        <w:spacing w:before="120" w:after="120" w:line="240" w:lineRule="auto"/>
        <w:ind w:left="1134" w:right="850"/>
        <w:jc w:val="both"/>
      </w:pPr>
      <w:r>
        <w:t>4.</w:t>
      </w:r>
      <w:r>
        <w:tab/>
        <w:t>На сто девятой сессии WP.15 на основе первого вопроса (см. приведенный выше текст пункта 45) было решено, что под датой, начиная с которой транспортное средство может эксплуатироваться на автодорогах, подразумевается дата «первой регистрации». Причина этого заключается в том, что транспортные средства, в частности автомобили, нелегко обновить в соответствии с новыми требованиями. Следует обратить внимание на то, что при импорте транспортного средства применяется дата первой регистрации в первоначальной стране. Было отмечено, что в некоторых договаривающихся сторонах транспортные средства, в частности прицепы, не имеют отдельной регистрации или получают официальную регистрацию при первой периодической проверке. По этой причине в таблицу, содержащуюся в разделе 9.2.1, всегда включается следующая дополнительная формулировка: «или, если регистрация не является обязательной, впервые введенным в эксплуатацию».</w:t>
      </w:r>
    </w:p>
    <w:p w14:paraId="06070C38" w14:textId="77777777" w:rsidR="003A3218" w:rsidRPr="00593FB7" w:rsidRDefault="003A3218" w:rsidP="003A3218">
      <w:pPr>
        <w:snapToGrid w:val="0"/>
        <w:spacing w:before="120" w:after="120" w:line="240" w:lineRule="auto"/>
        <w:ind w:left="1134" w:right="851"/>
        <w:jc w:val="both"/>
      </w:pPr>
      <w:r>
        <w:t>5.</w:t>
      </w:r>
      <w:r>
        <w:tab/>
        <w:t xml:space="preserve">Транспортные средства, эксплуатируемые национальными службами, например вооруженными силами, могут быть зарегистрированы в отдельной системе регистрации, отличной от системы регистрации частных дорожных транспортных средств. В тех случаях, когда предполагается допустить эти транспортные средства к перевозке в соответствии с ДОПОГ, может возникнуть проблема с установлением достоверной даты первой регистрации или даты первого ввода в эксплуатацию. Было указано, что если эти транспортные средства будут предъявлены для допущения к перевозке в соответствии с ДОПОГ после некоторого периода эксплуатации, то может быть использована дата изготовления. </w:t>
      </w:r>
    </w:p>
    <w:p w14:paraId="576C6D86" w14:textId="77777777" w:rsidR="003A3218" w:rsidRPr="00593FB7" w:rsidRDefault="003A3218" w:rsidP="003A3218">
      <w:pPr>
        <w:pStyle w:val="HChG"/>
      </w:pPr>
      <w:r>
        <w:tab/>
      </w:r>
      <w:r>
        <w:tab/>
        <w:t>Даты</w:t>
      </w:r>
      <w:r>
        <w:rPr>
          <w:bCs/>
        </w:rPr>
        <w:t xml:space="preserve"> применения требований и переходные меры</w:t>
      </w:r>
    </w:p>
    <w:p w14:paraId="75B29BD2" w14:textId="77777777" w:rsidR="003A3218" w:rsidRPr="00593FB7" w:rsidRDefault="003A3218" w:rsidP="003A3218">
      <w:pPr>
        <w:snapToGrid w:val="0"/>
        <w:spacing w:before="120" w:after="120" w:line="240" w:lineRule="auto"/>
        <w:ind w:left="1134" w:right="851"/>
        <w:jc w:val="both"/>
      </w:pPr>
      <w:r>
        <w:t>6.</w:t>
      </w:r>
      <w:r>
        <w:tab/>
        <w:t>Участники совещания обсудили вопрос о согласованности дат применения требований, указанных в таблице главы 9.2, с переходными мерами, предусмотренными в разделе 1.6.5. Принцип заключается в том, что переходные меры могут разрешать эксплуатацию транспортных средств, которые соответствуют уровню безопасности, установленному в предыдущем варианте ДОПОГ,</w:t>
      </w:r>
      <w:r w:rsidRPr="00C02B1B">
        <w:t xml:space="preserve"> </w:t>
      </w:r>
      <w:r>
        <w:t xml:space="preserve">или предусматривать прекращение их эксплуатации. Подробные положения в отношении применения требований, приведенные в колонке «Замечания» в таблице главы 9.2 ДОПОГ, устанавливают, начиная с какой даты и к каким группам транспортных средств применяются требования. </w:t>
      </w:r>
    </w:p>
    <w:p w14:paraId="6010C7F0" w14:textId="77777777" w:rsidR="003A3218" w:rsidRPr="00593FB7" w:rsidRDefault="003A3218" w:rsidP="003A3218">
      <w:pPr>
        <w:snapToGrid w:val="0"/>
        <w:spacing w:before="120" w:after="120" w:line="240" w:lineRule="auto"/>
        <w:ind w:left="1689" w:right="851" w:hanging="555"/>
      </w:pPr>
      <w:r>
        <w:lastRenderedPageBreak/>
        <w:t>7.</w:t>
      </w:r>
      <w:r>
        <w:tab/>
        <w:t>Например:</w:t>
      </w:r>
    </w:p>
    <w:p w14:paraId="7ED33DBE" w14:textId="77777777" w:rsidR="003A3218" w:rsidRPr="00593FB7" w:rsidRDefault="003A3218" w:rsidP="003A3218">
      <w:pPr>
        <w:snapToGrid w:val="0"/>
        <w:spacing w:before="120" w:after="120" w:line="240" w:lineRule="auto"/>
        <w:ind w:left="1689" w:right="851"/>
        <w:jc w:val="both"/>
      </w:pPr>
      <w:r>
        <w:t>–</w:t>
      </w:r>
      <w:r>
        <w:tab/>
        <w:t>автомобили максимальной массой более 16 т, не оборудованные антиблокировочной тормозной системой (АБС), больше не разрешается эксплуатировать для перевозки опасных грузов, поскольку истек срок действия переходной меры и она отменена;</w:t>
      </w:r>
    </w:p>
    <w:p w14:paraId="08F49006" w14:textId="77777777" w:rsidR="003A3218" w:rsidRPr="00593FB7" w:rsidRDefault="003A3218" w:rsidP="003A3218">
      <w:pPr>
        <w:snapToGrid w:val="0"/>
        <w:spacing w:before="120" w:after="120" w:line="240" w:lineRule="auto"/>
        <w:ind w:left="1689" w:right="851"/>
        <w:jc w:val="both"/>
      </w:pPr>
      <w:r>
        <w:t>–</w:t>
      </w:r>
      <w:r>
        <w:tab/>
        <w:t>транспортные средства, зарегистрированные до 1 апреля 2018 года, которые не соответствуют новым требованиям в отношении кабелей, введенным в ДОПОГ 2017 года, могут по-прежнему эксплуатироваться. В переходной мере не указывается дата истечения ее срока действия.</w:t>
      </w:r>
    </w:p>
    <w:p w14:paraId="2945DC2C" w14:textId="77777777" w:rsidR="003A3218" w:rsidRPr="00593FB7" w:rsidRDefault="003A3218" w:rsidP="003A3218">
      <w:pPr>
        <w:snapToGrid w:val="0"/>
        <w:spacing w:before="120" w:after="120" w:line="240" w:lineRule="auto"/>
        <w:ind w:left="1134" w:right="851"/>
        <w:jc w:val="both"/>
      </w:pPr>
      <w:r>
        <w:t>8.</w:t>
      </w:r>
      <w:r>
        <w:tab/>
        <w:t>Это означает, что транспортные средства, зарегистрированные до новой даты применения, могут отвечать более ранним требованиям (или не отвечать, если они не включены), если это разрешено соответствующей переходной мерой. Можно сделать вывод, что уровень безопасности остается приемлемым.</w:t>
      </w:r>
    </w:p>
    <w:p w14:paraId="781C3AFB" w14:textId="77777777" w:rsidR="003A3218" w:rsidRPr="00593FB7" w:rsidRDefault="003A3218" w:rsidP="003A3218">
      <w:pPr>
        <w:snapToGrid w:val="0"/>
        <w:spacing w:before="120" w:after="120" w:line="240" w:lineRule="auto"/>
        <w:ind w:left="1134" w:right="851"/>
        <w:jc w:val="both"/>
      </w:pPr>
      <w:r>
        <w:t>9.</w:t>
      </w:r>
      <w:r>
        <w:tab/>
        <w:t>В случае, когда транспортное средство впервые предъявляется для допущения к перевозке в соответствии с ДОПОГ после регистрации и общей эксплуатации, было бы целесообразно, чтобы на дату первой регистрации оно отвечало требованиям. Как говорилось выше, эта дата будет указывать на то, что уровень безопасности остается приемлемым.</w:t>
      </w:r>
    </w:p>
    <w:p w14:paraId="6E0F9575" w14:textId="3D3F7562" w:rsidR="003A3218" w:rsidRPr="00593FB7" w:rsidRDefault="003A3218" w:rsidP="003A3218">
      <w:pPr>
        <w:pStyle w:val="HChG"/>
      </w:pPr>
      <w:r>
        <w:tab/>
      </w:r>
      <w:r>
        <w:tab/>
      </w:r>
      <w:r>
        <w:rPr>
          <w:bCs/>
        </w:rPr>
        <w:t>Обновление транспортных средств в соответствии с</w:t>
      </w:r>
      <w:r w:rsidR="00DC5392">
        <w:rPr>
          <w:bCs/>
          <w:lang w:val="en-US"/>
        </w:rPr>
        <w:t> </w:t>
      </w:r>
      <w:r>
        <w:rPr>
          <w:bCs/>
        </w:rPr>
        <w:t>улучшенными стандартами</w:t>
      </w:r>
    </w:p>
    <w:p w14:paraId="66E5A775" w14:textId="463DDBFF" w:rsidR="003A3218" w:rsidRPr="00593FB7" w:rsidRDefault="003A3218" w:rsidP="003A3218">
      <w:pPr>
        <w:snapToGrid w:val="0"/>
        <w:spacing w:before="120" w:after="120" w:line="240" w:lineRule="auto"/>
        <w:ind w:left="1134" w:right="850"/>
        <w:jc w:val="both"/>
      </w:pPr>
      <w:r>
        <w:t>10.</w:t>
      </w:r>
      <w:r>
        <w:tab/>
        <w:t>Автомобили становятся все более сложными, и их все труднее модифицировать. С</w:t>
      </w:r>
      <w:r w:rsidR="00DC5392">
        <w:rPr>
          <w:lang w:val="en-US"/>
        </w:rPr>
        <w:t> </w:t>
      </w:r>
      <w:r>
        <w:t>технической точки зрения это возможно, но экономически неэффективно. Если добавить к этому средний срок службы тягачей или полуприцепов, составляющий от семи до десяти лет, то последствия использования даты первой регистрации для эксплуатации на автодорогах будут ограничены. Опыт последних лет показывает, что автомобили соответствуют Правилам № 105 ООН. В редких случаях, когда заявка подается на более позднем этапе срока службы автомобилей, это, как правило, означает, что они соответствуют данным Правилам ООН с даты их изготовления.</w:t>
      </w:r>
    </w:p>
    <w:p w14:paraId="13561A62" w14:textId="512986EF" w:rsidR="003A3218" w:rsidRPr="00593FB7" w:rsidRDefault="003A3218" w:rsidP="003A3218">
      <w:pPr>
        <w:snapToGrid w:val="0"/>
        <w:spacing w:before="120" w:after="120" w:line="240" w:lineRule="auto"/>
        <w:ind w:left="1134" w:right="850"/>
        <w:jc w:val="both"/>
      </w:pPr>
      <w:r>
        <w:t>11.</w:t>
      </w:r>
      <w:r>
        <w:tab/>
        <w:t xml:space="preserve">Для прицепов обновление является менее сложной задачей. Однако средний срок службы полуприцепа-цистерны составляет 25 лет. Этот период слишком велик для того, чтобы ходовая часть и электрическая система оставались надежными. Часть транспортного средства, на которой размещен идентификационный номер транспортного средства (ИНТС) и по которой определяется дата регистрации, </w:t>
      </w:r>
      <w:r w:rsidR="00805054" w:rsidRPr="00805054">
        <w:t>—</w:t>
      </w:r>
      <w:r>
        <w:t xml:space="preserve"> это шасси. Для</w:t>
      </w:r>
      <w:r w:rsidR="00805054">
        <w:rPr>
          <w:lang w:val="en-US"/>
        </w:rPr>
        <w:t> </w:t>
      </w:r>
      <w:r>
        <w:t xml:space="preserve">полуприцепов-цистерн шасси </w:t>
      </w:r>
      <w:r w:rsidR="00805054">
        <w:rPr>
          <w:lang w:val="en-US"/>
        </w:rPr>
        <w:t>—</w:t>
      </w:r>
      <w:r>
        <w:t xml:space="preserve"> это сама цистерна. В течение срока службы ходовая часть и электрическая система будут обновляться по мере того, как будут заканчиваться запасные части, и эффективнее заменять эти части новыми модернизированными деталями и современными технологиями при сохранении первоначальной даты регистрации. Прицепы для перевозки контейнеров, как правило, обслуживаются хуже, но их замена обходится дешевле. Для таких прицепов обновление может оказаться слишком дорогостоящим.</w:t>
      </w:r>
    </w:p>
    <w:p w14:paraId="693EE423" w14:textId="77777777" w:rsidR="003A3218" w:rsidRPr="00593FB7" w:rsidRDefault="003A3218" w:rsidP="00805054">
      <w:pPr>
        <w:pStyle w:val="HChG"/>
      </w:pPr>
      <w:r>
        <w:tab/>
      </w:r>
      <w:r>
        <w:tab/>
        <w:t>Предлагаемое решение</w:t>
      </w:r>
    </w:p>
    <w:p w14:paraId="302A7057" w14:textId="2CC2F7F2" w:rsidR="003A3218" w:rsidRPr="003A3218" w:rsidRDefault="003A3218" w:rsidP="003A3218">
      <w:pPr>
        <w:pStyle w:val="SingleTxtG"/>
      </w:pPr>
      <w:r>
        <w:t>12.</w:t>
      </w:r>
      <w:r>
        <w:tab/>
        <w:t>Рекомендуется использовать руководящие указания, касающиеся даты первой регистрации. В приложении к настоящему документу содержится предложение по новым руководящим указаниям для опубликования на веб-сайте ЕЭК ООН.</w:t>
      </w:r>
    </w:p>
    <w:p w14:paraId="5F306CE1" w14:textId="6F21B77C" w:rsidR="003A3218" w:rsidRDefault="003A3218">
      <w:pPr>
        <w:suppressAutoHyphens w:val="0"/>
        <w:spacing w:line="240" w:lineRule="auto"/>
        <w:rPr>
          <w:rFonts w:eastAsia="Times New Roman" w:cs="Times New Roman"/>
          <w:szCs w:val="20"/>
        </w:rPr>
      </w:pPr>
      <w:r>
        <w:br w:type="page"/>
      </w:r>
    </w:p>
    <w:p w14:paraId="25916F1E" w14:textId="77777777" w:rsidR="003A3218" w:rsidRPr="00593FB7" w:rsidRDefault="003A3218" w:rsidP="003A3218">
      <w:pPr>
        <w:pStyle w:val="HChG"/>
      </w:pPr>
      <w:r>
        <w:lastRenderedPageBreak/>
        <w:t>Приложение</w:t>
      </w:r>
    </w:p>
    <w:p w14:paraId="5760A944" w14:textId="203C2607" w:rsidR="003A3218" w:rsidRPr="00593FB7" w:rsidRDefault="003A3218" w:rsidP="003A3218">
      <w:pPr>
        <w:pStyle w:val="HChG"/>
      </w:pPr>
      <w:r>
        <w:tab/>
      </w:r>
      <w:r>
        <w:tab/>
        <w:t>Руководящие указания по определению даты первой регистрации дорожных транспортных средств (или даты ввода в эксплуатацию, если регистрация не является обязательной) для целей перевозки опасных грузов в</w:t>
      </w:r>
      <w:r>
        <w:rPr>
          <w:lang w:val="en-US"/>
        </w:rPr>
        <w:t> </w:t>
      </w:r>
      <w:r>
        <w:t>связи с применением требований главы 9.2</w:t>
      </w:r>
    </w:p>
    <w:p w14:paraId="324A679A" w14:textId="0DF62369" w:rsidR="003A3218" w:rsidRPr="00593FB7" w:rsidRDefault="003A3218" w:rsidP="003A3218">
      <w:pPr>
        <w:snapToGrid w:val="0"/>
        <w:spacing w:before="120" w:after="120" w:line="240" w:lineRule="auto"/>
        <w:ind w:left="1134" w:right="1134"/>
        <w:jc w:val="both"/>
      </w:pPr>
      <w:r>
        <w:tab/>
      </w:r>
      <w:r>
        <w:tab/>
        <w:t>В колонке «Замечания» таблицы, приведенной в разделе 9.2.2, содержится информация о том, к каким транспортным средствам применяются требования главы</w:t>
      </w:r>
      <w:r>
        <w:rPr>
          <w:lang w:val="en-US"/>
        </w:rPr>
        <w:t> </w:t>
      </w:r>
      <w:r>
        <w:t>9.2. Помимо категорий транспортных средств, информация о применении требований в большинстве случаев содержит также даты применения. Даты применения означают дату «первой регистрации». Если регистрация не является обязательной, используется дата ввода в эксплуатацию.</w:t>
      </w:r>
    </w:p>
    <w:p w14:paraId="6B7546E0" w14:textId="77777777" w:rsidR="003A3218" w:rsidRPr="00593FB7" w:rsidRDefault="003A3218" w:rsidP="003A3218">
      <w:pPr>
        <w:snapToGrid w:val="0"/>
        <w:spacing w:before="120" w:after="120" w:line="240" w:lineRule="auto"/>
        <w:ind w:left="1134" w:right="1134"/>
        <w:jc w:val="both"/>
      </w:pPr>
      <w:r>
        <w:tab/>
      </w:r>
      <w:r>
        <w:tab/>
        <w:t>Если используется дата «первой регистрации», то под ней следует понимать дату, когда транспортное средство было впервые допущено на автодорогу и было выдано разрешение, а не дату подачи первой заявки на получение «Свидетельства о допущении транспортных средств к перевозке опасных грузов».</w:t>
      </w:r>
    </w:p>
    <w:p w14:paraId="0D2CE79B" w14:textId="78255244" w:rsidR="003A3218" w:rsidRPr="00593FB7" w:rsidRDefault="003A3218" w:rsidP="003A3218">
      <w:pPr>
        <w:snapToGrid w:val="0"/>
        <w:spacing w:before="120" w:after="120" w:line="240" w:lineRule="auto"/>
        <w:ind w:left="1134" w:right="1134"/>
        <w:jc w:val="both"/>
      </w:pPr>
      <w:r>
        <w:tab/>
      </w:r>
      <w:r>
        <w:tab/>
        <w:t>В некоторых случаях регистрация не является обязательной, например для легких прицепов, или регистрация проводится при первой периодической проверке. В</w:t>
      </w:r>
      <w:r>
        <w:rPr>
          <w:lang w:val="en-US"/>
        </w:rPr>
        <w:t> </w:t>
      </w:r>
      <w:r>
        <w:t>этих случаях определяется дата ввода в эксплуатацию. Если дата ввода в эксплуатацию не может быть установлена надежным способом, рекомендуется использовать дату изготовления транспортного средства.</w:t>
      </w:r>
    </w:p>
    <w:p w14:paraId="0EBDCBE6" w14:textId="77777777" w:rsidR="003A3218" w:rsidRPr="00593FB7" w:rsidRDefault="003A3218" w:rsidP="003A3218">
      <w:pPr>
        <w:snapToGrid w:val="0"/>
        <w:spacing w:before="120" w:after="120" w:line="240" w:lineRule="auto"/>
        <w:ind w:left="1134" w:right="1134"/>
        <w:jc w:val="both"/>
      </w:pPr>
      <w:r>
        <w:tab/>
      </w:r>
      <w:r>
        <w:tab/>
        <w:t xml:space="preserve">При передаче транспортных средств из одной страны в другую используется дата регистрации в первоначальной стране регистрации. Если дата первой регистрации или первого ввода в эксплуатацию не может быть установлена надежным способом, то используется дата изготовления транспортного средства. </w:t>
      </w:r>
    </w:p>
    <w:p w14:paraId="2243FEF0" w14:textId="77777777" w:rsidR="003A3218" w:rsidRPr="00593FB7" w:rsidRDefault="003A3218" w:rsidP="003A3218">
      <w:pPr>
        <w:snapToGrid w:val="0"/>
        <w:spacing w:before="120" w:after="120" w:line="240" w:lineRule="auto"/>
        <w:ind w:left="1134" w:right="1134"/>
        <w:jc w:val="both"/>
      </w:pPr>
      <w:r>
        <w:tab/>
      </w:r>
      <w:r>
        <w:tab/>
        <w:t>Если транспортные средства эксплуатируются или эксплуатировались государственными службами и имеют собственную систему регистрации, может быть использована дата начала применения этой регистрации. Если эта дата не может быть установлена надежным способом, то используется дата изготовления транспортного средства.</w:t>
      </w:r>
    </w:p>
    <w:p w14:paraId="7B890E4C" w14:textId="144C7B28" w:rsidR="003A3218" w:rsidRDefault="003A3218" w:rsidP="003A3218">
      <w:pPr>
        <w:pStyle w:val="SingleTxtG"/>
      </w:pPr>
      <w:r>
        <w:tab/>
        <w:t>Когда заявка на получение свидетельства (ДОПОГ) о допущении к перевозке, упомянутого в разделе 9.1.3, подается после того, как транспортное средство уже было зарегистрировано и находилось в общей эксплуатации, применяются требования, действовавшие в момент первой регистрации (или ввода в эксплуатацию), если только переходные меры (или отмененные переходные меры) более не позволяют применять эти требования, действовавшие в момент первой регистрации. Под «общей эксплуатацией» подразумевается период, в течение которого транспортное средство фактически эксплуатируется, а не период, требующийся для завершения изготовления транспортного средства.</w:t>
      </w:r>
    </w:p>
    <w:p w14:paraId="6B082616" w14:textId="551D5B3D" w:rsidR="003A3218" w:rsidRPr="003A3218" w:rsidRDefault="003A3218" w:rsidP="003A3218">
      <w:pPr>
        <w:pStyle w:val="SingleTxtG"/>
        <w:spacing w:before="240" w:after="0"/>
        <w:jc w:val="center"/>
        <w:rPr>
          <w:u w:val="single"/>
        </w:rPr>
      </w:pPr>
      <w:r>
        <w:rPr>
          <w:u w:val="single"/>
        </w:rPr>
        <w:tab/>
      </w:r>
      <w:r>
        <w:rPr>
          <w:u w:val="single"/>
        </w:rPr>
        <w:tab/>
      </w:r>
      <w:r>
        <w:rPr>
          <w:u w:val="single"/>
        </w:rPr>
        <w:tab/>
      </w:r>
    </w:p>
    <w:sectPr w:rsidR="003A3218" w:rsidRPr="003A3218" w:rsidSect="003A3218">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F37A6" w14:textId="77777777" w:rsidR="00F66DD9" w:rsidRPr="00A312BC" w:rsidRDefault="00F66DD9" w:rsidP="00A312BC"/>
  </w:endnote>
  <w:endnote w:type="continuationSeparator" w:id="0">
    <w:p w14:paraId="69B1216C" w14:textId="77777777" w:rsidR="00F66DD9" w:rsidRPr="00A312BC" w:rsidRDefault="00F66DD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259D8" w14:textId="2FCBB114" w:rsidR="003A3218" w:rsidRPr="003A3218" w:rsidRDefault="003A3218">
    <w:pPr>
      <w:pStyle w:val="Footer"/>
    </w:pPr>
    <w:r w:rsidRPr="003A3218">
      <w:rPr>
        <w:b/>
        <w:sz w:val="18"/>
      </w:rPr>
      <w:fldChar w:fldCharType="begin"/>
    </w:r>
    <w:r w:rsidRPr="003A3218">
      <w:rPr>
        <w:b/>
        <w:sz w:val="18"/>
      </w:rPr>
      <w:instrText xml:space="preserve"> PAGE  \* MERGEFORMAT </w:instrText>
    </w:r>
    <w:r w:rsidRPr="003A3218">
      <w:rPr>
        <w:b/>
        <w:sz w:val="18"/>
      </w:rPr>
      <w:fldChar w:fldCharType="separate"/>
    </w:r>
    <w:r w:rsidRPr="003A3218">
      <w:rPr>
        <w:b/>
        <w:noProof/>
        <w:sz w:val="18"/>
      </w:rPr>
      <w:t>2</w:t>
    </w:r>
    <w:r w:rsidRPr="003A3218">
      <w:rPr>
        <w:b/>
        <w:sz w:val="18"/>
      </w:rPr>
      <w:fldChar w:fldCharType="end"/>
    </w:r>
    <w:r>
      <w:rPr>
        <w:b/>
        <w:sz w:val="18"/>
      </w:rPr>
      <w:tab/>
    </w:r>
    <w:r>
      <w:t>GE.21-11656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CE733" w14:textId="4856072A" w:rsidR="003A3218" w:rsidRPr="003A3218" w:rsidRDefault="003A3218" w:rsidP="003A3218">
    <w:pPr>
      <w:pStyle w:val="Footer"/>
      <w:tabs>
        <w:tab w:val="clear" w:pos="9639"/>
        <w:tab w:val="right" w:pos="9638"/>
      </w:tabs>
      <w:rPr>
        <w:b/>
        <w:sz w:val="18"/>
      </w:rPr>
    </w:pPr>
    <w:r>
      <w:t>GE.21-11656</w:t>
    </w:r>
    <w:r>
      <w:tab/>
    </w:r>
    <w:r w:rsidRPr="003A3218">
      <w:rPr>
        <w:b/>
        <w:sz w:val="18"/>
      </w:rPr>
      <w:fldChar w:fldCharType="begin"/>
    </w:r>
    <w:r w:rsidRPr="003A3218">
      <w:rPr>
        <w:b/>
        <w:sz w:val="18"/>
      </w:rPr>
      <w:instrText xml:space="preserve"> PAGE  \* MERGEFORMAT </w:instrText>
    </w:r>
    <w:r w:rsidRPr="003A3218">
      <w:rPr>
        <w:b/>
        <w:sz w:val="18"/>
      </w:rPr>
      <w:fldChar w:fldCharType="separate"/>
    </w:r>
    <w:r w:rsidRPr="003A3218">
      <w:rPr>
        <w:b/>
        <w:noProof/>
        <w:sz w:val="18"/>
      </w:rPr>
      <w:t>3</w:t>
    </w:r>
    <w:r w:rsidRPr="003A321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95E53" w14:textId="669AA20F" w:rsidR="00042B72" w:rsidRPr="00805054" w:rsidRDefault="003A3218" w:rsidP="003A3218">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251B11F" wp14:editId="4132B9B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11656  (</w:t>
    </w:r>
    <w:proofErr w:type="gramEnd"/>
    <w:r>
      <w:t>R)</w:t>
    </w:r>
    <w:r>
      <w:rPr>
        <w:noProof/>
      </w:rPr>
      <w:drawing>
        <wp:anchor distT="0" distB="0" distL="114300" distR="114300" simplePos="0" relativeHeight="251659264" behindDoc="0" locked="0" layoutInCell="1" allowOverlap="1" wp14:anchorId="50C7C723" wp14:editId="61609F8D">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05054">
      <w:rPr>
        <w:lang w:val="en-US"/>
      </w:rPr>
      <w:t xml:space="preserve">  300821  060921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31E35" w14:textId="77777777" w:rsidR="00F66DD9" w:rsidRPr="001075E9" w:rsidRDefault="00F66DD9" w:rsidP="001075E9">
      <w:pPr>
        <w:tabs>
          <w:tab w:val="right" w:pos="2155"/>
        </w:tabs>
        <w:spacing w:after="80" w:line="240" w:lineRule="auto"/>
        <w:ind w:left="680"/>
        <w:rPr>
          <w:u w:val="single"/>
        </w:rPr>
      </w:pPr>
      <w:r>
        <w:rPr>
          <w:u w:val="single"/>
        </w:rPr>
        <w:tab/>
      </w:r>
    </w:p>
  </w:footnote>
  <w:footnote w:type="continuationSeparator" w:id="0">
    <w:p w14:paraId="1184202C" w14:textId="77777777" w:rsidR="00F66DD9" w:rsidRDefault="00F66DD9" w:rsidP="00407B78">
      <w:pPr>
        <w:tabs>
          <w:tab w:val="right" w:pos="2155"/>
        </w:tabs>
        <w:spacing w:after="80"/>
        <w:ind w:left="680"/>
        <w:rPr>
          <w:u w:val="single"/>
        </w:rPr>
      </w:pPr>
      <w:r>
        <w:rPr>
          <w:u w:val="single"/>
        </w:rPr>
        <w:tab/>
      </w:r>
    </w:p>
  </w:footnote>
  <w:footnote w:id="1">
    <w:p w14:paraId="5CA52C47" w14:textId="3E9B559A" w:rsidR="003A3218" w:rsidRDefault="000F3002" w:rsidP="000F3002">
      <w:pPr>
        <w:pStyle w:val="FootnoteText"/>
      </w:pPr>
      <w:r>
        <w:rPr>
          <w:b/>
          <w:bCs/>
          <w:sz w:val="20"/>
        </w:rPr>
        <w:tab/>
      </w:r>
      <w:r w:rsidR="003A3218" w:rsidRPr="000F3002">
        <w:rPr>
          <w:rStyle w:val="FootnoteReference"/>
          <w:sz w:val="20"/>
          <w:vertAlign w:val="baseline"/>
        </w:rPr>
        <w:sym w:font="Symbol" w:char="F02A"/>
      </w:r>
      <w:r w:rsidR="003A3218">
        <w:tab/>
        <w:t>A/75/6 (разд. 20), п.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48575" w14:textId="1C6FA204" w:rsidR="003A3218" w:rsidRPr="003A3218" w:rsidRDefault="007E2323">
    <w:pPr>
      <w:pStyle w:val="Header"/>
    </w:pPr>
    <w:r>
      <w:fldChar w:fldCharType="begin"/>
    </w:r>
    <w:r>
      <w:instrText xml:space="preserve"> TITLE  \* </w:instrText>
    </w:r>
    <w:r>
      <w:instrText xml:space="preserve">MERGEFORMAT </w:instrText>
    </w:r>
    <w:r>
      <w:fldChar w:fldCharType="separate"/>
    </w:r>
    <w:r w:rsidR="006421E0">
      <w:t>ECE/TRANS/WP.15/2021/9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ABDC7" w14:textId="065095D5" w:rsidR="003A3218" w:rsidRPr="003A3218" w:rsidRDefault="007E2323" w:rsidP="003A3218">
    <w:pPr>
      <w:pStyle w:val="Header"/>
      <w:jc w:val="right"/>
    </w:pPr>
    <w:r>
      <w:fldChar w:fldCharType="begin"/>
    </w:r>
    <w:r>
      <w:instrText xml:space="preserve"> TITLE  \* MERGEFORMAT </w:instrText>
    </w:r>
    <w:r>
      <w:fldChar w:fldCharType="separate"/>
    </w:r>
    <w:r w:rsidR="006421E0">
      <w:t>ECE/TRANS/WP.15/2021/9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D9"/>
    <w:rsid w:val="00033EE1"/>
    <w:rsid w:val="00042B72"/>
    <w:rsid w:val="000558BD"/>
    <w:rsid w:val="000B57E7"/>
    <w:rsid w:val="000B6373"/>
    <w:rsid w:val="000E4E5B"/>
    <w:rsid w:val="000F09DF"/>
    <w:rsid w:val="000F3002"/>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3218"/>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421E0"/>
    <w:rsid w:val="00680D03"/>
    <w:rsid w:val="00681A10"/>
    <w:rsid w:val="006A1ED8"/>
    <w:rsid w:val="006C2031"/>
    <w:rsid w:val="006D461A"/>
    <w:rsid w:val="006F35EE"/>
    <w:rsid w:val="007021FF"/>
    <w:rsid w:val="00712895"/>
    <w:rsid w:val="00734ACB"/>
    <w:rsid w:val="00757357"/>
    <w:rsid w:val="00792497"/>
    <w:rsid w:val="007E2323"/>
    <w:rsid w:val="00805054"/>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067D2"/>
    <w:rsid w:val="00D33D63"/>
    <w:rsid w:val="00D5253A"/>
    <w:rsid w:val="00D873A8"/>
    <w:rsid w:val="00D90028"/>
    <w:rsid w:val="00D90138"/>
    <w:rsid w:val="00D9145B"/>
    <w:rsid w:val="00DC5392"/>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66DD9"/>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4AC05C"/>
  <w15:docId w15:val="{2686E843-7B96-4762-AB7B-98CC38C3E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HChGChar">
    <w:name w:val="_ H _Ch_G Char"/>
    <w:link w:val="HChG"/>
    <w:rsid w:val="003A3218"/>
    <w:rPr>
      <w:b/>
      <w:sz w:val="28"/>
      <w:lang w:val="ru-RU" w:eastAsia="ru-RU"/>
    </w:rPr>
  </w:style>
  <w:style w:type="character" w:customStyle="1" w:styleId="SingleTxtGChar">
    <w:name w:val="_ Single Txt_G Char"/>
    <w:link w:val="SingleTxtG"/>
    <w:rsid w:val="003A3218"/>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1567</Words>
  <Characters>8698</Characters>
  <Application>Microsoft Office Word</Application>
  <DocSecurity>0</DocSecurity>
  <Lines>155</Lines>
  <Paragraphs>55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ECE/TRANS/WP.15/2021/9</vt:lpstr>
      <vt:lpstr>A/</vt:lpstr>
      <vt:lpstr>A/</vt:lpstr>
    </vt:vector>
  </TitlesOfParts>
  <Company>DCM</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ECE/TRANS/WP.15/2021/9</dc:title>
  <dc:subject/>
  <dc:creator>Marina KOROTKOVA</dc:creator>
  <cp:keywords/>
  <cp:lastModifiedBy>Christine Barrio-Champeau</cp:lastModifiedBy>
  <cp:revision>2</cp:revision>
  <cp:lastPrinted>2021-09-06T07:53:00Z</cp:lastPrinted>
  <dcterms:created xsi:type="dcterms:W3CDTF">2021-09-20T11:43:00Z</dcterms:created>
  <dcterms:modified xsi:type="dcterms:W3CDTF">2021-09-20T11:43:00Z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