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09121C4" w14:textId="77777777" w:rsidTr="00387CD4">
        <w:trPr>
          <w:trHeight w:hRule="exact" w:val="851"/>
        </w:trPr>
        <w:tc>
          <w:tcPr>
            <w:tcW w:w="142" w:type="dxa"/>
            <w:tcBorders>
              <w:bottom w:val="single" w:sz="4" w:space="0" w:color="auto"/>
            </w:tcBorders>
          </w:tcPr>
          <w:p w14:paraId="625953C0" w14:textId="77777777" w:rsidR="002D5AAC" w:rsidRDefault="002D5AAC" w:rsidP="0007262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7EED4C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064A816" w14:textId="56A24C1F" w:rsidR="002D5AAC" w:rsidRDefault="00072620" w:rsidP="00072620">
            <w:pPr>
              <w:jc w:val="right"/>
            </w:pPr>
            <w:r w:rsidRPr="00072620">
              <w:rPr>
                <w:sz w:val="40"/>
              </w:rPr>
              <w:t>ECE</w:t>
            </w:r>
            <w:r>
              <w:t>/TRANS/WP.15/2021/11</w:t>
            </w:r>
          </w:p>
        </w:tc>
      </w:tr>
      <w:tr w:rsidR="002D5AAC" w:rsidRPr="001E28E1" w14:paraId="508A6413" w14:textId="77777777" w:rsidTr="00387CD4">
        <w:trPr>
          <w:trHeight w:hRule="exact" w:val="2835"/>
        </w:trPr>
        <w:tc>
          <w:tcPr>
            <w:tcW w:w="1280" w:type="dxa"/>
            <w:gridSpan w:val="2"/>
            <w:tcBorders>
              <w:top w:val="single" w:sz="4" w:space="0" w:color="auto"/>
              <w:bottom w:val="single" w:sz="12" w:space="0" w:color="auto"/>
            </w:tcBorders>
          </w:tcPr>
          <w:p w14:paraId="0AC94AE0" w14:textId="77777777" w:rsidR="002D5AAC" w:rsidRDefault="002E5067" w:rsidP="00387CD4">
            <w:pPr>
              <w:spacing w:before="120"/>
              <w:jc w:val="center"/>
            </w:pPr>
            <w:r>
              <w:rPr>
                <w:noProof/>
                <w:lang w:val="fr-CH" w:eastAsia="fr-CH"/>
              </w:rPr>
              <w:drawing>
                <wp:inline distT="0" distB="0" distL="0" distR="0" wp14:anchorId="7E082D29" wp14:editId="1AB98A1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74A31C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AA56B76" w14:textId="77777777" w:rsidR="002D5AAC" w:rsidRDefault="00072620" w:rsidP="00387CD4">
            <w:pPr>
              <w:spacing w:before="240"/>
              <w:rPr>
                <w:lang w:val="en-US"/>
              </w:rPr>
            </w:pPr>
            <w:r>
              <w:rPr>
                <w:lang w:val="en-US"/>
              </w:rPr>
              <w:t>Distr.: General</w:t>
            </w:r>
          </w:p>
          <w:p w14:paraId="26352C86" w14:textId="12B98D99" w:rsidR="00072620" w:rsidRDefault="00072620" w:rsidP="00072620">
            <w:pPr>
              <w:spacing w:line="240" w:lineRule="exact"/>
              <w:rPr>
                <w:lang w:val="en-US"/>
              </w:rPr>
            </w:pPr>
            <w:r>
              <w:rPr>
                <w:lang w:val="en-US"/>
              </w:rPr>
              <w:t>24 August 2021</w:t>
            </w:r>
          </w:p>
          <w:p w14:paraId="734FF2FA" w14:textId="77777777" w:rsidR="00072620" w:rsidRDefault="00072620" w:rsidP="00072620">
            <w:pPr>
              <w:spacing w:line="240" w:lineRule="exact"/>
              <w:rPr>
                <w:lang w:val="en-US"/>
              </w:rPr>
            </w:pPr>
            <w:r>
              <w:rPr>
                <w:lang w:val="en-US"/>
              </w:rPr>
              <w:t>Russian</w:t>
            </w:r>
          </w:p>
          <w:p w14:paraId="2464F7FD" w14:textId="138DE232" w:rsidR="00072620" w:rsidRPr="008D53B6" w:rsidRDefault="00072620" w:rsidP="00072620">
            <w:pPr>
              <w:spacing w:line="240" w:lineRule="exact"/>
              <w:rPr>
                <w:lang w:val="en-US"/>
              </w:rPr>
            </w:pPr>
            <w:r>
              <w:rPr>
                <w:lang w:val="en-US"/>
              </w:rPr>
              <w:t>Original: English</w:t>
            </w:r>
          </w:p>
        </w:tc>
      </w:tr>
    </w:tbl>
    <w:p w14:paraId="682E0B76"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EC1ADD1" w14:textId="77777777" w:rsidR="00B921DB" w:rsidRPr="009A34C9" w:rsidRDefault="00B921DB" w:rsidP="00B921DB">
      <w:pPr>
        <w:spacing w:before="120"/>
        <w:rPr>
          <w:sz w:val="28"/>
          <w:szCs w:val="28"/>
        </w:rPr>
      </w:pPr>
      <w:r w:rsidRPr="009A34C9">
        <w:rPr>
          <w:sz w:val="28"/>
          <w:szCs w:val="28"/>
        </w:rPr>
        <w:t>Комитет по внутреннему транспорту</w:t>
      </w:r>
    </w:p>
    <w:p w14:paraId="0735F1F7" w14:textId="77777777" w:rsidR="00B921DB" w:rsidRPr="009A34C9" w:rsidRDefault="00B921DB" w:rsidP="00B921DB">
      <w:pPr>
        <w:spacing w:before="120"/>
        <w:rPr>
          <w:b/>
          <w:sz w:val="24"/>
          <w:szCs w:val="24"/>
        </w:rPr>
      </w:pPr>
      <w:r w:rsidRPr="009A34C9">
        <w:rPr>
          <w:b/>
          <w:bCs/>
          <w:sz w:val="24"/>
          <w:szCs w:val="24"/>
        </w:rPr>
        <w:t>Рабочая группа по перевозкам опасных грузов</w:t>
      </w:r>
    </w:p>
    <w:p w14:paraId="3B903C57" w14:textId="77777777" w:rsidR="00B921DB" w:rsidRPr="00D105B8" w:rsidRDefault="00B921DB" w:rsidP="00B921DB">
      <w:pPr>
        <w:spacing w:before="120"/>
        <w:rPr>
          <w:b/>
          <w:bCs/>
        </w:rPr>
      </w:pPr>
      <w:r>
        <w:rPr>
          <w:b/>
          <w:bCs/>
        </w:rPr>
        <w:t>Сто десятая сессия</w:t>
      </w:r>
    </w:p>
    <w:p w14:paraId="2767A482" w14:textId="77777777" w:rsidR="00B921DB" w:rsidRPr="00D105B8" w:rsidRDefault="00B921DB" w:rsidP="00B921DB">
      <w:pPr>
        <w:rPr>
          <w:rFonts w:eastAsia="SimSun"/>
        </w:rPr>
      </w:pPr>
      <w:r>
        <w:t>Женева, 8–12 ноября 2021 года</w:t>
      </w:r>
    </w:p>
    <w:p w14:paraId="4E1ECCF8" w14:textId="77777777" w:rsidR="00B921DB" w:rsidRPr="00D105B8" w:rsidRDefault="00B921DB" w:rsidP="00B921DB">
      <w:r>
        <w:t>Пункт 5 а) предварительной повестки дня</w:t>
      </w:r>
    </w:p>
    <w:p w14:paraId="0EAA1359" w14:textId="74D842CF" w:rsidR="00B921DB" w:rsidRPr="00D105B8" w:rsidRDefault="00B921DB" w:rsidP="00B921DB">
      <w:pPr>
        <w:rPr>
          <w:b/>
          <w:bCs/>
        </w:rPr>
      </w:pPr>
      <w:r>
        <w:rPr>
          <w:b/>
          <w:bCs/>
        </w:rPr>
        <w:t xml:space="preserve">Предложения о внесении поправок </w:t>
      </w:r>
      <w:r>
        <w:rPr>
          <w:b/>
          <w:bCs/>
        </w:rPr>
        <w:br/>
        <w:t>в приложения А и B к ДОПОГ:</w:t>
      </w:r>
    </w:p>
    <w:p w14:paraId="2DB4FB39" w14:textId="27880459" w:rsidR="00B921DB" w:rsidRPr="00D105B8" w:rsidRDefault="00B921DB" w:rsidP="00B921DB">
      <w:pPr>
        <w:rPr>
          <w:b/>
          <w:bCs/>
        </w:rPr>
      </w:pPr>
      <w:r>
        <w:rPr>
          <w:b/>
          <w:bCs/>
        </w:rPr>
        <w:t xml:space="preserve">конструкция и допущение к перевозке </w:t>
      </w:r>
      <w:r>
        <w:rPr>
          <w:b/>
          <w:bCs/>
        </w:rPr>
        <w:br/>
        <w:t>транспортных средств</w:t>
      </w:r>
    </w:p>
    <w:p w14:paraId="131694E6" w14:textId="77777777" w:rsidR="00B921DB" w:rsidRPr="00D105B8" w:rsidRDefault="00B921DB" w:rsidP="00B921DB">
      <w:pPr>
        <w:pStyle w:val="HChG"/>
      </w:pPr>
      <w:r>
        <w:tab/>
      </w:r>
      <w:r>
        <w:tab/>
      </w:r>
      <w:r>
        <w:rPr>
          <w:bCs/>
        </w:rPr>
        <w:t>Системы пожаротушения моторного отсека и системы защиты от загорания шин для снижения вероятности взрыва расширяющихся паров кипящей жидкости (BLEVE) или иного катастрофического разрушения цистерны в результате пожара</w:t>
      </w:r>
    </w:p>
    <w:p w14:paraId="645AF134" w14:textId="076C3E1B" w:rsidR="00B921DB" w:rsidRPr="00B921DB" w:rsidRDefault="00B921DB" w:rsidP="00B921DB">
      <w:pPr>
        <w:pStyle w:val="H1G"/>
        <w:rPr>
          <w:b w:val="0"/>
          <w:sz w:val="20"/>
        </w:rPr>
      </w:pPr>
      <w:r>
        <w:tab/>
      </w:r>
      <w:r>
        <w:tab/>
      </w:r>
      <w:r>
        <w:rPr>
          <w:bCs/>
        </w:rPr>
        <w:t>Передано правительством Испании от имени неофициальной рабочей группы по BLEVE Совместного совещания</w:t>
      </w:r>
      <w:r w:rsidRPr="00B921DB">
        <w:rPr>
          <w:rStyle w:val="FootnoteReference"/>
          <w:b w:val="0"/>
          <w:sz w:val="20"/>
          <w:vertAlign w:val="baseline"/>
        </w:rPr>
        <w:footnoteReference w:customMarkFollows="1" w:id="1"/>
        <w:t>*</w:t>
      </w:r>
    </w:p>
    <w:tbl>
      <w:tblPr>
        <w:tblStyle w:val="TableGrid"/>
        <w:tblW w:w="0" w:type="auto"/>
        <w:jc w:val="center"/>
        <w:tblBorders>
          <w:insideH w:val="none" w:sz="0" w:space="0" w:color="auto"/>
        </w:tblBorders>
        <w:tblLayout w:type="fixed"/>
        <w:tblLook w:val="05E0" w:firstRow="1" w:lastRow="1" w:firstColumn="1" w:lastColumn="1" w:noHBand="0" w:noVBand="1"/>
      </w:tblPr>
      <w:tblGrid>
        <w:gridCol w:w="9628"/>
      </w:tblGrid>
      <w:tr w:rsidR="00B921DB" w:rsidRPr="00710061" w14:paraId="19EF3CA4" w14:textId="77777777" w:rsidTr="000E2BD7">
        <w:trPr>
          <w:trHeight w:val="687"/>
          <w:jc w:val="center"/>
        </w:trPr>
        <w:tc>
          <w:tcPr>
            <w:tcW w:w="9628" w:type="dxa"/>
            <w:tcBorders>
              <w:top w:val="single" w:sz="4" w:space="0" w:color="auto"/>
              <w:left w:val="single" w:sz="4" w:space="0" w:color="auto"/>
              <w:bottom w:val="nil"/>
              <w:right w:val="single" w:sz="4" w:space="0" w:color="auto"/>
            </w:tcBorders>
            <w:hideMark/>
          </w:tcPr>
          <w:p w14:paraId="40A520FC" w14:textId="00A92806" w:rsidR="00B921DB" w:rsidRPr="00B921DB" w:rsidRDefault="00B921DB" w:rsidP="00B921DB">
            <w:pPr>
              <w:tabs>
                <w:tab w:val="left" w:pos="255"/>
              </w:tabs>
              <w:spacing w:before="240" w:after="120"/>
              <w:rPr>
                <w:i/>
                <w:sz w:val="24"/>
                <w:szCs w:val="24"/>
              </w:rPr>
            </w:pPr>
            <w:r>
              <w:rPr>
                <w:rFonts w:cs="Times New Roman"/>
                <w:i/>
                <w:sz w:val="24"/>
              </w:rPr>
              <w:tab/>
            </w:r>
            <w:r w:rsidRPr="00B921DB">
              <w:rPr>
                <w:rFonts w:cs="Times New Roman"/>
                <w:i/>
                <w:sz w:val="24"/>
              </w:rPr>
              <w:t>Резюме</w:t>
            </w:r>
          </w:p>
        </w:tc>
      </w:tr>
      <w:tr w:rsidR="00B921DB" w:rsidRPr="00762BED" w14:paraId="401AB3B3" w14:textId="77777777" w:rsidTr="000E2BD7">
        <w:trPr>
          <w:jc w:val="center"/>
        </w:trPr>
        <w:tc>
          <w:tcPr>
            <w:tcW w:w="9628" w:type="dxa"/>
            <w:tcBorders>
              <w:top w:val="nil"/>
              <w:left w:val="single" w:sz="4" w:space="0" w:color="auto"/>
              <w:bottom w:val="nil"/>
              <w:right w:val="single" w:sz="4" w:space="0" w:color="auto"/>
            </w:tcBorders>
            <w:hideMark/>
          </w:tcPr>
          <w:p w14:paraId="09F611EF" w14:textId="77777777" w:rsidR="00B921DB" w:rsidRPr="00D105B8" w:rsidRDefault="00B921DB" w:rsidP="000E2BD7">
            <w:pPr>
              <w:pStyle w:val="SingleTxtG"/>
              <w:ind w:left="3686" w:hanging="2552"/>
              <w:rPr>
                <w:b/>
              </w:rPr>
            </w:pPr>
            <w:r>
              <w:rPr>
                <w:b/>
                <w:bCs/>
              </w:rPr>
              <w:t>Существо предложения:</w:t>
            </w:r>
            <w:r>
              <w:tab/>
              <w:t>Предложения по включению в ДОПОГ положений о системе пожаротушения моторного отсека и теплозащитном экране для предотвращения опасности BLEVE или иного катастрофического разрушения цистерны в результате пожара.</w:t>
            </w:r>
            <w:bookmarkStart w:id="0" w:name="_Hlk76718327"/>
            <w:bookmarkEnd w:id="0"/>
          </w:p>
        </w:tc>
      </w:tr>
      <w:tr w:rsidR="00B921DB" w:rsidRPr="00762BED" w14:paraId="1937E098" w14:textId="77777777" w:rsidTr="000E2BD7">
        <w:trPr>
          <w:trHeight w:val="1420"/>
          <w:jc w:val="center"/>
        </w:trPr>
        <w:tc>
          <w:tcPr>
            <w:tcW w:w="9628" w:type="dxa"/>
            <w:tcBorders>
              <w:top w:val="nil"/>
              <w:left w:val="single" w:sz="4" w:space="0" w:color="auto"/>
              <w:bottom w:val="nil"/>
              <w:right w:val="single" w:sz="4" w:space="0" w:color="auto"/>
            </w:tcBorders>
            <w:hideMark/>
          </w:tcPr>
          <w:p w14:paraId="5B6CA481" w14:textId="77777777" w:rsidR="00B921DB" w:rsidRPr="00D105B8" w:rsidRDefault="00B921DB" w:rsidP="000E2BD7">
            <w:pPr>
              <w:pStyle w:val="SingleTxtG"/>
              <w:ind w:left="3686" w:hanging="2552"/>
            </w:pPr>
            <w:r>
              <w:rPr>
                <w:b/>
                <w:bCs/>
              </w:rPr>
              <w:t>Предлагаемое решение:</w:t>
            </w:r>
            <w:r>
              <w:tab/>
              <w:t>Рассмотреть предлагаемые поправки к разделу 9.7.9 ДОПОГ.</w:t>
            </w:r>
          </w:p>
          <w:p w14:paraId="71EFD7D4" w14:textId="77777777" w:rsidR="00B921DB" w:rsidRPr="00D105B8" w:rsidRDefault="00B921DB" w:rsidP="000E2BD7">
            <w:pPr>
              <w:pStyle w:val="SingleTxtG"/>
              <w:spacing w:after="0"/>
              <w:ind w:left="3686" w:hanging="2552"/>
            </w:pPr>
            <w:r>
              <w:rPr>
                <w:b/>
                <w:bCs/>
              </w:rPr>
              <w:t>Справочные документы:</w:t>
            </w:r>
            <w:r>
              <w:t xml:space="preserve"> </w:t>
            </w:r>
            <w:r>
              <w:tab/>
              <w:t>ECE/TRANS/WP.15/AC.1/2020/42, неофициальный документ INF.7 и Add.1–Add.7 осенней сессии Совместного совещания 2020 года и неофициальный документ INF.7 сто девятой сессии Рабочей группы (май 2021 года).</w:t>
            </w:r>
          </w:p>
        </w:tc>
      </w:tr>
      <w:tr w:rsidR="00B921DB" w:rsidRPr="00762BED" w14:paraId="6C65024B" w14:textId="77777777" w:rsidTr="000E2BD7">
        <w:trPr>
          <w:jc w:val="center"/>
        </w:trPr>
        <w:tc>
          <w:tcPr>
            <w:tcW w:w="9628" w:type="dxa"/>
            <w:tcBorders>
              <w:top w:val="nil"/>
              <w:left w:val="single" w:sz="4" w:space="0" w:color="auto"/>
              <w:bottom w:val="single" w:sz="4" w:space="0" w:color="auto"/>
              <w:right w:val="single" w:sz="4" w:space="0" w:color="auto"/>
            </w:tcBorders>
          </w:tcPr>
          <w:p w14:paraId="0FAFF55F" w14:textId="77777777" w:rsidR="00B921DB" w:rsidRPr="00D105B8" w:rsidRDefault="00B921DB" w:rsidP="000E2BD7"/>
        </w:tc>
      </w:tr>
    </w:tbl>
    <w:p w14:paraId="7A15EDB4" w14:textId="77777777" w:rsidR="00B921DB" w:rsidRPr="00D105B8" w:rsidRDefault="00B921DB" w:rsidP="00B921DB">
      <w:pPr>
        <w:pStyle w:val="HChG"/>
      </w:pPr>
      <w:r>
        <w:lastRenderedPageBreak/>
        <w:tab/>
      </w:r>
      <w:r>
        <w:tab/>
      </w:r>
      <w:r>
        <w:rPr>
          <w:bCs/>
        </w:rPr>
        <w:t>Введение</w:t>
      </w:r>
    </w:p>
    <w:p w14:paraId="364D1956" w14:textId="77777777" w:rsidR="00B921DB" w:rsidRPr="00D105B8" w:rsidRDefault="00B921DB" w:rsidP="00B921DB">
      <w:pPr>
        <w:pStyle w:val="SingleTxtG"/>
      </w:pPr>
      <w:r>
        <w:t>1.</w:t>
      </w:r>
      <w:r>
        <w:tab/>
        <w:t>Неофициальная рабочая группа по BLEVE, работающая в соответствии с кругом ведения, определенным Совместным совещанием, рассматривает меры, которые позволят предотвратить BLEVE или иное катастрофическое разрушение цистерны в случае пожара при перевозке легковоспламеняющихся жидкостей и воспламеняющихся газов.</w:t>
      </w:r>
    </w:p>
    <w:p w14:paraId="46D1D753" w14:textId="36F2EE68" w:rsidR="00B921DB" w:rsidRPr="009A34C9" w:rsidRDefault="00B921DB" w:rsidP="00B921DB">
      <w:pPr>
        <w:pStyle w:val="SingleTxtG"/>
      </w:pPr>
      <w:r>
        <w:t>2.</w:t>
      </w:r>
      <w:r>
        <w:tab/>
        <w:t>Меры, которые могут снизить риск BLEVE, изучаются неофициальной рабочей групп</w:t>
      </w:r>
      <w:r w:rsidR="00EC507F">
        <w:t>ой</w:t>
      </w:r>
      <w:r>
        <w:t xml:space="preserve"> по BLEVE с 2006 года. Однако следует отметить, что в 2014 году мандат группы был расширен Совместным совещанием и теперь включает рассмотрение мер защиты, которые позволят снизить риск иного катастрофического разрушения цистерны в случае пожара (см. ECE/TRANS/WP.15/AC.1/136).</w:t>
      </w:r>
    </w:p>
    <w:p w14:paraId="7B3E783F" w14:textId="77777777" w:rsidR="00B921DB" w:rsidRPr="00D105B8" w:rsidRDefault="00B921DB" w:rsidP="00B921DB">
      <w:pPr>
        <w:pStyle w:val="SingleTxtG"/>
      </w:pPr>
      <w:r>
        <w:t>3.</w:t>
      </w:r>
      <w:r>
        <w:tab/>
        <w:t>На Совместном совещании, состоявшемся в сентябре 2020 года, были представлены документы ECE/TRANS/WP.15/AC.1/2020/42, неофициальный документ INF.7 и Add.1–Add.7 и неофициальный документ INF.20, и после их обсуждения были приняты следующие решения (см. доклад в документе ECE/TRANS/WP.15/AC.1/158):</w:t>
      </w:r>
      <w:bookmarkStart w:id="1" w:name="_Hlk80262317"/>
      <w:bookmarkEnd w:id="1"/>
    </w:p>
    <w:p w14:paraId="2697F4B6" w14:textId="753BFCB6" w:rsidR="00B921DB" w:rsidRPr="00D105B8" w:rsidRDefault="00B05B8F" w:rsidP="00B05B8F">
      <w:pPr>
        <w:pStyle w:val="H1G"/>
      </w:pPr>
      <w:r>
        <w:tab/>
      </w:r>
      <w:r>
        <w:tab/>
      </w:r>
      <w:r w:rsidR="00B921DB" w:rsidRPr="00B05B8F">
        <w:rPr>
          <w:b w:val="0"/>
          <w:bCs/>
          <w:sz w:val="20"/>
        </w:rPr>
        <w:t>«</w:t>
      </w:r>
      <w:r w:rsidR="00B921DB" w:rsidRPr="00EC507F">
        <w:t>Доклад о работе совещания рабочей группы по BLEVE, состоявшегося в Мадриде 22–24 октября 2019 года</w:t>
      </w:r>
    </w:p>
    <w:p w14:paraId="2E93AC48" w14:textId="34769E78" w:rsidR="00B921DB" w:rsidRPr="00D105B8" w:rsidRDefault="00B921DB" w:rsidP="00B921DB">
      <w:pPr>
        <w:pStyle w:val="SingleTxtG"/>
        <w:ind w:left="3969" w:right="993" w:hanging="2268"/>
        <w:jc w:val="left"/>
      </w:pPr>
      <w:r w:rsidRPr="007C3C77">
        <w:rPr>
          <w:i/>
          <w:iCs/>
        </w:rPr>
        <w:t>Документ:</w:t>
      </w:r>
      <w:r>
        <w:tab/>
        <w:t>ECE/TRANS/WP.15/AC.1/2020/42 (Испания)</w:t>
      </w:r>
    </w:p>
    <w:p w14:paraId="5D6593C9" w14:textId="6DB2B9A5" w:rsidR="00B921DB" w:rsidRPr="00D105B8" w:rsidRDefault="00B921DB" w:rsidP="00EC507F">
      <w:pPr>
        <w:pStyle w:val="SingleTxtG"/>
        <w:ind w:left="3686" w:right="993" w:hanging="1985"/>
        <w:jc w:val="left"/>
      </w:pPr>
      <w:r w:rsidRPr="007C3C77">
        <w:rPr>
          <w:i/>
          <w:iCs/>
        </w:rPr>
        <w:t>Неофициальные документы:</w:t>
      </w:r>
      <w:r>
        <w:tab/>
        <w:t>INF.7, INF.7/Add.1–Add.7 (Испания)</w:t>
      </w:r>
      <w:r w:rsidR="00EC507F">
        <w:br/>
      </w:r>
      <w:r w:rsidR="00EC507F">
        <w:tab/>
      </w:r>
      <w:r>
        <w:tab/>
        <w:t>INF.20 (Соединенное Королевство)</w:t>
      </w:r>
    </w:p>
    <w:p w14:paraId="1CE37763" w14:textId="4D12A4E9" w:rsidR="00B921DB" w:rsidRPr="00D105B8" w:rsidRDefault="00B921DB" w:rsidP="00B921DB">
      <w:pPr>
        <w:pStyle w:val="SingleTxtG"/>
        <w:ind w:left="1701" w:right="993"/>
      </w:pPr>
      <w:r>
        <w:t>34.</w:t>
      </w:r>
      <w:r>
        <w:tab/>
        <w:t>Совместное совещание приветствовало доклад о работе совещания рабочей группы по BLEVE, состоявшегося в октябре 2019 года, который включен в документ ECE/TRANS/WP.15/AC.1/2020/42 и в неофициальный документ INF.7 и добавления к нему. Представитель Испании запросил руководящие указания в отношении шести рекомендованных мер по предотвращению в будущем взрывов расширяющихся паров кипящей жидкости (BLEVE): а)</w:t>
      </w:r>
      <w:r w:rsidR="00EC507F">
        <w:t> </w:t>
      </w:r>
      <w:r>
        <w:t>установка металлических брызговиков, b)</w:t>
      </w:r>
      <w:r w:rsidR="00EC507F">
        <w:t> </w:t>
      </w:r>
      <w:r>
        <w:t>установка систем пожаротушения моторного отсека, с)</w:t>
      </w:r>
      <w:r w:rsidR="00EC507F">
        <w:t> </w:t>
      </w:r>
      <w:r>
        <w:t>установка предохранительного клапана, d)</w:t>
      </w:r>
      <w:r w:rsidR="00EC507F">
        <w:t> </w:t>
      </w:r>
      <w:r>
        <w:t>внедрение технических устройств для обеспечения общей безопасности дорожного движения, е)</w:t>
      </w:r>
      <w:r w:rsidR="00EC507F">
        <w:t> </w:t>
      </w:r>
      <w:r>
        <w:t>установка термостойкого экрана между кабиной и цистерной и f)</w:t>
      </w:r>
      <w:r w:rsidR="00EC507F">
        <w:t> </w:t>
      </w:r>
      <w:r>
        <w:t>использование вспененных алюминиевых сплавов (ВАС).</w:t>
      </w:r>
    </w:p>
    <w:p w14:paraId="5D67E3FC" w14:textId="77777777" w:rsidR="00B921DB" w:rsidRPr="00D105B8" w:rsidRDefault="00B921DB" w:rsidP="00B921DB">
      <w:pPr>
        <w:pStyle w:val="SingleTxtG"/>
        <w:ind w:left="1701" w:right="993"/>
      </w:pPr>
      <w:r>
        <w:t>35.</w:t>
      </w:r>
      <w:r>
        <w:tab/>
        <w:t>Совместное совещание решило установить приоритетность мер a), b) и c) на индивидуальной или комбинированной основе. Касаясь неофициального документа INF.20 относительно обязательных сроков применения положений по безопасности для новых грузовых транспортных средств, делегаты отметили, что меры d) уже рассматриваются Всемирным форумом для согласования правил в области транспортных средств (WP.29). Совместное совещание также решило провести дальнейшую оценку меры е). Некоторые делегаты рекомендовали продолжить изучение вопроса о термическом покрытии в случае появления новых элементов. Меры f) не были сочтены уместными из-за неопределенности в отношении эффективности, влияния на техническое обслуживание или проверки и расходов, связанных с использованием ВАС.».</w:t>
      </w:r>
    </w:p>
    <w:p w14:paraId="75A21E46" w14:textId="77777777" w:rsidR="00B921DB" w:rsidRPr="00D105B8" w:rsidRDefault="00B921DB" w:rsidP="00B921DB">
      <w:pPr>
        <w:pStyle w:val="SingleTxtG"/>
      </w:pPr>
      <w:r>
        <w:t>4.</w:t>
      </w:r>
      <w:r>
        <w:tab/>
        <w:t>Справочная информация о неофициальной рабочей группе по BLEVE и проведенных ею обсуждениях содержится в неофициальных документах INF.8 и INF.23 сессии Совместного совещания, состоявшейся в марте 2019 года. Полная информация о документах и обсуждениях, представленных неофициальной рабочей группой BLEVE, в основном Совместному совещанию, содержится в приложении к настоящему документу.</w:t>
      </w:r>
    </w:p>
    <w:p w14:paraId="67705A90" w14:textId="77777777" w:rsidR="00B921DB" w:rsidRPr="00D105B8" w:rsidRDefault="00B921DB" w:rsidP="00B921DB">
      <w:pPr>
        <w:pStyle w:val="SingleTxtG"/>
      </w:pPr>
      <w:r>
        <w:t>5.</w:t>
      </w:r>
      <w:r>
        <w:tab/>
        <w:t xml:space="preserve">Меры, связанные с оборудованием транспортных средств системами пожаротушения моторного отсека и системами защиты от загорания шин, относятся только к автомобильному транспорту. Поэтому неофициальная рабочая группа по </w:t>
      </w:r>
      <w:r>
        <w:lastRenderedPageBreak/>
        <w:t>BLEVE представила Рабочей группе на ее сто девятой сессии (май 2021 года) неофициальный документ INF.7 с первоначальными предложениями по этому вопросу в качестве основы для настоящего официального документа.</w:t>
      </w:r>
    </w:p>
    <w:p w14:paraId="5C4F3F52" w14:textId="6EC9ED39" w:rsidR="00B921DB" w:rsidRPr="009A34C9" w:rsidRDefault="00B921DB" w:rsidP="00B921DB">
      <w:pPr>
        <w:pStyle w:val="SingleTxtG"/>
      </w:pPr>
      <w:r>
        <w:t>6.</w:t>
      </w:r>
      <w:r>
        <w:tab/>
        <w:t xml:space="preserve">Обе меры </w:t>
      </w:r>
      <w:r w:rsidR="00146BF1">
        <w:t>⸺</w:t>
      </w:r>
      <w:r>
        <w:t xml:space="preserve"> установка металлических брызговиков и установка системы пожаротушения моторного отсека </w:t>
      </w:r>
      <w:r w:rsidR="00146BF1">
        <w:t>⸺</w:t>
      </w:r>
      <w:r w:rsidR="00146BF1" w:rsidRPr="00146BF1">
        <w:t xml:space="preserve"> </w:t>
      </w:r>
      <w:r>
        <w:t>дополняют друг друга и, вместе с обязательным требованием об оборудовании предохранительными клапанами определенных цистерн, могут способствовать эффективному предотвращению BLEVE, как показывают исследования, проведенные французским Национальным институтом по изучению промышленной среды и промышленных рисков (ИНЕРИС) для правительства Франции (см. неофициальные документы INF.8 и INF.23 сессии Совместного совещания, состоявшейся в марте 2019 года).</w:t>
      </w:r>
    </w:p>
    <w:p w14:paraId="673D140A" w14:textId="77777777" w:rsidR="00B921DB" w:rsidRPr="00D105B8" w:rsidRDefault="00B921DB" w:rsidP="00B921DB">
      <w:pPr>
        <w:pStyle w:val="SingleTxtG"/>
      </w:pPr>
      <w:r>
        <w:t>7.</w:t>
      </w:r>
      <w:r>
        <w:tab/>
        <w:t>В неофициальный документ INF.7 были включены различные альтернативные предложения как по системам пожаротушения моторного отсека, так и по защите от загорания шин. Рабочую группу любезно попросили высказать первоначальное мнение по ним, чтобы указать неофициальной рабочей группе по BLEVE направление, в котором следует вести разработку предложений.</w:t>
      </w:r>
    </w:p>
    <w:p w14:paraId="2D36A903" w14:textId="77777777" w:rsidR="00B921DB" w:rsidRPr="00D105B8" w:rsidRDefault="00B921DB" w:rsidP="00B921DB">
      <w:pPr>
        <w:pStyle w:val="SingleTxtG"/>
      </w:pPr>
      <w:r>
        <w:t>8.</w:t>
      </w:r>
      <w:r>
        <w:tab/>
        <w:t>В отношении предложений по системам пожаротушения моторного отсека и защите от загорания шин были предложены переходные меры, которые не требуют дооснащения такими системами транспортных средств, находящихся в эксплуатации в настоящее время.</w:t>
      </w:r>
    </w:p>
    <w:p w14:paraId="24FEA8B7" w14:textId="77777777" w:rsidR="00B921DB" w:rsidRPr="00D105B8" w:rsidRDefault="00B921DB" w:rsidP="00B921DB">
      <w:pPr>
        <w:pStyle w:val="SingleTxtG"/>
      </w:pPr>
      <w:r>
        <w:t>9.</w:t>
      </w:r>
      <w:r>
        <w:tab/>
        <w:t>В докладе о работе майской сессии WP.15 (см. доклад в документе ECE/TRANS/WP.15/253) говорится следующее:</w:t>
      </w:r>
    </w:p>
    <w:p w14:paraId="589B390A" w14:textId="795DD0C0" w:rsidR="00B921DB" w:rsidRPr="00D105B8" w:rsidRDefault="00AE1CDE" w:rsidP="00AE1CDE">
      <w:pPr>
        <w:pStyle w:val="H1G"/>
      </w:pPr>
      <w:r>
        <w:tab/>
      </w:r>
      <w:r>
        <w:tab/>
      </w:r>
      <w:r w:rsidR="00B921DB" w:rsidRPr="00AE1CDE">
        <w:rPr>
          <w:b w:val="0"/>
          <w:bCs/>
          <w:sz w:val="20"/>
        </w:rPr>
        <w:t>«</w:t>
      </w:r>
      <w:r w:rsidR="00B921DB" w:rsidRPr="00AE1CDE">
        <w:t>Системы пожаротушения моторного отсека и системы защиты от загорания шин для снижения вероятности возникновения BLEVE</w:t>
      </w:r>
      <w:r w:rsidR="00B921DB">
        <w:t xml:space="preserve"> </w:t>
      </w:r>
    </w:p>
    <w:p w14:paraId="55E81630" w14:textId="3734DB1D" w:rsidR="00B921DB" w:rsidRPr="00D105B8" w:rsidRDefault="00B921DB" w:rsidP="001D1960">
      <w:pPr>
        <w:pStyle w:val="SingleTxtG"/>
        <w:ind w:left="1701"/>
        <w:jc w:val="left"/>
      </w:pPr>
      <w:r w:rsidRPr="007C3C77">
        <w:rPr>
          <w:i/>
          <w:iCs/>
        </w:rPr>
        <w:t>Неофициальные документы:</w:t>
      </w:r>
      <w:r>
        <w:t xml:space="preserve"> INF.7 (Испания), INF.19 (МОПАП) </w:t>
      </w:r>
    </w:p>
    <w:p w14:paraId="43A81C4F" w14:textId="77777777" w:rsidR="00B921DB" w:rsidRPr="00D105B8" w:rsidRDefault="00B921DB" w:rsidP="00B921DB">
      <w:pPr>
        <w:pStyle w:val="SingleTxtG"/>
        <w:ind w:left="1701"/>
      </w:pPr>
      <w:r>
        <w:t>26.</w:t>
      </w:r>
      <w:r>
        <w:tab/>
        <w:t xml:space="preserve">Представитель Испании представила Рабочей группе предложения неофициальной рабочей группы по BLEVE Совместного совещания об оснащении транспортных средств системами пожаротушения моторного отсека и защиты от загорания шин. </w:t>
      </w:r>
    </w:p>
    <w:p w14:paraId="2352D99E" w14:textId="77777777" w:rsidR="00B921DB" w:rsidRPr="00D105B8" w:rsidRDefault="00B921DB" w:rsidP="00B921DB">
      <w:pPr>
        <w:pStyle w:val="SingleTxtG"/>
        <w:ind w:left="1701"/>
      </w:pPr>
      <w:r>
        <w:t>27.</w:t>
      </w:r>
      <w:r>
        <w:tab/>
        <w:t xml:space="preserve">Представитель Испании приняла к сведению высказанные в ходе сессии замечания и предпочтения в отношении различных предложенных вариантов. Мнения о том, какой вариант является наилучшим, разделились. </w:t>
      </w:r>
    </w:p>
    <w:p w14:paraId="3C7350D9" w14:textId="77777777" w:rsidR="00B921DB" w:rsidRPr="00D105B8" w:rsidRDefault="00B921DB" w:rsidP="00B921DB">
      <w:pPr>
        <w:pStyle w:val="SingleTxtG"/>
        <w:ind w:left="1701"/>
      </w:pPr>
      <w:r>
        <w:t>28.</w:t>
      </w:r>
      <w:r>
        <w:tab/>
        <w:t>Представитель Испании предложила тем делегациям, которые пожелают сделать это, изучить различные варианты и передать ей свои замечания, по возможности, до следующего совещания неофициальной группы, запланированного на 27 мая 2021 года. Она также предложила делегациям, желающим участвовать в работе неофициальной группы, связаться с ней.</w:t>
      </w:r>
    </w:p>
    <w:p w14:paraId="2EF1757E" w14:textId="77777777" w:rsidR="00B921DB" w:rsidRPr="00D105B8" w:rsidRDefault="00B921DB" w:rsidP="00B921DB">
      <w:pPr>
        <w:pStyle w:val="SingleTxtG"/>
        <w:ind w:left="1701"/>
      </w:pPr>
      <w:r>
        <w:t>29.</w:t>
      </w:r>
      <w:r>
        <w:tab/>
        <w:t>Рабочая группа отметила, что рабочая группа по BLEVE представит на следующей сессии официальный документ, касающийся оснащения транспортных средств системами пожаротушения моторного отсека и защиты от загорания шин. Рабочая группа также отметила, что предложения по предохранительным клапанам будут представлены отдельно на Совместном совещании, так как они применимы ко всем видам наземного транспорта.».</w:t>
      </w:r>
    </w:p>
    <w:p w14:paraId="00352264" w14:textId="77777777" w:rsidR="00B921DB" w:rsidRPr="00D105B8" w:rsidRDefault="00B921DB" w:rsidP="00B921DB">
      <w:pPr>
        <w:pStyle w:val="SingleTxtG"/>
      </w:pPr>
      <w:r>
        <w:t>10.</w:t>
      </w:r>
      <w:r>
        <w:tab/>
        <w:t>После сессии Рабочей группы, состоявшейся в мае 2021 года, неофициальная рабочая группа по BLEVE приветствовала в своих рядах новых участников из числа членов Рабочей группы и продолжила разработку предложений а), b) и с), проведя свои совещания 27 мая, 16 июня и 12 июля 2021 года и завершив работу над настоящим предложением и предложениями по предохранительным клапанам, которые были представлены Совместному совещанию отдельно, поскольку они могут касаться различных видов транспорта (см. документы ECE/TRANS/WP.15/AC.1/2021/35 и ECE/TRANS/WP.15/AC.1/2021/36).</w:t>
      </w:r>
    </w:p>
    <w:p w14:paraId="117511F9" w14:textId="77777777" w:rsidR="00B921DB" w:rsidRPr="00D105B8" w:rsidRDefault="00B921DB" w:rsidP="00B921DB">
      <w:pPr>
        <w:pStyle w:val="HChG"/>
        <w:ind w:hanging="283"/>
      </w:pPr>
      <w:r>
        <w:lastRenderedPageBreak/>
        <w:tab/>
      </w:r>
      <w:r>
        <w:rPr>
          <w:bCs/>
        </w:rPr>
        <w:t>Предложение</w:t>
      </w:r>
    </w:p>
    <w:p w14:paraId="533F4769" w14:textId="77777777" w:rsidR="00B921DB" w:rsidRPr="00D105B8" w:rsidRDefault="00B921DB" w:rsidP="00B921DB">
      <w:pPr>
        <w:spacing w:before="120" w:after="120"/>
        <w:ind w:left="567" w:firstLine="567"/>
      </w:pPr>
      <w:r>
        <w:t>11.</w:t>
      </w:r>
      <w:r>
        <w:tab/>
        <w:t>Изменить текст раздела 9.7.9 следующим образом:</w:t>
      </w:r>
    </w:p>
    <w:p w14:paraId="3DA37A11" w14:textId="21A567A4" w:rsidR="00B921DB" w:rsidRPr="00D105B8" w:rsidRDefault="00B921DB" w:rsidP="001D1960">
      <w:pPr>
        <w:pStyle w:val="SingleTxtG"/>
        <w:jc w:val="left"/>
        <w:rPr>
          <w:b/>
          <w:bCs/>
        </w:rPr>
      </w:pPr>
      <w:r w:rsidRPr="009A34C9">
        <w:t>«</w:t>
      </w:r>
      <w:r>
        <w:rPr>
          <w:b/>
          <w:bCs/>
        </w:rPr>
        <w:t>9.7.9</w:t>
      </w:r>
      <w:r>
        <w:tab/>
      </w:r>
      <w:r>
        <w:tab/>
      </w:r>
      <w:r>
        <w:rPr>
          <w:b/>
          <w:bCs/>
        </w:rPr>
        <w:t xml:space="preserve">Дополнительные требования по обеспечению безопасности, </w:t>
      </w:r>
      <w:r w:rsidR="001D1960">
        <w:rPr>
          <w:b/>
          <w:bCs/>
        </w:rPr>
        <w:br/>
      </w:r>
      <w:r w:rsidR="001D1960">
        <w:rPr>
          <w:b/>
          <w:bCs/>
        </w:rPr>
        <w:tab/>
      </w:r>
      <w:r>
        <w:rPr>
          <w:b/>
          <w:bCs/>
        </w:rPr>
        <w:tab/>
        <w:t>касающиеся транспортных средств FL и ЕХ/III</w:t>
      </w:r>
    </w:p>
    <w:p w14:paraId="438EB1F2" w14:textId="77777777" w:rsidR="00B921DB" w:rsidRPr="00D105B8" w:rsidRDefault="00B921DB" w:rsidP="00B921DB">
      <w:pPr>
        <w:pStyle w:val="SingleTxtG"/>
      </w:pPr>
      <w:r>
        <w:t>9.7.9.1</w:t>
      </w:r>
      <w:r>
        <w:tab/>
      </w:r>
      <w:r>
        <w:tab/>
        <w:t xml:space="preserve">Следующие транспортные средства должны быть оборудованы автоматической системой пожаротушения для отсека, в котором расположен двигатель внутреннего сгорания, приводящий транспортное средство в движение: </w:t>
      </w:r>
    </w:p>
    <w:p w14:paraId="544D6D99" w14:textId="77777777" w:rsidR="00B921DB" w:rsidRPr="00D105B8" w:rsidRDefault="00B921DB" w:rsidP="00B921DB">
      <w:pPr>
        <w:pStyle w:val="SingleTxtG"/>
        <w:ind w:left="1701"/>
      </w:pPr>
      <w:r>
        <w:t>–</w:t>
      </w:r>
      <w:r>
        <w:tab/>
        <w:t>транспортные средства FL, перевозящие сжиженные [и сжатые] воспламеняющиеся газы с классификационным кодом, содержащим букву F;</w:t>
      </w:r>
    </w:p>
    <w:p w14:paraId="39727ADF" w14:textId="77777777" w:rsidR="00B921DB" w:rsidRPr="00D105B8" w:rsidRDefault="00B921DB" w:rsidP="00B921DB">
      <w:pPr>
        <w:pStyle w:val="SingleTxtG"/>
        <w:ind w:left="1701"/>
      </w:pPr>
      <w:r>
        <w:t>–</w:t>
      </w:r>
      <w:r>
        <w:tab/>
        <w:t>транспортные средства FL, перевозящие жидкости группы упаковки I или группы упаковки II; и</w:t>
      </w:r>
    </w:p>
    <w:p w14:paraId="77E09340" w14:textId="77777777" w:rsidR="00B921DB" w:rsidRPr="00D105B8" w:rsidRDefault="00B921DB" w:rsidP="00B921DB">
      <w:pPr>
        <w:pStyle w:val="SingleTxtG"/>
        <w:ind w:left="1701"/>
      </w:pPr>
      <w:r>
        <w:t>–</w:t>
      </w:r>
      <w:r>
        <w:tab/>
        <w:t>транспортные средства EX/III.</w:t>
      </w:r>
    </w:p>
    <w:p w14:paraId="7D7E0112" w14:textId="77777777" w:rsidR="00B921DB" w:rsidRPr="00D105B8" w:rsidRDefault="00B921DB" w:rsidP="00B921DB">
      <w:pPr>
        <w:pStyle w:val="SingleTxtG"/>
      </w:pPr>
      <w:r>
        <w:t>9.7.9.2</w:t>
      </w:r>
      <w:r>
        <w:tab/>
      </w:r>
      <w:r>
        <w:tab/>
        <w:t xml:space="preserve">Следующие транспортные средства должны быть оборудованы на всех колесах теплозащитой, способной сдержать распространение огня от колес: </w:t>
      </w:r>
    </w:p>
    <w:p w14:paraId="65FC156F" w14:textId="77777777" w:rsidR="00B921DB" w:rsidRPr="00D105B8" w:rsidRDefault="00B921DB" w:rsidP="00B921DB">
      <w:pPr>
        <w:pStyle w:val="SingleTxtG"/>
        <w:ind w:left="1701"/>
      </w:pPr>
      <w:r>
        <w:t>–</w:t>
      </w:r>
      <w:r>
        <w:tab/>
        <w:t>транспортные средства FL, перевозящие сжиженные [и сжатые] воспламеняющиеся газы с классификационным кодом, содержащим букву F;</w:t>
      </w:r>
    </w:p>
    <w:p w14:paraId="12CF33F2" w14:textId="77777777" w:rsidR="00B921DB" w:rsidRPr="00D105B8" w:rsidRDefault="00B921DB" w:rsidP="00B921DB">
      <w:pPr>
        <w:pStyle w:val="SingleTxtG"/>
        <w:ind w:left="1701"/>
      </w:pPr>
      <w:r>
        <w:t>–</w:t>
      </w:r>
      <w:r>
        <w:tab/>
        <w:t>транспортные средства FL, перевозящие жидкости группы упаковки I или группы упаковки II; и</w:t>
      </w:r>
    </w:p>
    <w:p w14:paraId="32087E9E" w14:textId="77777777" w:rsidR="00B921DB" w:rsidRPr="00D105B8" w:rsidRDefault="00B921DB" w:rsidP="00B921DB">
      <w:pPr>
        <w:pStyle w:val="SingleTxtG"/>
        <w:ind w:left="1701"/>
      </w:pPr>
      <w:r>
        <w:t>–</w:t>
      </w:r>
      <w:r>
        <w:tab/>
        <w:t>транспортные средства EX/III.</w:t>
      </w:r>
    </w:p>
    <w:p w14:paraId="0AEE339E" w14:textId="77777777" w:rsidR="00B921DB" w:rsidRPr="00D105B8" w:rsidRDefault="00B921DB" w:rsidP="00B921DB">
      <w:pPr>
        <w:pStyle w:val="SingleTxtG"/>
        <w:rPr>
          <w:i/>
          <w:iCs/>
        </w:rPr>
      </w:pPr>
      <w:r>
        <w:rPr>
          <w:b/>
          <w:bCs/>
          <w:i/>
          <w:iCs/>
        </w:rPr>
        <w:t>ПРИМЕЧАНИЕ:</w:t>
      </w:r>
      <w:r>
        <w:rPr>
          <w:i/>
          <w:iCs/>
        </w:rPr>
        <w:t xml:space="preserve"> Цель состоит в том, чтобы избежать,</w:t>
      </w:r>
      <w:r w:rsidRPr="00E705BE">
        <w:rPr>
          <w:i/>
          <w:iCs/>
        </w:rPr>
        <w:t xml:space="preserve"> </w:t>
      </w:r>
      <w:r>
        <w:rPr>
          <w:i/>
          <w:iCs/>
        </w:rPr>
        <w:t>например с помощью теплозащитных экранов или других эквивалентных систем, распространения огня на груз:</w:t>
      </w:r>
    </w:p>
    <w:p w14:paraId="6F3EDB0F" w14:textId="77777777" w:rsidR="00B921DB" w:rsidRPr="00D105B8" w:rsidRDefault="00B921DB" w:rsidP="00B921DB">
      <w:pPr>
        <w:pStyle w:val="SingleTxtG"/>
        <w:ind w:left="1701"/>
        <w:rPr>
          <w:i/>
          <w:iCs/>
        </w:rPr>
      </w:pPr>
      <w:r>
        <w:rPr>
          <w:i/>
          <w:iCs/>
        </w:rPr>
        <w:t>–</w:t>
      </w:r>
      <w:r>
        <w:rPr>
          <w:i/>
          <w:iCs/>
        </w:rPr>
        <w:tab/>
        <w:t>путем прямой передачи от колеса к грузу;</w:t>
      </w:r>
      <w:r>
        <w:t xml:space="preserve"> </w:t>
      </w:r>
      <w:r>
        <w:rPr>
          <w:i/>
          <w:iCs/>
        </w:rPr>
        <w:t>или</w:t>
      </w:r>
    </w:p>
    <w:p w14:paraId="5966C429" w14:textId="77777777" w:rsidR="00B921DB" w:rsidRPr="00D105B8" w:rsidRDefault="00B921DB" w:rsidP="00B921DB">
      <w:pPr>
        <w:pStyle w:val="SingleTxtG"/>
        <w:ind w:left="1701"/>
        <w:rPr>
          <w:i/>
          <w:iCs/>
        </w:rPr>
      </w:pPr>
      <w:r>
        <w:rPr>
          <w:i/>
          <w:iCs/>
        </w:rPr>
        <w:t>–</w:t>
      </w:r>
      <w:r>
        <w:rPr>
          <w:i/>
          <w:iCs/>
        </w:rPr>
        <w:tab/>
        <w:t>путем косвенной передачи от колеса к кабине и далее к грузу;</w:t>
      </w:r>
      <w:r>
        <w:t xml:space="preserve"> </w:t>
      </w:r>
      <w:r>
        <w:rPr>
          <w:i/>
          <w:iCs/>
        </w:rPr>
        <w:t>или</w:t>
      </w:r>
    </w:p>
    <w:p w14:paraId="56804085" w14:textId="77777777" w:rsidR="00B921DB" w:rsidRPr="00D105B8" w:rsidRDefault="00B921DB" w:rsidP="00B921DB">
      <w:pPr>
        <w:pStyle w:val="SingleTxtG"/>
        <w:ind w:left="1701"/>
      </w:pPr>
      <w:r>
        <w:rPr>
          <w:i/>
          <w:iCs/>
        </w:rPr>
        <w:t>–</w:t>
      </w:r>
      <w:r>
        <w:rPr>
          <w:i/>
          <w:iCs/>
        </w:rPr>
        <w:tab/>
        <w:t>путем косвенной передачи от колеса к топливному баку и далее к грузу</w:t>
      </w:r>
      <w:r>
        <w:t>.».</w:t>
      </w:r>
    </w:p>
    <w:p w14:paraId="1138102D" w14:textId="77777777" w:rsidR="00B921DB" w:rsidRPr="00D105B8" w:rsidRDefault="00B921DB" w:rsidP="00B921DB">
      <w:pPr>
        <w:pStyle w:val="SingleTxtG"/>
      </w:pPr>
      <w:r>
        <w:t>12.</w:t>
      </w:r>
      <w:r>
        <w:tab/>
        <w:t>Кроме того, необходимы следующие переходные меры:</w:t>
      </w:r>
    </w:p>
    <w:p w14:paraId="2ED14A5E" w14:textId="77777777" w:rsidR="00B921DB" w:rsidRPr="00D105B8" w:rsidRDefault="00B921DB" w:rsidP="00B921DB">
      <w:pPr>
        <w:pStyle w:val="SingleTxtG"/>
      </w:pPr>
      <w:r>
        <w:t>«1.6.5.xx</w:t>
      </w:r>
      <w:r>
        <w:tab/>
        <w:t>Транспортные средства EX III, впервые зарегистрированные или введенные в эксплуатацию до 1 января 2027 года, которые соответствуют требованиям пункта 9.7.9.2, применяемым до 31 декабря 2022 года, но не соответствуют требованиям пункта 9.7.9.2, применяемым с 1 января 2023 года, могут по-прежнему эксплуатироваться.».</w:t>
      </w:r>
    </w:p>
    <w:p w14:paraId="2E1EBE95" w14:textId="03ECA278" w:rsidR="00B921DB" w:rsidRPr="00D105B8" w:rsidRDefault="00B921DB" w:rsidP="00B921DB">
      <w:pPr>
        <w:pStyle w:val="SingleTxtG"/>
      </w:pPr>
      <w:r>
        <w:t>«1.6.5.xx</w:t>
      </w:r>
      <w:r>
        <w:tab/>
        <w:t>Транспортные средства FL, впервые зарегистрированные или введенные в эксплуатацию до 1 января 2027 года, которые не соответствуют требованиям пункта</w:t>
      </w:r>
      <w:r w:rsidR="00146BF1">
        <w:rPr>
          <w:lang w:val="en-US"/>
        </w:rPr>
        <w:t> </w:t>
      </w:r>
      <w:r>
        <w:t>9.7.9.1, применяемым с 1 января 2023 года, могут по-прежнему эксплуатироваться.».</w:t>
      </w:r>
    </w:p>
    <w:p w14:paraId="6C822A13" w14:textId="2B23D73C" w:rsidR="00B921DB" w:rsidRPr="00D105B8" w:rsidRDefault="00B921DB" w:rsidP="00B921DB">
      <w:pPr>
        <w:pStyle w:val="SingleTxtG"/>
      </w:pPr>
      <w:r>
        <w:t>«1.6.5.xx</w:t>
      </w:r>
      <w:r>
        <w:tab/>
        <w:t>Транспортные средства FL, впервые зарегистрированные или введенные в эксплуатацию до 1 января 2027 года, которые не соответствуют требованиям пункта</w:t>
      </w:r>
      <w:r w:rsidR="00146BF1">
        <w:rPr>
          <w:lang w:val="en-US"/>
        </w:rPr>
        <w:t> </w:t>
      </w:r>
      <w:r>
        <w:t>9.7.9.2, применяемым с 1 января 2023 года, могут по-прежнему эксплуатироваться.».</w:t>
      </w:r>
    </w:p>
    <w:p w14:paraId="589513D6" w14:textId="77777777" w:rsidR="00B921DB" w:rsidRPr="00D105B8" w:rsidRDefault="00B921DB" w:rsidP="00B921DB">
      <w:pPr>
        <w:pStyle w:val="HChG"/>
      </w:pPr>
      <w:r>
        <w:tab/>
      </w:r>
      <w:r>
        <w:tab/>
      </w:r>
      <w:r>
        <w:rPr>
          <w:bCs/>
        </w:rPr>
        <w:t>Обоснование</w:t>
      </w:r>
    </w:p>
    <w:p w14:paraId="6A26D92C" w14:textId="266F2182" w:rsidR="00B921DB" w:rsidRPr="00D105B8" w:rsidRDefault="00B921DB" w:rsidP="00B921DB">
      <w:pPr>
        <w:pStyle w:val="SingleTxtG"/>
      </w:pPr>
      <w:r>
        <w:t>13.</w:t>
      </w:r>
      <w:r>
        <w:tab/>
        <w:t>Предлагаемый текст охватывает сжиженные газы, жидкости групп упаковки I и</w:t>
      </w:r>
      <w:r w:rsidR="00146BF1">
        <w:rPr>
          <w:lang w:val="en-US"/>
        </w:rPr>
        <w:t> </w:t>
      </w:r>
      <w:r>
        <w:t>II, а также сжатые газы. Тем не менее сжатые газы заключены в квадратные скобки, поскольку они не могут непосредственно вызвать BLEVE, но могут привести к взрыву или катастрофическому разрушению грузового отделения, что может создать опасность для тех, кто находится рядом с перевозимыми сжатыми газами.</w:t>
      </w:r>
    </w:p>
    <w:p w14:paraId="6F66646B" w14:textId="77777777" w:rsidR="00B921DB" w:rsidRPr="00D105B8" w:rsidRDefault="00B921DB" w:rsidP="00B921DB">
      <w:pPr>
        <w:pStyle w:val="SingleTxtG"/>
        <w:ind w:right="993"/>
      </w:pPr>
      <w:r>
        <w:lastRenderedPageBreak/>
        <w:t>14.</w:t>
      </w:r>
      <w:r>
        <w:tab/>
        <w:t>Для всех предложений предусматриваются переходные меры, которые не потребуют дооснащения этими системами транспортных средств, находящихся в эксплуатации в настоящее время.</w:t>
      </w:r>
    </w:p>
    <w:p w14:paraId="46274B3E" w14:textId="77777777" w:rsidR="00B921DB" w:rsidRPr="00D105B8" w:rsidRDefault="00B921DB" w:rsidP="00B921DB">
      <w:pPr>
        <w:pStyle w:val="SingleTxtG"/>
      </w:pPr>
      <w:r>
        <w:t>15.</w:t>
      </w:r>
      <w:r>
        <w:tab/>
        <w:t>В неофициальном документе INF.4 содержатся ссылки на все документы, которые неофициальная рабочая группа по BLEVE представила Совместному совещанию и Рабочей группе с 2014 года. Включены также выдержки из докладов о работе совещаний этих органов, содержащие дополнительную справочную информацию по данному вопросу.</w:t>
      </w:r>
    </w:p>
    <w:p w14:paraId="4EFA3305" w14:textId="77777777" w:rsidR="00B921DB" w:rsidRDefault="00B921DB" w:rsidP="00B921DB">
      <w:pPr>
        <w:spacing w:before="240"/>
        <w:jc w:val="center"/>
        <w:rPr>
          <w:u w:val="single"/>
        </w:rPr>
      </w:pPr>
      <w:r w:rsidRPr="00D105B8">
        <w:rPr>
          <w:u w:val="single"/>
        </w:rPr>
        <w:tab/>
      </w:r>
      <w:r w:rsidRPr="00D105B8">
        <w:rPr>
          <w:u w:val="single"/>
        </w:rPr>
        <w:tab/>
      </w:r>
      <w:r w:rsidRPr="00D105B8">
        <w:rPr>
          <w:u w:val="single"/>
        </w:rPr>
        <w:tab/>
      </w:r>
    </w:p>
    <w:p w14:paraId="74F5FB25" w14:textId="0D81FE01" w:rsidR="00E12C5F" w:rsidRPr="008D53B6" w:rsidRDefault="00E12C5F" w:rsidP="00D9145B"/>
    <w:sectPr w:rsidR="00E12C5F" w:rsidRPr="008D53B6" w:rsidSect="0007262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8B68D" w14:textId="77777777" w:rsidR="0041002B" w:rsidRPr="00A312BC" w:rsidRDefault="0041002B" w:rsidP="00A312BC"/>
  </w:endnote>
  <w:endnote w:type="continuationSeparator" w:id="0">
    <w:p w14:paraId="3B72104F" w14:textId="77777777" w:rsidR="0041002B" w:rsidRPr="00A312BC" w:rsidRDefault="0041002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36CB4" w14:textId="432E6BBE" w:rsidR="00072620" w:rsidRPr="00072620" w:rsidRDefault="00072620">
    <w:pPr>
      <w:pStyle w:val="Footer"/>
    </w:pPr>
    <w:r w:rsidRPr="00072620">
      <w:rPr>
        <w:b/>
        <w:sz w:val="18"/>
      </w:rPr>
      <w:fldChar w:fldCharType="begin"/>
    </w:r>
    <w:r w:rsidRPr="00072620">
      <w:rPr>
        <w:b/>
        <w:sz w:val="18"/>
      </w:rPr>
      <w:instrText xml:space="preserve"> PAGE  \* MERGEFORMAT </w:instrText>
    </w:r>
    <w:r w:rsidRPr="00072620">
      <w:rPr>
        <w:b/>
        <w:sz w:val="18"/>
      </w:rPr>
      <w:fldChar w:fldCharType="separate"/>
    </w:r>
    <w:r w:rsidRPr="00072620">
      <w:rPr>
        <w:b/>
        <w:noProof/>
        <w:sz w:val="18"/>
      </w:rPr>
      <w:t>2</w:t>
    </w:r>
    <w:r w:rsidRPr="00072620">
      <w:rPr>
        <w:b/>
        <w:sz w:val="18"/>
      </w:rPr>
      <w:fldChar w:fldCharType="end"/>
    </w:r>
    <w:r>
      <w:rPr>
        <w:b/>
        <w:sz w:val="18"/>
      </w:rPr>
      <w:tab/>
    </w:r>
    <w:r>
      <w:t>GE.21-11685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E7C3" w14:textId="6F9EA4EF" w:rsidR="00072620" w:rsidRPr="00072620" w:rsidRDefault="00072620" w:rsidP="00072620">
    <w:pPr>
      <w:pStyle w:val="Footer"/>
      <w:tabs>
        <w:tab w:val="clear" w:pos="9639"/>
        <w:tab w:val="right" w:pos="9638"/>
      </w:tabs>
      <w:rPr>
        <w:b/>
        <w:sz w:val="18"/>
      </w:rPr>
    </w:pPr>
    <w:r>
      <w:t>GE.21-11685</w:t>
    </w:r>
    <w:r>
      <w:tab/>
    </w:r>
    <w:r w:rsidRPr="00072620">
      <w:rPr>
        <w:b/>
        <w:sz w:val="18"/>
      </w:rPr>
      <w:fldChar w:fldCharType="begin"/>
    </w:r>
    <w:r w:rsidRPr="00072620">
      <w:rPr>
        <w:b/>
        <w:sz w:val="18"/>
      </w:rPr>
      <w:instrText xml:space="preserve"> PAGE  \* MERGEFORMAT </w:instrText>
    </w:r>
    <w:r w:rsidRPr="00072620">
      <w:rPr>
        <w:b/>
        <w:sz w:val="18"/>
      </w:rPr>
      <w:fldChar w:fldCharType="separate"/>
    </w:r>
    <w:r w:rsidRPr="00072620">
      <w:rPr>
        <w:b/>
        <w:noProof/>
        <w:sz w:val="18"/>
      </w:rPr>
      <w:t>3</w:t>
    </w:r>
    <w:r w:rsidRPr="000726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70BE" w14:textId="457B4984" w:rsidR="00042B72" w:rsidRPr="001E28E1" w:rsidRDefault="00072620" w:rsidP="0007262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CD44FC4" wp14:editId="35E569F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21-11685  (R)</w:t>
    </w:r>
    <w:r>
      <w:rPr>
        <w:noProof/>
      </w:rPr>
      <w:drawing>
        <wp:anchor distT="0" distB="0" distL="114300" distR="114300" simplePos="0" relativeHeight="251659264" behindDoc="0" locked="0" layoutInCell="1" allowOverlap="1" wp14:anchorId="4BB2DF66" wp14:editId="481AF44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8E1">
      <w:rPr>
        <w:lang w:val="en-US"/>
      </w:rPr>
      <w:t xml:space="preserve">  300821  010921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4223" w14:textId="77777777" w:rsidR="0041002B" w:rsidRPr="001075E9" w:rsidRDefault="0041002B" w:rsidP="001075E9">
      <w:pPr>
        <w:tabs>
          <w:tab w:val="right" w:pos="2155"/>
        </w:tabs>
        <w:spacing w:after="80" w:line="240" w:lineRule="auto"/>
        <w:ind w:left="680"/>
        <w:rPr>
          <w:u w:val="single"/>
        </w:rPr>
      </w:pPr>
      <w:r>
        <w:rPr>
          <w:u w:val="single"/>
        </w:rPr>
        <w:tab/>
      </w:r>
    </w:p>
  </w:footnote>
  <w:footnote w:type="continuationSeparator" w:id="0">
    <w:p w14:paraId="5EE3C46C" w14:textId="77777777" w:rsidR="0041002B" w:rsidRDefault="0041002B" w:rsidP="00407B78">
      <w:pPr>
        <w:tabs>
          <w:tab w:val="right" w:pos="2155"/>
        </w:tabs>
        <w:spacing w:after="80"/>
        <w:ind w:left="680"/>
        <w:rPr>
          <w:u w:val="single"/>
        </w:rPr>
      </w:pPr>
      <w:r>
        <w:rPr>
          <w:u w:val="single"/>
        </w:rPr>
        <w:tab/>
      </w:r>
    </w:p>
  </w:footnote>
  <w:footnote w:id="1">
    <w:p w14:paraId="6C920C8E" w14:textId="443CD21A" w:rsidR="00B921DB" w:rsidRPr="00B921DB" w:rsidRDefault="00B921DB">
      <w:pPr>
        <w:pStyle w:val="FootnoteText"/>
        <w:rPr>
          <w:sz w:val="20"/>
          <w:lang w:val="en-US"/>
        </w:rPr>
      </w:pPr>
      <w:r>
        <w:tab/>
      </w:r>
      <w:r w:rsidRPr="00B921DB">
        <w:rPr>
          <w:rStyle w:val="FootnoteReference"/>
          <w:sz w:val="20"/>
          <w:vertAlign w:val="baseline"/>
        </w:rPr>
        <w:t>*</w:t>
      </w:r>
      <w:r w:rsidRPr="00B921DB">
        <w:rPr>
          <w:rStyle w:val="FootnoteReference"/>
          <w:vertAlign w:val="baseline"/>
        </w:rPr>
        <w:tab/>
      </w:r>
      <w:r>
        <w:t>A/75/6 (разд. 20), п.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FFB6" w14:textId="484B29C8" w:rsidR="00072620" w:rsidRPr="00072620" w:rsidRDefault="005026D9">
    <w:pPr>
      <w:pStyle w:val="Header"/>
    </w:pPr>
    <w:r>
      <w:fldChar w:fldCharType="begin"/>
    </w:r>
    <w:r>
      <w:instrText xml:space="preserve"> TITLE  \* MERGEFORMAT </w:instrText>
    </w:r>
    <w:r>
      <w:fldChar w:fldCharType="separate"/>
    </w:r>
    <w:r w:rsidR="00EE2DD3">
      <w:t>ECE/TRANS/WP.15/2021/11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3FD4" w14:textId="2A08CCFF" w:rsidR="00072620" w:rsidRPr="00072620" w:rsidRDefault="005026D9" w:rsidP="00072620">
    <w:pPr>
      <w:pStyle w:val="Header"/>
      <w:jc w:val="right"/>
    </w:pPr>
    <w:r>
      <w:fldChar w:fldCharType="begin"/>
    </w:r>
    <w:r>
      <w:instrText xml:space="preserve"> TITLE  \* MERGEFORMAT </w:instrText>
    </w:r>
    <w:r>
      <w:fldChar w:fldCharType="separate"/>
    </w:r>
    <w:r w:rsidR="00EE2DD3">
      <w:t>ECE/TRANS/WP.15/2021/11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2B"/>
    <w:rsid w:val="00033EE1"/>
    <w:rsid w:val="00042B72"/>
    <w:rsid w:val="000558BD"/>
    <w:rsid w:val="00072620"/>
    <w:rsid w:val="000B57E7"/>
    <w:rsid w:val="000B6373"/>
    <w:rsid w:val="000E4E5B"/>
    <w:rsid w:val="000F09DF"/>
    <w:rsid w:val="000F61B2"/>
    <w:rsid w:val="001075E9"/>
    <w:rsid w:val="0013117B"/>
    <w:rsid w:val="0014152F"/>
    <w:rsid w:val="00146BF1"/>
    <w:rsid w:val="00165771"/>
    <w:rsid w:val="00180183"/>
    <w:rsid w:val="0018024D"/>
    <w:rsid w:val="0018649F"/>
    <w:rsid w:val="00196389"/>
    <w:rsid w:val="001B070C"/>
    <w:rsid w:val="001B3EF6"/>
    <w:rsid w:val="001C7A89"/>
    <w:rsid w:val="001D1960"/>
    <w:rsid w:val="001E28E1"/>
    <w:rsid w:val="001E52DE"/>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5C64"/>
    <w:rsid w:val="003402C2"/>
    <w:rsid w:val="00381C24"/>
    <w:rsid w:val="00387CD4"/>
    <w:rsid w:val="003958D0"/>
    <w:rsid w:val="003A0D43"/>
    <w:rsid w:val="003A48CE"/>
    <w:rsid w:val="003B00E5"/>
    <w:rsid w:val="003E0B46"/>
    <w:rsid w:val="00407B78"/>
    <w:rsid w:val="0041002B"/>
    <w:rsid w:val="00424203"/>
    <w:rsid w:val="00452493"/>
    <w:rsid w:val="00453318"/>
    <w:rsid w:val="00454AF2"/>
    <w:rsid w:val="00454E07"/>
    <w:rsid w:val="00472C5C"/>
    <w:rsid w:val="00485F8A"/>
    <w:rsid w:val="004E05B7"/>
    <w:rsid w:val="0050108D"/>
    <w:rsid w:val="005026D9"/>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E1CDE"/>
    <w:rsid w:val="00B05B8F"/>
    <w:rsid w:val="00B10CC7"/>
    <w:rsid w:val="00B36DF7"/>
    <w:rsid w:val="00B539E7"/>
    <w:rsid w:val="00B62458"/>
    <w:rsid w:val="00B921DB"/>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C507F"/>
    <w:rsid w:val="00ED0BDA"/>
    <w:rsid w:val="00EE142A"/>
    <w:rsid w:val="00EE2DD3"/>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98089"/>
  <w15:docId w15:val="{E8D2A5A0-8AF2-4702-944F-0FF0B98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B921DB"/>
    <w:rPr>
      <w:lang w:val="ru-RU" w:eastAsia="en-US"/>
    </w:rPr>
  </w:style>
  <w:style w:type="paragraph" w:customStyle="1" w:styleId="ParNoG">
    <w:name w:val="_ParNo_G"/>
    <w:basedOn w:val="SingleTxtG"/>
    <w:qFormat/>
    <w:rsid w:val="00B921DB"/>
    <w:pPr>
      <w:numPr>
        <w:numId w:val="22"/>
      </w:numPr>
      <w:tabs>
        <w:tab w:val="clear" w:pos="2268"/>
        <w:tab w:val="clear" w:pos="2835"/>
      </w:tabs>
      <w:suppressAutoHyphens w:val="0"/>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1713</Words>
  <Characters>9544</Characters>
  <Application>Microsoft Office Word</Application>
  <DocSecurity>0</DocSecurity>
  <Lines>194</Lines>
  <Paragraphs>87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ECE/TRANS/WP.15/2021/11</dc:title>
  <dc:subject/>
  <dc:creator>Ekaterina SALYNSKAYA</dc:creator>
  <cp:keywords/>
  <cp:lastModifiedBy>Christine Barrio-Champeau</cp:lastModifiedBy>
  <cp:revision>2</cp:revision>
  <cp:lastPrinted>2021-09-01T06:56:00Z</cp:lastPrinted>
  <dcterms:created xsi:type="dcterms:W3CDTF">2021-09-14T10:22:00Z</dcterms:created>
  <dcterms:modified xsi:type="dcterms:W3CDTF">2021-09-14T10:22:00Z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