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B7DE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B7DE3" w:rsidP="000B7DE3">
            <w:pPr>
              <w:jc w:val="right"/>
            </w:pPr>
            <w:r w:rsidRPr="000B7DE3">
              <w:rPr>
                <w:sz w:val="40"/>
              </w:rPr>
              <w:t>ECE</w:t>
            </w:r>
            <w:r>
              <w:t>/TRANS/WP.29/GRSG/2021/30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B7DE3" w:rsidP="00C97039">
            <w:pPr>
              <w:spacing w:before="240"/>
            </w:pPr>
            <w:proofErr w:type="spellStart"/>
            <w:r>
              <w:t>Distr</w:t>
            </w:r>
            <w:proofErr w:type="spellEnd"/>
            <w:r>
              <w:t>. générale</w:t>
            </w:r>
          </w:p>
          <w:p w:rsidR="000B7DE3" w:rsidRDefault="000B7DE3" w:rsidP="000B7DE3">
            <w:pPr>
              <w:spacing w:line="240" w:lineRule="exact"/>
            </w:pPr>
            <w:r>
              <w:t>30 juillet 2021</w:t>
            </w:r>
          </w:p>
          <w:p w:rsidR="000B7DE3" w:rsidRDefault="000B7DE3" w:rsidP="000B7DE3">
            <w:pPr>
              <w:spacing w:line="240" w:lineRule="exact"/>
            </w:pPr>
            <w:r>
              <w:t>Français</w:t>
            </w:r>
          </w:p>
          <w:p w:rsidR="000B7DE3" w:rsidRPr="00DB58B5" w:rsidRDefault="000B7DE3" w:rsidP="000B7DE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00BF5" w:rsidRPr="00E1115B" w:rsidRDefault="00600BF5" w:rsidP="0088763F">
      <w:pPr>
        <w:spacing w:before="120"/>
        <w:ind w:right="-1"/>
        <w:rPr>
          <w:b/>
          <w:sz w:val="24"/>
          <w:szCs w:val="24"/>
          <w:lang w:val="fr-FR"/>
        </w:rPr>
      </w:pPr>
      <w:r w:rsidRPr="00E1115B">
        <w:rPr>
          <w:b/>
          <w:bCs/>
          <w:sz w:val="24"/>
          <w:szCs w:val="24"/>
          <w:lang w:val="fr-FR"/>
        </w:rPr>
        <w:t>Forum mondial de l</w:t>
      </w:r>
      <w:r>
        <w:rPr>
          <w:b/>
          <w:bCs/>
          <w:sz w:val="24"/>
          <w:szCs w:val="24"/>
          <w:lang w:val="fr-FR"/>
        </w:rPr>
        <w:t>’</w:t>
      </w:r>
      <w:r w:rsidRPr="00E1115B">
        <w:rPr>
          <w:b/>
          <w:bCs/>
          <w:sz w:val="24"/>
          <w:szCs w:val="24"/>
          <w:lang w:val="fr-FR"/>
        </w:rPr>
        <w:t xml:space="preserve">harmonisation </w:t>
      </w:r>
      <w:r w:rsidR="0088763F">
        <w:rPr>
          <w:b/>
          <w:bCs/>
          <w:sz w:val="24"/>
          <w:szCs w:val="24"/>
          <w:lang w:val="fr-FR"/>
        </w:rPr>
        <w:br/>
      </w:r>
      <w:r w:rsidRPr="00E1115B">
        <w:rPr>
          <w:b/>
          <w:bCs/>
          <w:sz w:val="24"/>
          <w:szCs w:val="24"/>
          <w:lang w:val="fr-FR"/>
        </w:rPr>
        <w:t>des Règlements concernant les véhicules</w:t>
      </w:r>
    </w:p>
    <w:p w:rsidR="00600BF5" w:rsidRPr="00E1115B" w:rsidRDefault="00600BF5" w:rsidP="0088763F">
      <w:pPr>
        <w:spacing w:before="120"/>
        <w:ind w:right="-1"/>
        <w:rPr>
          <w:b/>
          <w:lang w:val="fr-FR"/>
        </w:rPr>
      </w:pPr>
      <w:r w:rsidRPr="00E1115B">
        <w:rPr>
          <w:b/>
          <w:bCs/>
          <w:lang w:val="fr-FR"/>
        </w:rPr>
        <w:t>Groupe de travail des dispositions générales de sécurité</w:t>
      </w:r>
    </w:p>
    <w:p w:rsidR="00600BF5" w:rsidRPr="00E1115B" w:rsidRDefault="00600BF5" w:rsidP="0088763F">
      <w:pPr>
        <w:spacing w:before="120"/>
        <w:ind w:right="-1"/>
        <w:rPr>
          <w:b/>
          <w:lang w:val="fr-FR"/>
        </w:rPr>
      </w:pPr>
      <w:r w:rsidRPr="00E1115B">
        <w:rPr>
          <w:b/>
          <w:bCs/>
          <w:lang w:val="fr-FR"/>
        </w:rPr>
        <w:t>122</w:t>
      </w:r>
      <w:r w:rsidRPr="00E1115B">
        <w:rPr>
          <w:b/>
          <w:bCs/>
          <w:vertAlign w:val="superscript"/>
          <w:lang w:val="fr-FR"/>
        </w:rPr>
        <w:t>e</w:t>
      </w:r>
      <w:r w:rsidRPr="00E1115B">
        <w:rPr>
          <w:b/>
          <w:bCs/>
          <w:lang w:val="fr-FR"/>
        </w:rPr>
        <w:t xml:space="preserve"> session</w:t>
      </w:r>
    </w:p>
    <w:p w:rsidR="00600BF5" w:rsidRPr="00E1115B" w:rsidRDefault="00600BF5" w:rsidP="0088763F">
      <w:pPr>
        <w:ind w:right="-1"/>
        <w:rPr>
          <w:lang w:val="fr-FR"/>
        </w:rPr>
      </w:pPr>
      <w:r w:rsidRPr="00E1115B">
        <w:rPr>
          <w:lang w:val="fr-FR"/>
        </w:rPr>
        <w:t>Genève, 12-15 octobre 2021</w:t>
      </w:r>
    </w:p>
    <w:p w:rsidR="00600BF5" w:rsidRPr="00E1115B" w:rsidRDefault="00600BF5" w:rsidP="0088763F">
      <w:pPr>
        <w:ind w:right="-1"/>
        <w:rPr>
          <w:lang w:val="fr-FR"/>
        </w:rPr>
      </w:pPr>
      <w:r w:rsidRPr="00E1115B">
        <w:rPr>
          <w:lang w:val="fr-FR"/>
        </w:rPr>
        <w:t>Point 12 de l</w:t>
      </w:r>
      <w:r>
        <w:rPr>
          <w:lang w:val="fr-FR"/>
        </w:rPr>
        <w:t>’</w:t>
      </w:r>
      <w:r w:rsidRPr="00E1115B">
        <w:rPr>
          <w:lang w:val="fr-FR"/>
        </w:rPr>
        <w:t>ordre du jour provisoire</w:t>
      </w:r>
    </w:p>
    <w:p w:rsidR="00600BF5" w:rsidRPr="00E1115B" w:rsidRDefault="00600BF5" w:rsidP="0088763F">
      <w:pPr>
        <w:ind w:right="-1"/>
        <w:rPr>
          <w:lang w:val="fr-FR"/>
        </w:rPr>
      </w:pPr>
      <w:r w:rsidRPr="00E1115B">
        <w:rPr>
          <w:b/>
          <w:bCs/>
          <w:lang w:val="fr-FR"/>
        </w:rPr>
        <w:t>Règlement ONU n</w:t>
      </w:r>
      <w:r w:rsidRPr="00E1115B">
        <w:rPr>
          <w:b/>
          <w:bCs/>
          <w:vertAlign w:val="superscript"/>
          <w:lang w:val="fr-FR"/>
        </w:rPr>
        <w:t>o</w:t>
      </w:r>
      <w:r w:rsidR="0088763F">
        <w:rPr>
          <w:b/>
          <w:bCs/>
          <w:lang w:val="fr-FR"/>
        </w:rPr>
        <w:t> </w:t>
      </w:r>
      <w:r w:rsidRPr="00E1115B">
        <w:rPr>
          <w:b/>
          <w:bCs/>
          <w:lang w:val="fr-FR"/>
        </w:rPr>
        <w:t xml:space="preserve">121 (Identification des commandes manuelles, </w:t>
      </w:r>
      <w:r w:rsidR="0088763F">
        <w:rPr>
          <w:b/>
          <w:bCs/>
          <w:lang w:val="fr-FR"/>
        </w:rPr>
        <w:br/>
      </w:r>
      <w:r w:rsidRPr="00E1115B">
        <w:rPr>
          <w:b/>
          <w:bCs/>
          <w:lang w:val="fr-FR"/>
        </w:rPr>
        <w:t>des témoins et des indicateurs)</w:t>
      </w:r>
    </w:p>
    <w:p w:rsidR="00600BF5" w:rsidRPr="00E1115B" w:rsidRDefault="00600BF5" w:rsidP="00E41560">
      <w:pPr>
        <w:pStyle w:val="HChG"/>
        <w:rPr>
          <w:lang w:val="fr-FR"/>
        </w:rPr>
      </w:pPr>
      <w:r w:rsidRPr="00E1115B">
        <w:rPr>
          <w:lang w:val="fr-FR"/>
        </w:rPr>
        <w:tab/>
      </w:r>
      <w:r w:rsidRPr="00E1115B">
        <w:rPr>
          <w:lang w:val="fr-FR"/>
        </w:rPr>
        <w:tab/>
        <w:t>Proposition de complément [4] à la série 01 d</w:t>
      </w:r>
      <w:r>
        <w:rPr>
          <w:lang w:val="fr-FR"/>
        </w:rPr>
        <w:t>’</w:t>
      </w:r>
      <w:r w:rsidRPr="00E1115B">
        <w:rPr>
          <w:lang w:val="fr-FR"/>
        </w:rPr>
        <w:t>amendements au Règlement ONU n</w:t>
      </w:r>
      <w:r w:rsidRPr="00E1115B">
        <w:rPr>
          <w:vertAlign w:val="superscript"/>
          <w:lang w:val="fr-FR"/>
        </w:rPr>
        <w:t>o</w:t>
      </w:r>
      <w:r w:rsidR="00E41560">
        <w:rPr>
          <w:lang w:val="fr-FR"/>
        </w:rPr>
        <w:t> </w:t>
      </w:r>
      <w:r w:rsidRPr="00E1115B">
        <w:rPr>
          <w:lang w:val="fr-FR"/>
        </w:rPr>
        <w:t>121</w:t>
      </w:r>
    </w:p>
    <w:p w:rsidR="00600BF5" w:rsidRPr="00E1115B" w:rsidRDefault="00600BF5" w:rsidP="00E41560">
      <w:pPr>
        <w:pStyle w:val="H1G"/>
        <w:rPr>
          <w:lang w:val="fr-FR"/>
        </w:rPr>
      </w:pPr>
      <w:r w:rsidRPr="00E1115B">
        <w:rPr>
          <w:lang w:val="fr-FR"/>
        </w:rPr>
        <w:tab/>
      </w:r>
      <w:r w:rsidRPr="00E1115B">
        <w:rPr>
          <w:lang w:val="fr-FR"/>
        </w:rPr>
        <w:tab/>
        <w:t>Communication de l</w:t>
      </w:r>
      <w:r>
        <w:rPr>
          <w:lang w:val="fr-FR"/>
        </w:rPr>
        <w:t>’</w:t>
      </w:r>
      <w:r w:rsidRPr="00E1115B">
        <w:rPr>
          <w:lang w:val="fr-FR"/>
        </w:rPr>
        <w:t>expert des Pays-Bas au nom de l</w:t>
      </w:r>
      <w:r>
        <w:rPr>
          <w:lang w:val="fr-FR"/>
        </w:rPr>
        <w:t>’</w:t>
      </w:r>
      <w:r w:rsidRPr="00E1115B">
        <w:rPr>
          <w:lang w:val="fr-FR"/>
        </w:rPr>
        <w:t xml:space="preserve">équipe spéciale du GRBP chargée des systèmes de surveillance de la pression </w:t>
      </w:r>
      <w:r w:rsidR="00E41560">
        <w:rPr>
          <w:lang w:val="fr-FR"/>
        </w:rPr>
        <w:br/>
      </w:r>
      <w:r w:rsidRPr="00E1115B">
        <w:rPr>
          <w:lang w:val="fr-FR"/>
        </w:rPr>
        <w:t>des pneumatiques et du montage des pneumatiques</w:t>
      </w:r>
      <w:r w:rsidRPr="00E41560">
        <w:rPr>
          <w:b w:val="0"/>
          <w:bCs/>
          <w:sz w:val="20"/>
          <w:lang w:val="fr-FR"/>
        </w:rPr>
        <w:footnoteReference w:customMarkFollows="1" w:id="2"/>
        <w:t xml:space="preserve">* </w:t>
      </w:r>
    </w:p>
    <w:p w:rsidR="00600BF5" w:rsidRDefault="00600BF5" w:rsidP="00600BF5">
      <w:pPr>
        <w:pStyle w:val="SingleTxtG"/>
        <w:ind w:firstLine="567"/>
        <w:rPr>
          <w:lang w:val="fr-FR"/>
        </w:rPr>
      </w:pPr>
      <w:r w:rsidRPr="00E1115B">
        <w:rPr>
          <w:lang w:val="fr-FR"/>
        </w:rPr>
        <w:t>Le texte ci-après, établi par l</w:t>
      </w:r>
      <w:r>
        <w:rPr>
          <w:lang w:val="fr-FR"/>
        </w:rPr>
        <w:t>’</w:t>
      </w:r>
      <w:r w:rsidRPr="00E1115B">
        <w:rPr>
          <w:lang w:val="fr-FR"/>
        </w:rPr>
        <w:t>équipe spéciale du GRBP chargée des systèmes de surveillance de la pression des pneumatiques et du montage des pneumatiques, tend à appliquer aux systèmes de regonflage des pneumatiques et aux systèmes centraux de gonflage des pneumatiques les mêmes prescriptions en matière de témoins que celles déjà en place pour les systèmes de surveillance de la pression des pneumatiques. Les modifications qu</w:t>
      </w:r>
      <w:r>
        <w:rPr>
          <w:lang w:val="fr-FR"/>
        </w:rPr>
        <w:t>’</w:t>
      </w:r>
      <w:r w:rsidRPr="00E1115B">
        <w:rPr>
          <w:lang w:val="fr-FR"/>
        </w:rPr>
        <w:t>il est proposé d</w:t>
      </w:r>
      <w:r>
        <w:rPr>
          <w:lang w:val="fr-FR"/>
        </w:rPr>
        <w:t>’</w:t>
      </w:r>
      <w:r w:rsidRPr="00E1115B">
        <w:rPr>
          <w:lang w:val="fr-FR"/>
        </w:rPr>
        <w:t>apporter au texte actuel du Règlement ONU figurent en caractères gras pour les ajouts et biffés pour les suppressions.</w:t>
      </w:r>
    </w:p>
    <w:p w:rsidR="00600BF5" w:rsidRDefault="00600BF5">
      <w:pPr>
        <w:suppressAutoHyphens w:val="0"/>
        <w:kinsoku/>
        <w:overflowPunct/>
        <w:autoSpaceDE/>
        <w:autoSpaceDN/>
        <w:adjustRightInd/>
        <w:snapToGrid/>
        <w:spacing w:after="200" w:line="276" w:lineRule="auto"/>
        <w:rPr>
          <w:lang w:val="fr-FR"/>
        </w:rPr>
      </w:pPr>
      <w:r>
        <w:rPr>
          <w:lang w:val="fr-FR"/>
        </w:rPr>
        <w:br w:type="page"/>
      </w:r>
    </w:p>
    <w:p w:rsidR="00600BF5" w:rsidRPr="00E1115B" w:rsidRDefault="00A54306" w:rsidP="00A54306">
      <w:pPr>
        <w:pStyle w:val="HChG"/>
        <w:rPr>
          <w:lang w:val="fr-FR"/>
        </w:rPr>
      </w:pPr>
      <w:r>
        <w:rPr>
          <w:lang w:val="fr-FR"/>
        </w:rPr>
        <w:lastRenderedPageBreak/>
        <w:tab/>
      </w:r>
      <w:r w:rsidR="00600BF5" w:rsidRPr="00E1115B">
        <w:rPr>
          <w:lang w:val="fr-FR"/>
        </w:rPr>
        <w:t>I.</w:t>
      </w:r>
      <w:r w:rsidR="00600BF5" w:rsidRPr="00E1115B">
        <w:rPr>
          <w:lang w:val="fr-FR"/>
        </w:rPr>
        <w:tab/>
        <w:t>Proposition</w:t>
      </w:r>
    </w:p>
    <w:p w:rsidR="00600BF5" w:rsidRPr="00E1115B" w:rsidRDefault="00600BF5" w:rsidP="00A54306">
      <w:pPr>
        <w:pStyle w:val="SingleTxtG"/>
        <w:keepNext/>
        <w:rPr>
          <w:i/>
          <w:iCs/>
          <w:lang w:val="fr-FR"/>
        </w:rPr>
      </w:pPr>
      <w:r w:rsidRPr="00E1115B">
        <w:rPr>
          <w:i/>
          <w:iCs/>
          <w:lang w:val="fr-FR"/>
        </w:rPr>
        <w:t>Tableau 1</w:t>
      </w:r>
      <w:r w:rsidRPr="00E1115B">
        <w:rPr>
          <w:lang w:val="fr-FR"/>
        </w:rPr>
        <w:t>, lire (note de bas de page</w:t>
      </w:r>
      <w:r w:rsidRPr="006755ED">
        <w:rPr>
          <w:sz w:val="18"/>
          <w:szCs w:val="18"/>
          <w:vertAlign w:val="superscript"/>
          <w:lang w:val="fr-FR"/>
        </w:rPr>
        <w:t>16</w:t>
      </w:r>
      <w:r w:rsidRPr="00655E02">
        <w:rPr>
          <w:lang w:val="fr-FR"/>
        </w:rPr>
        <w:t xml:space="preserve"> </w:t>
      </w:r>
      <w:r w:rsidRPr="00E1115B">
        <w:rPr>
          <w:lang w:val="fr-FR"/>
        </w:rPr>
        <w:t>révisée)</w:t>
      </w:r>
      <w:r w:rsidR="00A54306">
        <w:rPr>
          <w:lang w:val="fr-FR"/>
        </w:rPr>
        <w:t> </w:t>
      </w:r>
      <w:r w:rsidRPr="00E1115B">
        <w:rPr>
          <w:lang w:val="fr-FR"/>
        </w:rPr>
        <w:t xml:space="preserve">: </w:t>
      </w:r>
    </w:p>
    <w:p w:rsidR="00600BF5" w:rsidRPr="00E1115B" w:rsidRDefault="00600BF5" w:rsidP="00600BF5">
      <w:pPr>
        <w:pStyle w:val="Paragraphedeliste"/>
        <w:tabs>
          <w:tab w:val="left" w:pos="2835"/>
        </w:tabs>
        <w:spacing w:before="120" w:after="120"/>
        <w:ind w:left="142" w:right="1134"/>
        <w:rPr>
          <w:lang w:val="fr-FR"/>
        </w:rPr>
      </w:pPr>
      <w:r>
        <w:rPr>
          <w:lang w:val="fr-FR"/>
        </w:rPr>
        <w:t>« </w:t>
      </w:r>
    </w:p>
    <w:tbl>
      <w:tblPr>
        <w:tblW w:w="9638" w:type="dxa"/>
        <w:tblLayout w:type="fixed"/>
        <w:tblCellMar>
          <w:left w:w="0" w:type="dxa"/>
          <w:right w:w="0" w:type="dxa"/>
        </w:tblCellMar>
        <w:tblLook w:val="0000" w:firstRow="0" w:lastRow="0" w:firstColumn="0" w:lastColumn="0" w:noHBand="0" w:noVBand="0"/>
      </w:tblPr>
      <w:tblGrid>
        <w:gridCol w:w="476"/>
        <w:gridCol w:w="3710"/>
        <w:gridCol w:w="1363"/>
        <w:gridCol w:w="1363"/>
        <w:gridCol w:w="1363"/>
        <w:gridCol w:w="1363"/>
      </w:tblGrid>
      <w:tr w:rsidR="0098070A" w:rsidRPr="006755ED" w:rsidTr="00783B80">
        <w:trPr>
          <w:cantSplit/>
          <w:tblHeader/>
        </w:trPr>
        <w:tc>
          <w:tcPr>
            <w:tcW w:w="476" w:type="dxa"/>
            <w:vMerge w:val="restart"/>
            <w:tcBorders>
              <w:top w:val="single" w:sz="4" w:space="0" w:color="auto"/>
            </w:tcBorders>
            <w:shd w:val="clear" w:color="auto" w:fill="auto"/>
            <w:vAlign w:val="bottom"/>
          </w:tcPr>
          <w:p w:rsidR="0098070A" w:rsidRPr="006755ED" w:rsidRDefault="0098070A" w:rsidP="006755ED">
            <w:pPr>
              <w:spacing w:before="80" w:after="80" w:line="200" w:lineRule="exact"/>
              <w:ind w:right="113"/>
              <w:rPr>
                <w:i/>
                <w:sz w:val="16"/>
                <w:lang w:val="fr-FR"/>
              </w:rPr>
            </w:pPr>
            <w:r w:rsidRPr="006755ED">
              <w:rPr>
                <w:i/>
                <w:sz w:val="16"/>
                <w:lang w:val="fr-FR"/>
              </w:rPr>
              <w:t>N</w:t>
            </w:r>
            <w:r w:rsidRPr="006755ED">
              <w:rPr>
                <w:i/>
                <w:sz w:val="16"/>
                <w:vertAlign w:val="superscript"/>
                <w:lang w:val="fr-FR"/>
              </w:rPr>
              <w:t>o</w:t>
            </w:r>
          </w:p>
        </w:tc>
        <w:tc>
          <w:tcPr>
            <w:tcW w:w="3710" w:type="dxa"/>
            <w:tcBorders>
              <w:top w:val="single" w:sz="4" w:space="0" w:color="auto"/>
              <w:bottom w:val="single" w:sz="4" w:space="0" w:color="auto"/>
            </w:tcBorders>
            <w:shd w:val="clear" w:color="auto" w:fill="auto"/>
            <w:vAlign w:val="bottom"/>
          </w:tcPr>
          <w:p w:rsidR="0098070A" w:rsidRPr="006755ED" w:rsidRDefault="0098070A" w:rsidP="006755ED">
            <w:pPr>
              <w:spacing w:before="80" w:after="80" w:line="200" w:lineRule="exact"/>
              <w:ind w:right="113"/>
              <w:rPr>
                <w:i/>
                <w:sz w:val="16"/>
                <w:lang w:val="fr-FR"/>
              </w:rPr>
            </w:pPr>
            <w:r w:rsidRPr="006755ED">
              <w:rPr>
                <w:i/>
                <w:sz w:val="16"/>
                <w:lang w:val="fr-FR"/>
              </w:rPr>
              <w:t>Colonne 1</w:t>
            </w:r>
          </w:p>
        </w:tc>
        <w:tc>
          <w:tcPr>
            <w:tcW w:w="1363" w:type="dxa"/>
            <w:tcBorders>
              <w:top w:val="single" w:sz="4" w:space="0" w:color="auto"/>
              <w:bottom w:val="single" w:sz="4" w:space="0" w:color="auto"/>
            </w:tcBorders>
            <w:shd w:val="clear" w:color="auto" w:fill="auto"/>
            <w:vAlign w:val="bottom"/>
          </w:tcPr>
          <w:p w:rsidR="0098070A" w:rsidRPr="006755ED" w:rsidRDefault="0098070A" w:rsidP="006755ED">
            <w:pPr>
              <w:spacing w:before="80" w:after="80" w:line="200" w:lineRule="exact"/>
              <w:ind w:right="113"/>
              <w:rPr>
                <w:bCs/>
                <w:i/>
                <w:sz w:val="16"/>
                <w:lang w:val="fr-FR"/>
              </w:rPr>
            </w:pPr>
            <w:r w:rsidRPr="006755ED">
              <w:rPr>
                <w:i/>
                <w:sz w:val="16"/>
                <w:lang w:val="fr-FR"/>
              </w:rPr>
              <w:t>Colonne 2</w:t>
            </w:r>
          </w:p>
        </w:tc>
        <w:tc>
          <w:tcPr>
            <w:tcW w:w="1363" w:type="dxa"/>
            <w:tcBorders>
              <w:top w:val="single" w:sz="4" w:space="0" w:color="auto"/>
              <w:bottom w:val="single" w:sz="4" w:space="0" w:color="auto"/>
            </w:tcBorders>
            <w:shd w:val="clear" w:color="auto" w:fill="auto"/>
            <w:vAlign w:val="bottom"/>
          </w:tcPr>
          <w:p w:rsidR="0098070A" w:rsidRPr="006755ED" w:rsidRDefault="0098070A" w:rsidP="006755ED">
            <w:pPr>
              <w:spacing w:before="80" w:after="80" w:line="200" w:lineRule="exact"/>
              <w:ind w:right="113"/>
              <w:rPr>
                <w:i/>
                <w:sz w:val="16"/>
                <w:lang w:val="fr-FR"/>
              </w:rPr>
            </w:pPr>
            <w:r w:rsidRPr="006755ED">
              <w:rPr>
                <w:i/>
                <w:sz w:val="16"/>
                <w:lang w:val="fr-FR"/>
              </w:rPr>
              <w:t>Colonne 3</w:t>
            </w:r>
          </w:p>
        </w:tc>
        <w:tc>
          <w:tcPr>
            <w:tcW w:w="1363" w:type="dxa"/>
            <w:tcBorders>
              <w:top w:val="single" w:sz="4" w:space="0" w:color="auto"/>
              <w:bottom w:val="single" w:sz="4" w:space="0" w:color="auto"/>
            </w:tcBorders>
            <w:shd w:val="clear" w:color="auto" w:fill="auto"/>
            <w:vAlign w:val="bottom"/>
          </w:tcPr>
          <w:p w:rsidR="0098070A" w:rsidRPr="006755ED" w:rsidRDefault="0098070A" w:rsidP="006755ED">
            <w:pPr>
              <w:spacing w:before="80" w:after="80" w:line="200" w:lineRule="exact"/>
              <w:ind w:right="113"/>
              <w:rPr>
                <w:i/>
                <w:sz w:val="16"/>
                <w:lang w:val="fr-FR"/>
              </w:rPr>
            </w:pPr>
            <w:r w:rsidRPr="006755ED">
              <w:rPr>
                <w:i/>
                <w:sz w:val="16"/>
                <w:lang w:val="fr-FR"/>
              </w:rPr>
              <w:t>Colonne 4</w:t>
            </w:r>
          </w:p>
        </w:tc>
        <w:tc>
          <w:tcPr>
            <w:tcW w:w="1363" w:type="dxa"/>
            <w:tcBorders>
              <w:top w:val="single" w:sz="4" w:space="0" w:color="auto"/>
              <w:bottom w:val="single" w:sz="4" w:space="0" w:color="auto"/>
            </w:tcBorders>
            <w:shd w:val="clear" w:color="auto" w:fill="auto"/>
            <w:vAlign w:val="bottom"/>
          </w:tcPr>
          <w:p w:rsidR="0098070A" w:rsidRPr="006755ED" w:rsidRDefault="0098070A" w:rsidP="006755ED">
            <w:pPr>
              <w:spacing w:before="80" w:after="80" w:line="200" w:lineRule="exact"/>
              <w:ind w:right="113"/>
              <w:rPr>
                <w:i/>
                <w:sz w:val="16"/>
                <w:lang w:val="fr-FR"/>
              </w:rPr>
            </w:pPr>
            <w:r w:rsidRPr="006755ED">
              <w:rPr>
                <w:i/>
                <w:sz w:val="16"/>
                <w:lang w:val="fr-FR"/>
              </w:rPr>
              <w:t>Colonne 5</w:t>
            </w:r>
          </w:p>
        </w:tc>
      </w:tr>
      <w:tr w:rsidR="0098070A" w:rsidRPr="0098070A" w:rsidTr="00783B80">
        <w:trPr>
          <w:cantSplit/>
          <w:tblHeader/>
        </w:trPr>
        <w:tc>
          <w:tcPr>
            <w:tcW w:w="476" w:type="dxa"/>
            <w:vMerge/>
            <w:tcBorders>
              <w:bottom w:val="single" w:sz="12" w:space="0" w:color="auto"/>
            </w:tcBorders>
            <w:shd w:val="clear" w:color="auto" w:fill="auto"/>
          </w:tcPr>
          <w:p w:rsidR="0098070A" w:rsidRPr="0098070A" w:rsidRDefault="0098070A" w:rsidP="0098070A">
            <w:pPr>
              <w:spacing w:before="80" w:after="80" w:line="200" w:lineRule="atLeast"/>
              <w:ind w:right="113"/>
              <w:rPr>
                <w:sz w:val="16"/>
                <w:szCs w:val="16"/>
                <w:lang w:val="fr-FR"/>
              </w:rPr>
            </w:pPr>
          </w:p>
        </w:tc>
        <w:tc>
          <w:tcPr>
            <w:tcW w:w="3710" w:type="dxa"/>
            <w:tcBorders>
              <w:top w:val="single" w:sz="4" w:space="0" w:color="auto"/>
              <w:bottom w:val="single" w:sz="12" w:space="0" w:color="auto"/>
            </w:tcBorders>
            <w:shd w:val="clear" w:color="auto" w:fill="auto"/>
          </w:tcPr>
          <w:p w:rsidR="0098070A" w:rsidRPr="0098070A" w:rsidRDefault="0098070A" w:rsidP="0098070A">
            <w:pPr>
              <w:spacing w:before="80" w:after="80" w:line="200" w:lineRule="atLeast"/>
              <w:ind w:right="113"/>
              <w:rPr>
                <w:bCs/>
                <w:sz w:val="16"/>
                <w:szCs w:val="16"/>
                <w:lang w:val="fr-FR"/>
              </w:rPr>
            </w:pPr>
            <w:r w:rsidRPr="0098070A">
              <w:rPr>
                <w:sz w:val="16"/>
                <w:szCs w:val="16"/>
                <w:lang w:val="fr-FR"/>
              </w:rPr>
              <w:t>Équipement</w:t>
            </w:r>
          </w:p>
        </w:tc>
        <w:tc>
          <w:tcPr>
            <w:tcW w:w="1363" w:type="dxa"/>
            <w:tcBorders>
              <w:top w:val="single" w:sz="4" w:space="0" w:color="auto"/>
              <w:bottom w:val="single" w:sz="12" w:space="0" w:color="auto"/>
            </w:tcBorders>
            <w:shd w:val="clear" w:color="auto" w:fill="auto"/>
          </w:tcPr>
          <w:p w:rsidR="0098070A" w:rsidRPr="0098070A" w:rsidRDefault="0098070A" w:rsidP="0098070A">
            <w:pPr>
              <w:spacing w:before="80" w:after="80" w:line="200" w:lineRule="atLeast"/>
              <w:ind w:right="113"/>
              <w:rPr>
                <w:bCs/>
                <w:sz w:val="16"/>
                <w:szCs w:val="16"/>
                <w:lang w:val="fr-FR"/>
              </w:rPr>
            </w:pPr>
            <w:r w:rsidRPr="0098070A">
              <w:rPr>
                <w:sz w:val="16"/>
                <w:szCs w:val="16"/>
                <w:lang w:val="fr-FR"/>
              </w:rPr>
              <w:t xml:space="preserve">Symbole </w:t>
            </w:r>
            <w:r w:rsidRPr="0098070A">
              <w:rPr>
                <w:sz w:val="16"/>
                <w:szCs w:val="16"/>
                <w:vertAlign w:val="superscript"/>
                <w:lang w:val="fr-FR"/>
              </w:rPr>
              <w:t>2</w:t>
            </w:r>
          </w:p>
        </w:tc>
        <w:tc>
          <w:tcPr>
            <w:tcW w:w="1363" w:type="dxa"/>
            <w:tcBorders>
              <w:top w:val="single" w:sz="4" w:space="0" w:color="auto"/>
              <w:bottom w:val="single" w:sz="12" w:space="0" w:color="auto"/>
            </w:tcBorders>
            <w:shd w:val="clear" w:color="auto" w:fill="auto"/>
          </w:tcPr>
          <w:p w:rsidR="0098070A" w:rsidRPr="0098070A" w:rsidRDefault="0098070A" w:rsidP="0098070A">
            <w:pPr>
              <w:spacing w:before="80" w:after="80" w:line="200" w:lineRule="atLeast"/>
              <w:ind w:right="113"/>
              <w:rPr>
                <w:bCs/>
                <w:sz w:val="16"/>
                <w:szCs w:val="16"/>
                <w:lang w:val="fr-FR"/>
              </w:rPr>
            </w:pPr>
            <w:r w:rsidRPr="0098070A">
              <w:rPr>
                <w:sz w:val="16"/>
                <w:szCs w:val="16"/>
                <w:lang w:val="fr-FR"/>
              </w:rPr>
              <w:t>Fonction</w:t>
            </w:r>
          </w:p>
        </w:tc>
        <w:tc>
          <w:tcPr>
            <w:tcW w:w="1363" w:type="dxa"/>
            <w:tcBorders>
              <w:top w:val="single" w:sz="4" w:space="0" w:color="auto"/>
              <w:bottom w:val="single" w:sz="12" w:space="0" w:color="auto"/>
            </w:tcBorders>
            <w:shd w:val="clear" w:color="auto" w:fill="auto"/>
          </w:tcPr>
          <w:p w:rsidR="0098070A" w:rsidRPr="0098070A" w:rsidRDefault="0098070A" w:rsidP="0098070A">
            <w:pPr>
              <w:spacing w:before="80" w:after="80" w:line="200" w:lineRule="atLeast"/>
              <w:ind w:right="113"/>
              <w:rPr>
                <w:bCs/>
                <w:sz w:val="16"/>
                <w:szCs w:val="16"/>
                <w:lang w:val="fr-FR"/>
              </w:rPr>
            </w:pPr>
            <w:r w:rsidRPr="0098070A">
              <w:rPr>
                <w:sz w:val="16"/>
                <w:szCs w:val="16"/>
                <w:lang w:val="fr-FR"/>
              </w:rPr>
              <w:t>Éclairage</w:t>
            </w:r>
          </w:p>
        </w:tc>
        <w:tc>
          <w:tcPr>
            <w:tcW w:w="1363" w:type="dxa"/>
            <w:tcBorders>
              <w:top w:val="single" w:sz="4" w:space="0" w:color="auto"/>
              <w:bottom w:val="single" w:sz="12" w:space="0" w:color="auto"/>
            </w:tcBorders>
            <w:shd w:val="clear" w:color="auto" w:fill="auto"/>
          </w:tcPr>
          <w:p w:rsidR="0098070A" w:rsidRPr="0098070A" w:rsidRDefault="0098070A" w:rsidP="0098070A">
            <w:pPr>
              <w:spacing w:before="80" w:after="80" w:line="200" w:lineRule="atLeast"/>
              <w:ind w:right="113"/>
              <w:rPr>
                <w:bCs/>
                <w:sz w:val="16"/>
                <w:szCs w:val="16"/>
                <w:lang w:val="fr-FR"/>
              </w:rPr>
            </w:pPr>
            <w:r w:rsidRPr="0098070A">
              <w:rPr>
                <w:sz w:val="16"/>
                <w:szCs w:val="16"/>
                <w:lang w:val="fr-FR"/>
              </w:rPr>
              <w:t>Couleur</w:t>
            </w:r>
          </w:p>
        </w:tc>
      </w:tr>
      <w:tr w:rsidR="006755ED" w:rsidRPr="006755ED" w:rsidTr="00783B80">
        <w:trPr>
          <w:cantSplit/>
        </w:trPr>
        <w:tc>
          <w:tcPr>
            <w:tcW w:w="476" w:type="dxa"/>
            <w:tcBorders>
              <w:top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42a</w:t>
            </w:r>
          </w:p>
        </w:tc>
        <w:tc>
          <w:tcPr>
            <w:tcW w:w="3710" w:type="dxa"/>
            <w:tcBorders>
              <w:top w:val="single" w:sz="12" w:space="0" w:color="auto"/>
            </w:tcBorders>
            <w:shd w:val="clear" w:color="auto" w:fill="auto"/>
          </w:tcPr>
          <w:p w:rsidR="00600BF5" w:rsidRPr="006755ED" w:rsidRDefault="00600BF5" w:rsidP="00783B80">
            <w:pPr>
              <w:spacing w:before="40" w:after="120"/>
              <w:ind w:right="113"/>
              <w:rPr>
                <w:lang w:val="fr-FR"/>
              </w:rPr>
            </w:pPr>
            <w:r w:rsidRPr="006755ED">
              <w:rPr>
                <w:lang w:val="fr-FR"/>
              </w:rPr>
              <w:t>Sous-gonflage des pneumatiques</w:t>
            </w:r>
            <w:r w:rsidR="00783B80">
              <w:rPr>
                <w:lang w:val="fr-FR"/>
              </w:rPr>
              <w:br/>
            </w:r>
            <w:r w:rsidRPr="006755ED">
              <w:rPr>
                <w:lang w:val="fr-FR"/>
              </w:rPr>
              <w:t>(y compris défaut de fonctionnement)</w:t>
            </w:r>
          </w:p>
        </w:tc>
        <w:tc>
          <w:tcPr>
            <w:tcW w:w="1363" w:type="dxa"/>
            <w:tcBorders>
              <w:top w:val="single" w:sz="12" w:space="0" w:color="auto"/>
            </w:tcBorders>
            <w:shd w:val="clear" w:color="auto" w:fill="auto"/>
          </w:tcPr>
          <w:p w:rsidR="00600BF5" w:rsidRPr="006755ED" w:rsidRDefault="00600BF5" w:rsidP="006755ED">
            <w:pPr>
              <w:spacing w:before="40" w:after="120"/>
              <w:ind w:right="113"/>
              <w:rPr>
                <w:lang w:val="fr-FR"/>
              </w:rPr>
            </w:pPr>
            <w:r w:rsidRPr="006755ED">
              <w:rPr>
                <w:noProof/>
                <w:lang w:val="fr-FR" w:eastAsia="nl-NL"/>
              </w:rPr>
              <w:drawing>
                <wp:inline distT="0" distB="0" distL="0" distR="0" wp14:anchorId="5C42BB97" wp14:editId="07238A5E">
                  <wp:extent cx="546100" cy="532130"/>
                  <wp:effectExtent l="0" t="0" r="635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lum bright="30000" contrast="-38000"/>
                            <a:grayscl/>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inline>
              </w:drawing>
            </w:r>
            <w:r w:rsidRPr="00783B80">
              <w:rPr>
                <w:sz w:val="18"/>
                <w:szCs w:val="18"/>
                <w:vertAlign w:val="superscript"/>
                <w:lang w:val="fr-FR"/>
              </w:rPr>
              <w:t>16</w:t>
            </w:r>
          </w:p>
        </w:tc>
        <w:tc>
          <w:tcPr>
            <w:tcW w:w="1363" w:type="dxa"/>
            <w:tcBorders>
              <w:top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Témoin</w:t>
            </w:r>
          </w:p>
        </w:tc>
        <w:tc>
          <w:tcPr>
            <w:tcW w:w="1363" w:type="dxa"/>
            <w:tcBorders>
              <w:top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Oui</w:t>
            </w:r>
          </w:p>
        </w:tc>
        <w:tc>
          <w:tcPr>
            <w:tcW w:w="1363" w:type="dxa"/>
            <w:tcBorders>
              <w:top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Jaune</w:t>
            </w:r>
          </w:p>
        </w:tc>
      </w:tr>
      <w:tr w:rsidR="00783B80" w:rsidRPr="006755ED" w:rsidTr="00783B80">
        <w:trPr>
          <w:cantSplit/>
        </w:trPr>
        <w:tc>
          <w:tcPr>
            <w:tcW w:w="476" w:type="dxa"/>
            <w:tcBorders>
              <w:bottom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42b</w:t>
            </w:r>
          </w:p>
        </w:tc>
        <w:tc>
          <w:tcPr>
            <w:tcW w:w="3710" w:type="dxa"/>
            <w:tcBorders>
              <w:bottom w:val="single" w:sz="12" w:space="0" w:color="auto"/>
            </w:tcBorders>
            <w:shd w:val="clear" w:color="auto" w:fill="auto"/>
          </w:tcPr>
          <w:p w:rsidR="00600BF5" w:rsidRPr="006755ED" w:rsidRDefault="00600BF5" w:rsidP="00783B80">
            <w:pPr>
              <w:spacing w:before="40" w:after="120"/>
              <w:ind w:right="113"/>
              <w:rPr>
                <w:lang w:val="fr-FR"/>
              </w:rPr>
            </w:pPr>
            <w:r w:rsidRPr="006755ED">
              <w:rPr>
                <w:lang w:val="fr-FR"/>
              </w:rPr>
              <w:t>Sous-gonflage des pneumatiques</w:t>
            </w:r>
            <w:r w:rsidR="00783B80">
              <w:rPr>
                <w:lang w:val="fr-FR"/>
              </w:rPr>
              <w:br/>
            </w:r>
            <w:r w:rsidRPr="006755ED">
              <w:rPr>
                <w:lang w:val="fr-FR"/>
              </w:rPr>
              <w:t>(y compris défaut de</w:t>
            </w:r>
            <w:r w:rsidR="00477013">
              <w:rPr>
                <w:lang w:val="fr-FR"/>
              </w:rPr>
              <w:t xml:space="preserve"> </w:t>
            </w:r>
            <w:r w:rsidRPr="006755ED">
              <w:rPr>
                <w:lang w:val="fr-FR"/>
              </w:rPr>
              <w:t xml:space="preserve">fonctionnement) </w:t>
            </w:r>
            <w:r w:rsidR="00477013">
              <w:rPr>
                <w:lang w:val="fr-FR"/>
              </w:rPr>
              <w:br/>
            </w:r>
            <w:r w:rsidRPr="006755ED">
              <w:rPr>
                <w:lang w:val="fr-FR"/>
              </w:rPr>
              <w:t>avec</w:t>
            </w:r>
            <w:r w:rsidR="00783B80">
              <w:rPr>
                <w:lang w:val="fr-FR"/>
              </w:rPr>
              <w:t xml:space="preserve"> </w:t>
            </w:r>
            <w:r w:rsidRPr="006755ED">
              <w:rPr>
                <w:lang w:val="fr-FR"/>
              </w:rPr>
              <w:t>indication du pneumatique concerné</w:t>
            </w:r>
          </w:p>
        </w:tc>
        <w:tc>
          <w:tcPr>
            <w:tcW w:w="1363" w:type="dxa"/>
            <w:tcBorders>
              <w:bottom w:val="single" w:sz="12" w:space="0" w:color="auto"/>
            </w:tcBorders>
            <w:shd w:val="clear" w:color="auto" w:fill="auto"/>
          </w:tcPr>
          <w:p w:rsidR="00600BF5" w:rsidRPr="006755ED" w:rsidRDefault="00600BF5" w:rsidP="006755ED">
            <w:pPr>
              <w:spacing w:before="40" w:after="120"/>
              <w:ind w:right="113"/>
              <w:rPr>
                <w:vertAlign w:val="superscript"/>
                <w:lang w:val="fr-FR"/>
              </w:rPr>
            </w:pPr>
            <w:r w:rsidRPr="006755ED">
              <w:rPr>
                <w:noProof/>
                <w:vertAlign w:val="superscript"/>
                <w:lang w:val="fr-FR" w:eastAsia="nl-NL"/>
              </w:rPr>
              <w:drawing>
                <wp:inline distT="0" distB="0" distL="0" distR="0" wp14:anchorId="797FEAF2" wp14:editId="3B654BF6">
                  <wp:extent cx="546100" cy="695960"/>
                  <wp:effectExtent l="0" t="0" r="6350" b="8890"/>
                  <wp:docPr id="38" name="Picture 38" descr="VehicleDisplay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hicleDisplay_n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r w:rsidRPr="00477013">
              <w:rPr>
                <w:sz w:val="18"/>
                <w:szCs w:val="18"/>
                <w:vertAlign w:val="superscript"/>
                <w:lang w:val="fr-FR"/>
              </w:rPr>
              <w:t>16, 17</w:t>
            </w:r>
          </w:p>
        </w:tc>
        <w:tc>
          <w:tcPr>
            <w:tcW w:w="1363" w:type="dxa"/>
            <w:tcBorders>
              <w:bottom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Témoin</w:t>
            </w:r>
          </w:p>
        </w:tc>
        <w:tc>
          <w:tcPr>
            <w:tcW w:w="1363" w:type="dxa"/>
            <w:tcBorders>
              <w:bottom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Oui</w:t>
            </w:r>
          </w:p>
        </w:tc>
        <w:tc>
          <w:tcPr>
            <w:tcW w:w="1363" w:type="dxa"/>
            <w:tcBorders>
              <w:bottom w:val="single" w:sz="12" w:space="0" w:color="auto"/>
            </w:tcBorders>
            <w:shd w:val="clear" w:color="auto" w:fill="auto"/>
          </w:tcPr>
          <w:p w:rsidR="00600BF5" w:rsidRPr="006755ED" w:rsidRDefault="00600BF5" w:rsidP="006755ED">
            <w:pPr>
              <w:spacing w:before="40" w:after="120"/>
              <w:ind w:right="113"/>
              <w:rPr>
                <w:lang w:val="fr-FR"/>
              </w:rPr>
            </w:pPr>
            <w:r w:rsidRPr="006755ED">
              <w:rPr>
                <w:lang w:val="fr-FR"/>
              </w:rPr>
              <w:t>Jaune</w:t>
            </w:r>
          </w:p>
        </w:tc>
      </w:tr>
    </w:tbl>
    <w:p w:rsidR="00600BF5" w:rsidRPr="00477013" w:rsidRDefault="00600BF5" w:rsidP="00477013">
      <w:pPr>
        <w:pStyle w:val="SingleTxtG"/>
        <w:rPr>
          <w:lang w:val="fr-FR"/>
        </w:rPr>
      </w:pPr>
      <w:r w:rsidRPr="00477013">
        <w:rPr>
          <w:lang w:val="fr-FR"/>
        </w:rPr>
        <w:t>...</w:t>
      </w:r>
    </w:p>
    <w:p w:rsidR="00600BF5" w:rsidRPr="00E1115B" w:rsidRDefault="00600BF5" w:rsidP="00600BF5">
      <w:pPr>
        <w:pStyle w:val="Notedebasdepage"/>
        <w:tabs>
          <w:tab w:val="clear" w:pos="1021"/>
          <w:tab w:val="right" w:pos="900"/>
          <w:tab w:val="right" w:pos="1700"/>
          <w:tab w:val="right" w:pos="2100"/>
        </w:tabs>
        <w:ind w:left="1500" w:hanging="300"/>
        <w:rPr>
          <w:lang w:val="fr-FR"/>
        </w:rPr>
      </w:pPr>
      <w:r w:rsidRPr="00E1115B">
        <w:rPr>
          <w:vertAlign w:val="superscript"/>
          <w:lang w:val="fr-FR"/>
        </w:rPr>
        <w:t>16</w:t>
      </w:r>
      <w:r w:rsidRPr="00E1115B">
        <w:rPr>
          <w:lang w:val="fr-FR"/>
        </w:rPr>
        <w:tab/>
      </w:r>
      <w:r w:rsidRPr="00E1115B">
        <w:rPr>
          <w:lang w:val="fr-FR"/>
        </w:rPr>
        <w:tab/>
        <w:t>En outre, l</w:t>
      </w:r>
      <w:r>
        <w:rPr>
          <w:lang w:val="fr-FR"/>
        </w:rPr>
        <w:t>’</w:t>
      </w:r>
      <w:r w:rsidRPr="00E1115B">
        <w:rPr>
          <w:lang w:val="fr-FR"/>
        </w:rPr>
        <w:t>un ou l</w:t>
      </w:r>
      <w:r>
        <w:rPr>
          <w:lang w:val="fr-FR"/>
        </w:rPr>
        <w:t>’</w:t>
      </w:r>
      <w:r w:rsidRPr="00E1115B">
        <w:rPr>
          <w:lang w:val="fr-FR"/>
        </w:rPr>
        <w:t xml:space="preserve">autre des témoins de sous-gonflage des pneumatiques peut servir à signaler un défaut de fonctionnement du système de surveillance de la pression des pneumatiques </w:t>
      </w:r>
      <w:r w:rsidRPr="00E1115B">
        <w:rPr>
          <w:strike/>
          <w:lang w:val="fr-FR"/>
        </w:rPr>
        <w:t>(TPMS)</w:t>
      </w:r>
      <w:r w:rsidRPr="00E1115B">
        <w:rPr>
          <w:b/>
          <w:bCs/>
          <w:lang w:val="fr-FR"/>
        </w:rPr>
        <w:t>, du système de regonflage des pneumatiques et du système central de gonflage des pneumatiques</w:t>
      </w:r>
      <w:r w:rsidRPr="00E1115B">
        <w:rPr>
          <w:lang w:val="fr-FR"/>
        </w:rPr>
        <w:t>.</w:t>
      </w:r>
    </w:p>
    <w:p w:rsidR="00600BF5" w:rsidRPr="00E1115B" w:rsidRDefault="00600BF5" w:rsidP="005A7B16">
      <w:pPr>
        <w:pStyle w:val="SingleTxtG"/>
        <w:rPr>
          <w:lang w:val="fr-FR"/>
        </w:rPr>
      </w:pPr>
      <w:r w:rsidRPr="00E1115B">
        <w:rPr>
          <w:lang w:val="fr-FR"/>
        </w:rPr>
        <w:t>… ».</w:t>
      </w:r>
    </w:p>
    <w:p w:rsidR="00600BF5" w:rsidRPr="00E1115B" w:rsidRDefault="005A7B16" w:rsidP="005A7B16">
      <w:pPr>
        <w:pStyle w:val="HChG"/>
        <w:rPr>
          <w:lang w:val="fr-FR"/>
        </w:rPr>
      </w:pPr>
      <w:r>
        <w:rPr>
          <w:lang w:val="fr-FR"/>
        </w:rPr>
        <w:tab/>
      </w:r>
      <w:r w:rsidR="00600BF5" w:rsidRPr="00E1115B">
        <w:rPr>
          <w:lang w:val="fr-FR"/>
        </w:rPr>
        <w:t>II.</w:t>
      </w:r>
      <w:r w:rsidR="00600BF5" w:rsidRPr="00E1115B">
        <w:rPr>
          <w:lang w:val="fr-FR"/>
        </w:rPr>
        <w:tab/>
        <w:t>Justification</w:t>
      </w:r>
    </w:p>
    <w:p w:rsidR="00F9573C" w:rsidRDefault="00600BF5" w:rsidP="00600BF5">
      <w:pPr>
        <w:pStyle w:val="SingleTxtG"/>
        <w:ind w:firstLine="567"/>
        <w:rPr>
          <w:lang w:val="fr-FR"/>
        </w:rPr>
      </w:pPr>
      <w:r w:rsidRPr="00E1115B">
        <w:rPr>
          <w:lang w:val="fr-FR"/>
        </w:rPr>
        <w:t>Avec l</w:t>
      </w:r>
      <w:r>
        <w:rPr>
          <w:lang w:val="fr-FR"/>
        </w:rPr>
        <w:t>’</w:t>
      </w:r>
      <w:r w:rsidRPr="00E1115B">
        <w:rPr>
          <w:lang w:val="fr-FR"/>
        </w:rPr>
        <w:t>introduction des véhicules des catégories M</w:t>
      </w:r>
      <w:r w:rsidRPr="00E1115B">
        <w:rPr>
          <w:vertAlign w:val="subscript"/>
          <w:lang w:val="fr-FR"/>
        </w:rPr>
        <w:t>2</w:t>
      </w:r>
      <w:r w:rsidRPr="00E1115B">
        <w:rPr>
          <w:lang w:val="fr-FR"/>
        </w:rPr>
        <w:t>, M</w:t>
      </w:r>
      <w:r w:rsidRPr="00E1115B">
        <w:rPr>
          <w:vertAlign w:val="subscript"/>
          <w:lang w:val="fr-FR"/>
        </w:rPr>
        <w:t>3</w:t>
      </w:r>
      <w:r w:rsidRPr="00E1115B">
        <w:rPr>
          <w:lang w:val="fr-FR"/>
        </w:rPr>
        <w:t>, N</w:t>
      </w:r>
      <w:r w:rsidRPr="00E1115B">
        <w:rPr>
          <w:vertAlign w:val="subscript"/>
          <w:lang w:val="fr-FR"/>
        </w:rPr>
        <w:t>2</w:t>
      </w:r>
      <w:r w:rsidRPr="00E1115B">
        <w:rPr>
          <w:lang w:val="fr-FR"/>
        </w:rPr>
        <w:t>, N</w:t>
      </w:r>
      <w:r w:rsidRPr="00E1115B">
        <w:rPr>
          <w:vertAlign w:val="subscript"/>
          <w:lang w:val="fr-FR"/>
        </w:rPr>
        <w:t>3</w:t>
      </w:r>
      <w:r w:rsidRPr="00E1115B">
        <w:rPr>
          <w:lang w:val="fr-FR"/>
        </w:rPr>
        <w:t>, O</w:t>
      </w:r>
      <w:r w:rsidRPr="00E1115B">
        <w:rPr>
          <w:vertAlign w:val="subscript"/>
          <w:lang w:val="fr-FR"/>
        </w:rPr>
        <w:t>3</w:t>
      </w:r>
      <w:r w:rsidRPr="00E1115B">
        <w:rPr>
          <w:lang w:val="fr-FR"/>
        </w:rPr>
        <w:t xml:space="preserve"> et O</w:t>
      </w:r>
      <w:r w:rsidRPr="00E1115B">
        <w:rPr>
          <w:vertAlign w:val="subscript"/>
          <w:lang w:val="fr-FR"/>
        </w:rPr>
        <w:t>4</w:t>
      </w:r>
      <w:r w:rsidRPr="00E1115B">
        <w:rPr>
          <w:lang w:val="fr-FR"/>
        </w:rPr>
        <w:t xml:space="preserve"> dans le champ d</w:t>
      </w:r>
      <w:r>
        <w:rPr>
          <w:lang w:val="fr-FR"/>
        </w:rPr>
        <w:t>’</w:t>
      </w:r>
      <w:r w:rsidRPr="00E1115B">
        <w:rPr>
          <w:lang w:val="fr-FR"/>
        </w:rPr>
        <w:t>application du Règlement ONU n</w:t>
      </w:r>
      <w:r w:rsidRPr="00E1115B">
        <w:rPr>
          <w:vertAlign w:val="superscript"/>
          <w:lang w:val="fr-FR"/>
        </w:rPr>
        <w:t>o</w:t>
      </w:r>
      <w:r w:rsidR="005A7B16">
        <w:rPr>
          <w:lang w:val="fr-FR"/>
        </w:rPr>
        <w:t> </w:t>
      </w:r>
      <w:r w:rsidRPr="00E1115B">
        <w:rPr>
          <w:lang w:val="fr-FR"/>
        </w:rPr>
        <w:t>141 au moyen de sa série 01 d</w:t>
      </w:r>
      <w:r>
        <w:rPr>
          <w:lang w:val="fr-FR"/>
        </w:rPr>
        <w:t>’</w:t>
      </w:r>
      <w:r w:rsidRPr="00E1115B">
        <w:rPr>
          <w:lang w:val="fr-FR"/>
        </w:rPr>
        <w:t>amendements, le système de regonflage des pneumatiques et le système central de gonflage des pneumatiques sont introduits dans ledit Règlement. Pour les demandes d</w:t>
      </w:r>
      <w:r>
        <w:rPr>
          <w:lang w:val="fr-FR"/>
        </w:rPr>
        <w:t>’</w:t>
      </w:r>
      <w:r w:rsidRPr="00E1115B">
        <w:rPr>
          <w:lang w:val="fr-FR"/>
        </w:rPr>
        <w:t>homologation, ces systèmes peuvent être considérés comme équivalents aux systèmes de contrôle de la pression des pneumatiques et doivent être en mesure d</w:t>
      </w:r>
      <w:r>
        <w:rPr>
          <w:lang w:val="fr-FR"/>
        </w:rPr>
        <w:t>’</w:t>
      </w:r>
      <w:r w:rsidRPr="00E1115B">
        <w:rPr>
          <w:lang w:val="fr-FR"/>
        </w:rPr>
        <w:t>utiliser les mêmes témoins remplissant les mêmes fonctions</w:t>
      </w:r>
      <w:r>
        <w:rPr>
          <w:lang w:val="fr-FR"/>
        </w:rPr>
        <w:t>.</w:t>
      </w:r>
    </w:p>
    <w:p w:rsidR="00600BF5" w:rsidRPr="00600BF5" w:rsidRDefault="00600BF5" w:rsidP="00600BF5">
      <w:pPr>
        <w:pStyle w:val="SingleTxtG"/>
        <w:spacing w:before="240" w:after="0"/>
        <w:jc w:val="center"/>
        <w:rPr>
          <w:u w:val="single"/>
        </w:rPr>
      </w:pPr>
      <w:r>
        <w:rPr>
          <w:u w:val="single"/>
        </w:rPr>
        <w:tab/>
      </w:r>
      <w:r>
        <w:rPr>
          <w:u w:val="single"/>
        </w:rPr>
        <w:tab/>
      </w:r>
      <w:r>
        <w:rPr>
          <w:u w:val="single"/>
        </w:rPr>
        <w:tab/>
      </w:r>
      <w:r w:rsidR="009054A1">
        <w:rPr>
          <w:u w:val="single"/>
        </w:rPr>
        <w:tab/>
      </w:r>
      <w:bookmarkStart w:id="0" w:name="_GoBack"/>
      <w:bookmarkEnd w:id="0"/>
    </w:p>
    <w:sectPr w:rsidR="00600BF5" w:rsidRPr="00600BF5" w:rsidSect="000B7DE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EDE" w:rsidRDefault="00A50EDE" w:rsidP="00F95C08">
      <w:pPr>
        <w:spacing w:line="240" w:lineRule="auto"/>
      </w:pPr>
    </w:p>
  </w:endnote>
  <w:endnote w:type="continuationSeparator" w:id="0">
    <w:p w:rsidR="00A50EDE" w:rsidRPr="00AC3823" w:rsidRDefault="00A50EDE" w:rsidP="00AC3823">
      <w:pPr>
        <w:pStyle w:val="Pieddepage"/>
      </w:pPr>
    </w:p>
  </w:endnote>
  <w:endnote w:type="continuationNotice" w:id="1">
    <w:p w:rsidR="00A50EDE" w:rsidRDefault="00A50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E3" w:rsidRPr="000B7DE3" w:rsidRDefault="000B7DE3" w:rsidP="000B7DE3">
    <w:pPr>
      <w:pStyle w:val="Pieddepage"/>
      <w:tabs>
        <w:tab w:val="right" w:pos="9638"/>
      </w:tabs>
    </w:pPr>
    <w:r w:rsidRPr="000B7DE3">
      <w:rPr>
        <w:b/>
        <w:sz w:val="18"/>
      </w:rPr>
      <w:fldChar w:fldCharType="begin"/>
    </w:r>
    <w:r w:rsidRPr="000B7DE3">
      <w:rPr>
        <w:b/>
        <w:sz w:val="18"/>
      </w:rPr>
      <w:instrText xml:space="preserve"> PAGE  \* MERGEFORMAT </w:instrText>
    </w:r>
    <w:r w:rsidRPr="000B7DE3">
      <w:rPr>
        <w:b/>
        <w:sz w:val="18"/>
      </w:rPr>
      <w:fldChar w:fldCharType="separate"/>
    </w:r>
    <w:r w:rsidRPr="000B7DE3">
      <w:rPr>
        <w:b/>
        <w:noProof/>
        <w:sz w:val="18"/>
      </w:rPr>
      <w:t>2</w:t>
    </w:r>
    <w:r w:rsidRPr="000B7DE3">
      <w:rPr>
        <w:b/>
        <w:sz w:val="18"/>
      </w:rPr>
      <w:fldChar w:fldCharType="end"/>
    </w:r>
    <w:r>
      <w:rPr>
        <w:b/>
        <w:sz w:val="18"/>
      </w:rPr>
      <w:tab/>
    </w:r>
    <w:r>
      <w:t>GE.21-10445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E3" w:rsidRPr="000B7DE3" w:rsidRDefault="000B7DE3" w:rsidP="000B7DE3">
    <w:pPr>
      <w:pStyle w:val="Pieddepage"/>
      <w:tabs>
        <w:tab w:val="right" w:pos="9638"/>
      </w:tabs>
      <w:rPr>
        <w:b/>
        <w:sz w:val="18"/>
      </w:rPr>
    </w:pPr>
    <w:r>
      <w:t>GE.21-10445</w:t>
    </w:r>
    <w:r>
      <w:tab/>
    </w:r>
    <w:r w:rsidRPr="000B7DE3">
      <w:rPr>
        <w:b/>
        <w:sz w:val="18"/>
      </w:rPr>
      <w:fldChar w:fldCharType="begin"/>
    </w:r>
    <w:r w:rsidRPr="000B7DE3">
      <w:rPr>
        <w:b/>
        <w:sz w:val="18"/>
      </w:rPr>
      <w:instrText xml:space="preserve"> PAGE  \* MERGEFORMAT </w:instrText>
    </w:r>
    <w:r w:rsidRPr="000B7DE3">
      <w:rPr>
        <w:b/>
        <w:sz w:val="18"/>
      </w:rPr>
      <w:fldChar w:fldCharType="separate"/>
    </w:r>
    <w:r w:rsidRPr="000B7DE3">
      <w:rPr>
        <w:b/>
        <w:noProof/>
        <w:sz w:val="18"/>
      </w:rPr>
      <w:t>3</w:t>
    </w:r>
    <w:r w:rsidRPr="000B7D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B7DE3" w:rsidRDefault="000B7DE3" w:rsidP="000B7DE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21-10445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5B3">
      <w:rPr>
        <w:sz w:val="20"/>
      </w:rPr>
      <w:t xml:space="preserve">    200821    200821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EDE" w:rsidRPr="00AC3823" w:rsidRDefault="00A50EDE" w:rsidP="00AC3823">
      <w:pPr>
        <w:pStyle w:val="Pieddepage"/>
        <w:tabs>
          <w:tab w:val="right" w:pos="2155"/>
        </w:tabs>
        <w:spacing w:after="80" w:line="240" w:lineRule="atLeast"/>
        <w:ind w:left="680"/>
        <w:rPr>
          <w:u w:val="single"/>
        </w:rPr>
      </w:pPr>
      <w:r>
        <w:rPr>
          <w:u w:val="single"/>
        </w:rPr>
        <w:tab/>
      </w:r>
    </w:p>
  </w:footnote>
  <w:footnote w:type="continuationSeparator" w:id="0">
    <w:p w:rsidR="00A50EDE" w:rsidRPr="00AC3823" w:rsidRDefault="00A50EDE" w:rsidP="00AC3823">
      <w:pPr>
        <w:pStyle w:val="Pieddepage"/>
        <w:tabs>
          <w:tab w:val="right" w:pos="2155"/>
        </w:tabs>
        <w:spacing w:after="80" w:line="240" w:lineRule="atLeast"/>
        <w:ind w:left="680"/>
        <w:rPr>
          <w:u w:val="single"/>
        </w:rPr>
      </w:pPr>
      <w:r>
        <w:rPr>
          <w:u w:val="single"/>
        </w:rPr>
        <w:tab/>
      </w:r>
    </w:p>
  </w:footnote>
  <w:footnote w:type="continuationNotice" w:id="1">
    <w:p w:rsidR="00A50EDE" w:rsidRPr="00AC3823" w:rsidRDefault="00A50EDE">
      <w:pPr>
        <w:spacing w:line="240" w:lineRule="auto"/>
        <w:rPr>
          <w:sz w:val="2"/>
          <w:szCs w:val="2"/>
        </w:rPr>
      </w:pPr>
    </w:p>
  </w:footnote>
  <w:footnote w:id="2">
    <w:p w:rsidR="00600BF5" w:rsidRPr="003779BA" w:rsidRDefault="00600BF5" w:rsidP="00600BF5">
      <w:pPr>
        <w:pStyle w:val="Notedebasdepage"/>
      </w:pPr>
      <w:r>
        <w:rPr>
          <w:lang w:val="fr-FR"/>
        </w:rPr>
        <w:tab/>
      </w:r>
      <w:r w:rsidRPr="007F25B3">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E3" w:rsidRPr="000B7DE3" w:rsidRDefault="000B7DE3">
    <w:pPr>
      <w:pStyle w:val="En-tte"/>
    </w:pPr>
    <w:fldSimple w:instr=" TITLE  \* MERGEFORMAT ">
      <w:r w:rsidR="00477013">
        <w:t>ECE/TRANS/WP.29/GRSG/2021/30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E3" w:rsidRPr="000B7DE3" w:rsidRDefault="000B7DE3" w:rsidP="000B7DE3">
    <w:pPr>
      <w:pStyle w:val="En-tte"/>
      <w:jc w:val="right"/>
    </w:pPr>
    <w:fldSimple w:instr=" TITLE  \* MERGEFORMAT ">
      <w:r w:rsidR="00477013">
        <w:t>ECE/TRANS/WP.29/GRSG/2021/30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DE"/>
    <w:rsid w:val="00017F94"/>
    <w:rsid w:val="00023842"/>
    <w:rsid w:val="000334F9"/>
    <w:rsid w:val="00045FEB"/>
    <w:rsid w:val="0007796D"/>
    <w:rsid w:val="000B7790"/>
    <w:rsid w:val="000B7DE3"/>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013"/>
    <w:rsid w:val="00477EB2"/>
    <w:rsid w:val="004837D8"/>
    <w:rsid w:val="004E2EED"/>
    <w:rsid w:val="004E468C"/>
    <w:rsid w:val="005505B7"/>
    <w:rsid w:val="00573BE5"/>
    <w:rsid w:val="00586ED3"/>
    <w:rsid w:val="00590184"/>
    <w:rsid w:val="00596AA9"/>
    <w:rsid w:val="005A7B16"/>
    <w:rsid w:val="00600BF5"/>
    <w:rsid w:val="006755ED"/>
    <w:rsid w:val="0071601D"/>
    <w:rsid w:val="00783B80"/>
    <w:rsid w:val="007A62E6"/>
    <w:rsid w:val="007F20FA"/>
    <w:rsid w:val="007F25B3"/>
    <w:rsid w:val="0080684C"/>
    <w:rsid w:val="00871C75"/>
    <w:rsid w:val="008776DC"/>
    <w:rsid w:val="0088763F"/>
    <w:rsid w:val="008D5EF9"/>
    <w:rsid w:val="009054A1"/>
    <w:rsid w:val="009446C0"/>
    <w:rsid w:val="009705C8"/>
    <w:rsid w:val="0098070A"/>
    <w:rsid w:val="009C1CF4"/>
    <w:rsid w:val="009F6B74"/>
    <w:rsid w:val="00A3029F"/>
    <w:rsid w:val="00A30353"/>
    <w:rsid w:val="00A50EDE"/>
    <w:rsid w:val="00A54306"/>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41560"/>
    <w:rsid w:val="00E8520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3AA12"/>
  <w15:docId w15:val="{89556B09-F31C-44B8-BBFA-AB32214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00BF5"/>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60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BB9F7-914A-4DBD-9B74-D13C9CEFFBFB}"/>
</file>

<file path=customXml/itemProps2.xml><?xml version="1.0" encoding="utf-8"?>
<ds:datastoreItem xmlns:ds="http://schemas.openxmlformats.org/officeDocument/2006/customXml" ds:itemID="{5AB06DD6-427A-4202-AFAD-9A74877F27EC}"/>
</file>

<file path=customXml/itemProps3.xml><?xml version="1.0" encoding="utf-8"?>
<ds:datastoreItem xmlns:ds="http://schemas.openxmlformats.org/officeDocument/2006/customXml" ds:itemID="{389AE864-24E2-452D-8A16-C1247F5B53B8}"/>
</file>

<file path=docProps/app.xml><?xml version="1.0" encoding="utf-8"?>
<Properties xmlns="http://schemas.openxmlformats.org/officeDocument/2006/extended-properties" xmlns:vt="http://schemas.openxmlformats.org/officeDocument/2006/docPropsVTypes">
  <Template>ECE_TRANS.dotm</Template>
  <TotalTime>0</TotalTime>
  <Pages>2</Pages>
  <Words>325</Words>
  <Characters>2277</Characters>
  <Application>Microsoft Office Word</Application>
  <DocSecurity>0</DocSecurity>
  <Lines>189</Lines>
  <Paragraphs>104</Paragraphs>
  <ScaleCrop>false</ScaleCrop>
  <HeadingPairs>
    <vt:vector size="2" baseType="variant">
      <vt:variant>
        <vt:lpstr>Titre</vt:lpstr>
      </vt:variant>
      <vt:variant>
        <vt:i4>1</vt:i4>
      </vt:variant>
    </vt:vector>
  </HeadingPairs>
  <TitlesOfParts>
    <vt:vector size="1" baseType="lpstr">
      <vt:lpstr>ECE/TRANS/WP.29/GRSG/2021/30</vt:lpstr>
    </vt:vector>
  </TitlesOfParts>
  <Company>DCM</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ECE/TRANS/WP.29/GRSG/2021/30</dc:title>
  <dc:subject/>
  <dc:creator>Nathalie VITTOZ</dc:creator>
  <cp:keywords/>
  <cp:lastModifiedBy>Nathalie Vittoz</cp:lastModifiedBy>
  <cp:revision>2</cp:revision>
  <cp:lastPrinted>2014-05-14T10:59:00Z</cp:lastPrinted>
  <dcterms:created xsi:type="dcterms:W3CDTF">2021-08-20T08:51:00Z</dcterms:created>
  <dcterms:modified xsi:type="dcterms:W3CDTF">2021-08-20T08:51:00Z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