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5B52" w14:textId="77777777" w:rsidR="008949C9" w:rsidRPr="00FF2887" w:rsidRDefault="008949C9" w:rsidP="008949C9">
      <w:pPr>
        <w:spacing w:before="120"/>
        <w:rPr>
          <w:b/>
          <w:sz w:val="28"/>
          <w:szCs w:val="28"/>
        </w:rPr>
      </w:pPr>
      <w:r w:rsidRPr="00FF2887">
        <w:rPr>
          <w:b/>
          <w:sz w:val="28"/>
          <w:szCs w:val="28"/>
        </w:rPr>
        <w:t>Economic Commission for Europe</w:t>
      </w:r>
    </w:p>
    <w:p w14:paraId="273550AD" w14:textId="77777777" w:rsidR="008949C9" w:rsidRPr="00FF2887" w:rsidRDefault="008949C9" w:rsidP="008949C9">
      <w:pPr>
        <w:spacing w:before="120"/>
        <w:rPr>
          <w:sz w:val="28"/>
          <w:szCs w:val="28"/>
        </w:rPr>
      </w:pPr>
      <w:r w:rsidRPr="00FF2887">
        <w:rPr>
          <w:sz w:val="28"/>
          <w:szCs w:val="28"/>
        </w:rPr>
        <w:t>Inland Transport Committee</w:t>
      </w:r>
    </w:p>
    <w:p w14:paraId="4364C84D" w14:textId="77777777" w:rsidR="008949C9" w:rsidRPr="00FF2887" w:rsidRDefault="008949C9" w:rsidP="008949C9">
      <w:pPr>
        <w:spacing w:before="120"/>
        <w:rPr>
          <w:b/>
          <w:sz w:val="24"/>
          <w:szCs w:val="24"/>
        </w:rPr>
      </w:pPr>
      <w:r w:rsidRPr="00FF2887">
        <w:rPr>
          <w:b/>
          <w:sz w:val="24"/>
          <w:szCs w:val="24"/>
        </w:rPr>
        <w:t>World Forum for Harmonization of Vehicle Regulations</w:t>
      </w:r>
    </w:p>
    <w:p w14:paraId="0C650872" w14:textId="77777777" w:rsidR="008949C9" w:rsidRPr="00FF2887" w:rsidRDefault="008949C9" w:rsidP="008949C9">
      <w:pPr>
        <w:spacing w:before="120"/>
        <w:rPr>
          <w:b/>
        </w:rPr>
      </w:pPr>
      <w:r w:rsidRPr="00FF2887">
        <w:rPr>
          <w:b/>
        </w:rPr>
        <w:t>Working Party on General Safety Provisions</w:t>
      </w:r>
    </w:p>
    <w:p w14:paraId="1B01A20E" w14:textId="23B45F89" w:rsidR="008949C9" w:rsidRPr="00FF2887" w:rsidRDefault="008949C9" w:rsidP="008949C9">
      <w:pPr>
        <w:spacing w:before="120"/>
        <w:rPr>
          <w:b/>
        </w:rPr>
      </w:pPr>
      <w:r w:rsidRPr="00FF2887">
        <w:rPr>
          <w:b/>
        </w:rPr>
        <w:t>1</w:t>
      </w:r>
      <w:r w:rsidR="00827D34" w:rsidRPr="00FF2887">
        <w:rPr>
          <w:b/>
        </w:rPr>
        <w:t>22nd</w:t>
      </w:r>
      <w:r w:rsidRPr="00FF2887">
        <w:rPr>
          <w:b/>
        </w:rPr>
        <w:t xml:space="preserve"> session</w:t>
      </w:r>
    </w:p>
    <w:p w14:paraId="28B2C61C" w14:textId="396E0347" w:rsidR="008949C9" w:rsidRPr="00FF2887" w:rsidRDefault="008949C9" w:rsidP="008949C9">
      <w:r w:rsidRPr="00FF2887">
        <w:t xml:space="preserve">Geneva, </w:t>
      </w:r>
      <w:r w:rsidR="00827D34" w:rsidRPr="00FF2887">
        <w:t>12</w:t>
      </w:r>
      <w:r w:rsidR="008B5B33" w:rsidRPr="002A5241">
        <w:t>–</w:t>
      </w:r>
      <w:r w:rsidR="00827D34" w:rsidRPr="00FF2887">
        <w:t>15 October</w:t>
      </w:r>
      <w:r w:rsidRPr="00FF2887">
        <w:t xml:space="preserve"> 202</w:t>
      </w:r>
      <w:r w:rsidR="00827D34" w:rsidRPr="00FF2887">
        <w:t>1</w:t>
      </w:r>
    </w:p>
    <w:p w14:paraId="6D66DD89" w14:textId="78E5C7C7" w:rsidR="008949C9" w:rsidRPr="00FF2887" w:rsidRDefault="008949C9" w:rsidP="008949C9">
      <w:r w:rsidRPr="00FF2887">
        <w:t>Item</w:t>
      </w:r>
      <w:r w:rsidR="00FD1FE3" w:rsidRPr="00FF2887">
        <w:t xml:space="preserve"> </w:t>
      </w:r>
      <w:r w:rsidR="000B2CE1" w:rsidRPr="00FF2887">
        <w:t>12</w:t>
      </w:r>
      <w:r w:rsidRPr="00FF2887">
        <w:t xml:space="preserve"> of the provisional agenda</w:t>
      </w:r>
    </w:p>
    <w:p w14:paraId="1E4DC7E8" w14:textId="286BC4A3" w:rsidR="008949C9" w:rsidRPr="00FF2887" w:rsidRDefault="008949C9" w:rsidP="008949C9">
      <w:r w:rsidRPr="00FF2887">
        <w:rPr>
          <w:b/>
        </w:rPr>
        <w:t xml:space="preserve">UN Regulation No. </w:t>
      </w:r>
      <w:r w:rsidR="002702BB" w:rsidRPr="00FF2887">
        <w:rPr>
          <w:b/>
        </w:rPr>
        <w:t>12</w:t>
      </w:r>
      <w:r w:rsidR="00495F59" w:rsidRPr="00FF2887">
        <w:rPr>
          <w:b/>
        </w:rPr>
        <w:t>1</w:t>
      </w:r>
      <w:r w:rsidRPr="00FF2887">
        <w:rPr>
          <w:b/>
        </w:rPr>
        <w:t xml:space="preserve"> (</w:t>
      </w:r>
      <w:r w:rsidR="004A452F" w:rsidRPr="00FF2887">
        <w:rPr>
          <w:b/>
        </w:rPr>
        <w:t>I</w:t>
      </w:r>
      <w:r w:rsidR="00495F59" w:rsidRPr="00FF2887">
        <w:rPr>
          <w:b/>
        </w:rPr>
        <w:t>dentification of controls, tell-tales and indicators</w:t>
      </w:r>
      <w:r w:rsidRPr="00FF2887">
        <w:rPr>
          <w:b/>
        </w:rPr>
        <w:t>)</w:t>
      </w: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949C9" w:rsidRPr="00FF2887" w14:paraId="0522EDBE" w14:textId="77777777" w:rsidTr="00DB338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FAE1EE" w14:textId="77777777" w:rsidR="008949C9" w:rsidRPr="00FF2887" w:rsidRDefault="008949C9" w:rsidP="00DB338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BA2859" w14:textId="77777777" w:rsidR="008949C9" w:rsidRPr="00FF2887" w:rsidRDefault="008949C9" w:rsidP="00DB338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288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AAC3B5" w14:textId="72C9A022" w:rsidR="008949C9" w:rsidRPr="00FF2887" w:rsidRDefault="008949C9" w:rsidP="006A47FA">
            <w:pPr>
              <w:jc w:val="right"/>
            </w:pPr>
            <w:r w:rsidRPr="00FF2887">
              <w:rPr>
                <w:sz w:val="40"/>
              </w:rPr>
              <w:t>ECE</w:t>
            </w:r>
            <w:r w:rsidRPr="00FF2887">
              <w:t>/TRANS/WP.29/GRSG/</w:t>
            </w:r>
            <w:r w:rsidR="00CA5201">
              <w:fldChar w:fldCharType="begin"/>
            </w:r>
            <w:r w:rsidR="00CA5201">
              <w:instrText xml:space="preserve"> TITLE  \* MERGEFORMAT </w:instrText>
            </w:r>
            <w:r w:rsidR="00CA5201">
              <w:fldChar w:fldCharType="separate"/>
            </w:r>
            <w:r w:rsidR="00827D34" w:rsidRPr="00FF2887">
              <w:t>2021/</w:t>
            </w:r>
            <w:r w:rsidR="000B2CE1" w:rsidRPr="00FF2887">
              <w:t>30</w:t>
            </w:r>
            <w:r w:rsidR="00CA5201">
              <w:fldChar w:fldCharType="end"/>
            </w:r>
          </w:p>
        </w:tc>
      </w:tr>
      <w:tr w:rsidR="008949C9" w:rsidRPr="00FF2887" w14:paraId="36FBF4F6" w14:textId="77777777" w:rsidTr="00DB338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075696" w14:textId="77777777" w:rsidR="008949C9" w:rsidRPr="00FF2887" w:rsidRDefault="008949C9" w:rsidP="00DB3383">
            <w:pPr>
              <w:spacing w:before="120"/>
            </w:pPr>
            <w:r w:rsidRPr="00FF2887">
              <w:rPr>
                <w:noProof/>
                <w:lang w:eastAsia="nl-NL"/>
              </w:rPr>
              <w:drawing>
                <wp:inline distT="0" distB="0" distL="0" distR="0" wp14:anchorId="7C6BEDAD" wp14:editId="5389F6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9173B0" w14:textId="77777777" w:rsidR="008949C9" w:rsidRPr="00FF2887" w:rsidRDefault="008949C9" w:rsidP="00DB3383">
            <w:pPr>
              <w:spacing w:before="120" w:line="420" w:lineRule="exact"/>
              <w:rPr>
                <w:sz w:val="40"/>
                <w:szCs w:val="40"/>
              </w:rPr>
            </w:pPr>
            <w:r w:rsidRPr="00FF288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0FED72" w14:textId="77777777" w:rsidR="008949C9" w:rsidRPr="00FF2887" w:rsidRDefault="008949C9" w:rsidP="00DB3383">
            <w:pPr>
              <w:spacing w:before="240" w:line="240" w:lineRule="exact"/>
            </w:pPr>
            <w:r w:rsidRPr="00FF2887">
              <w:t>Distr.: General</w:t>
            </w:r>
          </w:p>
          <w:p w14:paraId="05150556" w14:textId="11FF40B5" w:rsidR="008949C9" w:rsidRPr="00FF2887" w:rsidRDefault="00E51B06" w:rsidP="00DB3383">
            <w:pPr>
              <w:spacing w:line="240" w:lineRule="exact"/>
            </w:pPr>
            <w:r w:rsidRPr="00FF2887">
              <w:t>30</w:t>
            </w:r>
            <w:r w:rsidR="000E3B84" w:rsidRPr="00FF2887">
              <w:t xml:space="preserve"> </w:t>
            </w:r>
            <w:r w:rsidR="00550308" w:rsidRPr="00FF2887">
              <w:t>J</w:t>
            </w:r>
            <w:r w:rsidR="00827D34" w:rsidRPr="00FF2887">
              <w:t>uly</w:t>
            </w:r>
            <w:r w:rsidR="008949C9" w:rsidRPr="00FF2887">
              <w:t xml:space="preserve"> 20</w:t>
            </w:r>
            <w:r w:rsidR="00E31286" w:rsidRPr="00FF2887">
              <w:t>2</w:t>
            </w:r>
            <w:r w:rsidR="000E3B84" w:rsidRPr="00FF2887">
              <w:t>1</w:t>
            </w:r>
          </w:p>
          <w:p w14:paraId="127A5C55" w14:textId="77777777" w:rsidR="008949C9" w:rsidRPr="00FF2887" w:rsidRDefault="008949C9" w:rsidP="00DB3383">
            <w:pPr>
              <w:spacing w:line="240" w:lineRule="exact"/>
            </w:pPr>
          </w:p>
          <w:p w14:paraId="7B34E32B" w14:textId="77777777" w:rsidR="008949C9" w:rsidRPr="00FF2887" w:rsidRDefault="008949C9" w:rsidP="00DB3383">
            <w:pPr>
              <w:spacing w:line="240" w:lineRule="exact"/>
            </w:pPr>
            <w:r w:rsidRPr="00FF2887">
              <w:t>Original: English</w:t>
            </w:r>
          </w:p>
        </w:tc>
      </w:tr>
    </w:tbl>
    <w:p w14:paraId="7AF16372" w14:textId="27582485" w:rsidR="00735ECE" w:rsidRPr="00FF2887" w:rsidRDefault="00735ECE" w:rsidP="00FE29F2">
      <w:pPr>
        <w:pStyle w:val="HChG"/>
      </w:pPr>
      <w:r w:rsidRPr="00FF2887">
        <w:tab/>
      </w:r>
      <w:r w:rsidR="00FE29F2" w:rsidRPr="00FF2887">
        <w:tab/>
      </w:r>
      <w:r w:rsidRPr="00FF2887">
        <w:t>Proposal</w:t>
      </w:r>
      <w:r w:rsidR="00631128" w:rsidRPr="00FF2887">
        <w:t xml:space="preserve"> </w:t>
      </w:r>
      <w:r w:rsidR="002702BB" w:rsidRPr="00FF2887">
        <w:t xml:space="preserve">for </w:t>
      </w:r>
      <w:r w:rsidR="00827D34" w:rsidRPr="00FF2887">
        <w:t xml:space="preserve">supplement </w:t>
      </w:r>
      <w:r w:rsidR="00277E33" w:rsidRPr="00FF2887">
        <w:t>[</w:t>
      </w:r>
      <w:r w:rsidR="00495F59" w:rsidRPr="00FF2887">
        <w:t>4</w:t>
      </w:r>
      <w:r w:rsidR="00277E33" w:rsidRPr="00FF2887">
        <w:t>]</w:t>
      </w:r>
      <w:r w:rsidR="00827D34" w:rsidRPr="00FF2887">
        <w:t xml:space="preserve"> </w:t>
      </w:r>
      <w:r w:rsidR="00495F59" w:rsidRPr="00FF2887">
        <w:t xml:space="preserve">to </w:t>
      </w:r>
      <w:r w:rsidR="009A54F8" w:rsidRPr="00FF2887">
        <w:t>the 0</w:t>
      </w:r>
      <w:r w:rsidR="00495F59" w:rsidRPr="00FF2887">
        <w:t>1</w:t>
      </w:r>
      <w:r w:rsidR="009A54F8" w:rsidRPr="00FF2887">
        <w:t xml:space="preserve"> series of amendments of </w:t>
      </w:r>
      <w:r w:rsidR="00550308" w:rsidRPr="00FF2887">
        <w:t xml:space="preserve">UN </w:t>
      </w:r>
      <w:r w:rsidR="002702BB" w:rsidRPr="00FF2887">
        <w:t>Regulation No. 12</w:t>
      </w:r>
      <w:r w:rsidR="00495F59" w:rsidRPr="00FF2887">
        <w:t>1</w:t>
      </w:r>
    </w:p>
    <w:p w14:paraId="74DB3E31" w14:textId="19BCCFF8" w:rsidR="007C6595" w:rsidRPr="00FF2887" w:rsidRDefault="00DD3734" w:rsidP="007C659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color w:val="0000FF"/>
          <w:sz w:val="24"/>
          <w:szCs w:val="24"/>
        </w:rPr>
      </w:pPr>
      <w:r w:rsidRPr="00FF2887">
        <w:tab/>
      </w:r>
      <w:r w:rsidRPr="00FF2887">
        <w:tab/>
      </w:r>
      <w:r w:rsidRPr="00FF2887">
        <w:rPr>
          <w:b/>
          <w:bCs/>
          <w:sz w:val="24"/>
          <w:szCs w:val="24"/>
        </w:rPr>
        <w:t>Submitted by</w:t>
      </w:r>
      <w:r w:rsidR="00FB611E" w:rsidRPr="00FF2887">
        <w:rPr>
          <w:b/>
          <w:bCs/>
          <w:sz w:val="24"/>
          <w:szCs w:val="24"/>
        </w:rPr>
        <w:t xml:space="preserve"> the </w:t>
      </w:r>
      <w:r w:rsidR="00827D34" w:rsidRPr="00FF2887">
        <w:rPr>
          <w:b/>
          <w:bCs/>
          <w:sz w:val="24"/>
          <w:szCs w:val="24"/>
        </w:rPr>
        <w:t xml:space="preserve">expert from the </w:t>
      </w:r>
      <w:r w:rsidR="00C53404" w:rsidRPr="00FF2887">
        <w:rPr>
          <w:b/>
          <w:bCs/>
          <w:sz w:val="24"/>
          <w:szCs w:val="24"/>
        </w:rPr>
        <w:t xml:space="preserve">Netherlands </w:t>
      </w:r>
      <w:r w:rsidR="00827D34" w:rsidRPr="00FF2887">
        <w:rPr>
          <w:b/>
          <w:bCs/>
          <w:sz w:val="24"/>
          <w:szCs w:val="24"/>
        </w:rPr>
        <w:t>on behalf</w:t>
      </w:r>
      <w:r w:rsidR="00C53404" w:rsidRPr="00FF2887">
        <w:rPr>
          <w:b/>
          <w:bCs/>
          <w:sz w:val="24"/>
          <w:szCs w:val="24"/>
        </w:rPr>
        <w:t xml:space="preserve"> of the </w:t>
      </w:r>
      <w:r w:rsidR="00827D34" w:rsidRPr="00FF2887">
        <w:rPr>
          <w:b/>
          <w:bCs/>
          <w:sz w:val="24"/>
          <w:szCs w:val="24"/>
        </w:rPr>
        <w:br/>
      </w:r>
      <w:r w:rsidR="00C53404" w:rsidRPr="00FF2887">
        <w:rPr>
          <w:b/>
          <w:bCs/>
          <w:sz w:val="24"/>
          <w:szCs w:val="24"/>
        </w:rPr>
        <w:t>GR</w:t>
      </w:r>
      <w:r w:rsidR="00495F59" w:rsidRPr="00FF2887">
        <w:rPr>
          <w:b/>
          <w:bCs/>
          <w:sz w:val="24"/>
          <w:szCs w:val="24"/>
        </w:rPr>
        <w:t>BP</w:t>
      </w:r>
      <w:r w:rsidR="00C53404" w:rsidRPr="00FF2887">
        <w:rPr>
          <w:b/>
          <w:bCs/>
          <w:sz w:val="24"/>
          <w:szCs w:val="24"/>
        </w:rPr>
        <w:t xml:space="preserve"> </w:t>
      </w:r>
      <w:r w:rsidR="007C6595" w:rsidRPr="00FF2887">
        <w:rPr>
          <w:b/>
          <w:bCs/>
          <w:sz w:val="24"/>
          <w:szCs w:val="24"/>
        </w:rPr>
        <w:t>Task Force Tyre Pressure Monitoring System and Tyre Installation (TF TPMSTI)</w:t>
      </w:r>
      <w:r w:rsidR="00BE7F13" w:rsidRPr="00BE7F13">
        <w:rPr>
          <w:bCs/>
        </w:rPr>
        <w:t xml:space="preserve"> </w:t>
      </w:r>
      <w:r w:rsidR="00EA34D8" w:rsidRPr="00341F66">
        <w:rPr>
          <w:bCs/>
        </w:rPr>
        <w:footnoteReference w:customMarkFollows="1" w:id="2"/>
        <w:t>*</w:t>
      </w:r>
    </w:p>
    <w:p w14:paraId="5F9EE1F0" w14:textId="248B80AF" w:rsidR="00550308" w:rsidRPr="00FF2887" w:rsidRDefault="00631128" w:rsidP="00D04988">
      <w:pPr>
        <w:pStyle w:val="SingleTxtG"/>
        <w:ind w:firstLine="567"/>
        <w:rPr>
          <w:sz w:val="21"/>
          <w:szCs w:val="21"/>
        </w:rPr>
      </w:pPr>
      <w:r w:rsidRPr="00FF2887">
        <w:rPr>
          <w:szCs w:val="23"/>
        </w:rPr>
        <w:t xml:space="preserve">The text reproduced below was prepared by the </w:t>
      </w:r>
      <w:r w:rsidR="00C53404" w:rsidRPr="00FF2887">
        <w:rPr>
          <w:szCs w:val="23"/>
        </w:rPr>
        <w:t>GR</w:t>
      </w:r>
      <w:r w:rsidR="00495F59" w:rsidRPr="00FF2887">
        <w:rPr>
          <w:szCs w:val="23"/>
        </w:rPr>
        <w:t>BP</w:t>
      </w:r>
      <w:r w:rsidR="00C53404" w:rsidRPr="00FF2887">
        <w:rPr>
          <w:szCs w:val="23"/>
        </w:rPr>
        <w:t xml:space="preserve"> Task Force on </w:t>
      </w:r>
      <w:r w:rsidR="00495F59" w:rsidRPr="00FF2887">
        <w:rPr>
          <w:szCs w:val="23"/>
        </w:rPr>
        <w:t>TPMS</w:t>
      </w:r>
      <w:r w:rsidR="007C6595" w:rsidRPr="00FF2887">
        <w:rPr>
          <w:szCs w:val="23"/>
        </w:rPr>
        <w:t>TI</w:t>
      </w:r>
      <w:r w:rsidR="00C53404" w:rsidRPr="00FF2887">
        <w:rPr>
          <w:szCs w:val="23"/>
        </w:rPr>
        <w:t xml:space="preserve"> </w:t>
      </w:r>
      <w:r w:rsidR="00827D34" w:rsidRPr="00FF2887">
        <w:rPr>
          <w:szCs w:val="23"/>
        </w:rPr>
        <w:t xml:space="preserve">to </w:t>
      </w:r>
      <w:r w:rsidR="00893129" w:rsidRPr="00FF2887">
        <w:rPr>
          <w:szCs w:val="23"/>
        </w:rPr>
        <w:t xml:space="preserve">apply the same tell-tale requirements for tyre pressure refill systems (TPRS) and central tyre inflation systems (CTIS) as already in place for tyre pressure monitoring systems (TPMS). </w:t>
      </w:r>
      <w:r w:rsidR="00D04988" w:rsidRPr="00FF2887">
        <w:rPr>
          <w:szCs w:val="23"/>
        </w:rPr>
        <w:t xml:space="preserve">The modifications to the current text of the UN Regulation are marked in </w:t>
      </w:r>
      <w:r w:rsidR="00D04988" w:rsidRPr="00FF2887">
        <w:t>bold for new or strikethrough for deleted characters</w:t>
      </w:r>
      <w:r w:rsidR="00893129" w:rsidRPr="00FF2887">
        <w:t>.</w:t>
      </w:r>
      <w:r w:rsidR="00D04988" w:rsidRPr="00FF2887">
        <w:rPr>
          <w:sz w:val="21"/>
          <w:szCs w:val="21"/>
        </w:rPr>
        <w:t xml:space="preserve"> </w:t>
      </w:r>
      <w:r w:rsidR="00550308" w:rsidRPr="00FF2887">
        <w:rPr>
          <w:sz w:val="21"/>
          <w:szCs w:val="21"/>
        </w:rPr>
        <w:br w:type="page"/>
      </w:r>
    </w:p>
    <w:p w14:paraId="7CBF10C7" w14:textId="77777777" w:rsidR="00735ECE" w:rsidRPr="00FF2887" w:rsidRDefault="00735ECE" w:rsidP="00550308">
      <w:pPr>
        <w:pStyle w:val="HChG"/>
        <w:numPr>
          <w:ilvl w:val="0"/>
          <w:numId w:val="25"/>
        </w:numPr>
        <w:tabs>
          <w:tab w:val="clear" w:pos="851"/>
          <w:tab w:val="right" w:pos="1134"/>
        </w:tabs>
      </w:pPr>
      <w:r w:rsidRPr="00FF2887">
        <w:lastRenderedPageBreak/>
        <w:t>Proposal</w:t>
      </w:r>
    </w:p>
    <w:p w14:paraId="38AED474" w14:textId="7A0E970F" w:rsidR="009A6F08" w:rsidRPr="00FF2887" w:rsidRDefault="009A6F08" w:rsidP="009A6F08">
      <w:pPr>
        <w:pStyle w:val="ListParagraph"/>
        <w:tabs>
          <w:tab w:val="left" w:pos="2835"/>
        </w:tabs>
        <w:spacing w:before="120" w:after="120"/>
        <w:ind w:left="1287" w:right="1134"/>
      </w:pPr>
      <w:r w:rsidRPr="00FF2887">
        <w:rPr>
          <w:i/>
        </w:rPr>
        <w:t>Table 1</w:t>
      </w:r>
      <w:r w:rsidRPr="00FF2887">
        <w:t xml:space="preserve">, amend to read (revised footnote </w:t>
      </w:r>
      <w:r w:rsidRPr="00FF2887">
        <w:rPr>
          <w:vertAlign w:val="superscript"/>
        </w:rPr>
        <w:t>16</w:t>
      </w:r>
      <w:r w:rsidRPr="00FF2887">
        <w:t>):</w:t>
      </w:r>
      <w:r w:rsidRPr="00FF2887">
        <w:br/>
      </w:r>
      <w:r w:rsidR="005E3BCC" w:rsidRPr="00FF2887">
        <w:rPr>
          <w:i/>
        </w:rPr>
        <w:t>"</w:t>
      </w:r>
    </w:p>
    <w:tbl>
      <w:tblPr>
        <w:tblW w:w="92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844"/>
        <w:gridCol w:w="1277"/>
        <w:gridCol w:w="1276"/>
        <w:gridCol w:w="1419"/>
      </w:tblGrid>
      <w:tr w:rsidR="009A6F08" w:rsidRPr="00FF2887" w14:paraId="484063E6" w14:textId="77777777" w:rsidTr="00284964">
        <w:trPr>
          <w:cantSplit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85B05" w14:textId="77777777" w:rsidR="009A6F08" w:rsidRPr="00FF2887" w:rsidRDefault="009A6F08" w:rsidP="00E52C1F">
            <w:pPr>
              <w:rPr>
                <w:i/>
              </w:rPr>
            </w:pPr>
            <w:r w:rsidRPr="00FF2887">
              <w:rPr>
                <w:i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8B060" w14:textId="77777777" w:rsidR="009A6F08" w:rsidRPr="00FF2887" w:rsidRDefault="009A6F08" w:rsidP="00E52C1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31961" w14:textId="77777777" w:rsidR="009A6F08" w:rsidRPr="00FF2887" w:rsidRDefault="009A6F08" w:rsidP="00E52C1F">
            <w:pPr>
              <w:pStyle w:val="Heading3"/>
              <w:spacing w:before="80" w:after="80"/>
              <w:rPr>
                <w:bCs/>
                <w:i/>
              </w:rPr>
            </w:pPr>
            <w:r w:rsidRPr="00FF2887"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19B85" w14:textId="77777777" w:rsidR="009A6F08" w:rsidRPr="00FF2887" w:rsidRDefault="009A6F08" w:rsidP="00E52C1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80BC5" w14:textId="77777777" w:rsidR="009A6F08" w:rsidRPr="00FF2887" w:rsidRDefault="009A6F08" w:rsidP="00E52C1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83EDC" w14:textId="77777777" w:rsidR="009A6F08" w:rsidRPr="00FF2887" w:rsidRDefault="009A6F08" w:rsidP="00E52C1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5</w:t>
            </w:r>
          </w:p>
        </w:tc>
      </w:tr>
      <w:tr w:rsidR="009A6F08" w:rsidRPr="00FF2887" w14:paraId="3EB7FB05" w14:textId="77777777" w:rsidTr="00284964">
        <w:trPr>
          <w:cantSplit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5508F" w14:textId="77777777" w:rsidR="009A6F08" w:rsidRPr="00FF2887" w:rsidRDefault="009A6F08" w:rsidP="00E52C1F"/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06E45" w14:textId="77777777" w:rsidR="009A6F08" w:rsidRPr="00FF2887" w:rsidRDefault="009A6F08" w:rsidP="00E52C1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Item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030B43" w14:textId="77777777" w:rsidR="009A6F08" w:rsidRPr="00FF2887" w:rsidRDefault="009A6F08" w:rsidP="00E52C1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 xml:space="preserve">Symbol </w:t>
            </w:r>
            <w:r w:rsidRPr="00FF2887">
              <w:rPr>
                <w:rStyle w:val="FootnoteTextChar"/>
                <w:b/>
                <w:i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3B3AC" w14:textId="77777777" w:rsidR="009A6F08" w:rsidRPr="00FF2887" w:rsidRDefault="009A6F08" w:rsidP="00E52C1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Function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A0BF5F" w14:textId="77777777" w:rsidR="009A6F08" w:rsidRPr="00FF2887" w:rsidRDefault="009A6F08" w:rsidP="00E52C1F">
            <w:pPr>
              <w:pStyle w:val="Heading5"/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Illumination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AA34F" w14:textId="77777777" w:rsidR="009A6F08" w:rsidRPr="00FF2887" w:rsidRDefault="009A6F08" w:rsidP="00E52C1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Colour</w:t>
            </w:r>
          </w:p>
        </w:tc>
      </w:tr>
      <w:tr w:rsidR="00495F59" w:rsidRPr="00FF2887" w14:paraId="2F38C2CC" w14:textId="77777777" w:rsidTr="00284964">
        <w:trPr>
          <w:cantSplit/>
          <w:trHeight w:val="111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C017" w14:textId="77777777" w:rsidR="009A6F08" w:rsidRPr="00FF2887" w:rsidRDefault="009A6F08" w:rsidP="00E52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C5A858" w14:textId="2371B558" w:rsidR="00495F59" w:rsidRPr="00FF2887" w:rsidRDefault="00495F59" w:rsidP="00E52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rPr>
                <w:color w:val="000000"/>
              </w:rPr>
              <w:t>42a.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08D0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Low t</w:t>
            </w:r>
            <w:r w:rsidRPr="00FF2887">
              <w:t>yre</w:t>
            </w:r>
            <w:r w:rsidRPr="00FF2887">
              <w:rPr>
                <w:color w:val="000000"/>
              </w:rPr>
              <w:t xml:space="preserve"> pressure</w:t>
            </w:r>
          </w:p>
          <w:p w14:paraId="2BD71364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(including malfunction)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B885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</w:rPr>
            </w:pPr>
            <w:r w:rsidRPr="00FF2887">
              <w:rPr>
                <w:noProof/>
                <w:color w:val="000000"/>
                <w:lang w:eastAsia="nl-NL"/>
              </w:rPr>
              <w:drawing>
                <wp:inline distT="0" distB="0" distL="0" distR="0" wp14:anchorId="6D665F8B" wp14:editId="0B6C3AEE">
                  <wp:extent cx="546100" cy="532130"/>
                  <wp:effectExtent l="0" t="0" r="635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30000" contrast="-3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87">
              <w:rPr>
                <w:color w:val="000000"/>
                <w:vertAlign w:val="superscript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B44F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2D6B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8F2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Yellow</w:t>
            </w:r>
          </w:p>
        </w:tc>
      </w:tr>
      <w:tr w:rsidR="00495F59" w:rsidRPr="00FF2887" w14:paraId="049B37A4" w14:textId="77777777" w:rsidTr="00284964">
        <w:trPr>
          <w:cantSplit/>
          <w:trHeight w:val="111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DF82" w14:textId="77777777" w:rsidR="00495F59" w:rsidRPr="00FF2887" w:rsidRDefault="00495F59" w:rsidP="00E52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t>42b.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3813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</w:pPr>
            <w:r w:rsidRPr="00FF2887">
              <w:t>Low tyre pressure</w:t>
            </w:r>
          </w:p>
          <w:p w14:paraId="20EFED12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</w:pPr>
            <w:r w:rsidRPr="00FF2887">
              <w:t>(including malfunction)</w:t>
            </w:r>
          </w:p>
          <w:p w14:paraId="2F669FE9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that identifies affected tyre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755B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  <w:vertAlign w:val="superscript"/>
              </w:rPr>
            </w:pPr>
            <w:r w:rsidRPr="00FF2887">
              <w:rPr>
                <w:noProof/>
                <w:vertAlign w:val="superscript"/>
                <w:lang w:eastAsia="nl-NL"/>
              </w:rPr>
              <w:drawing>
                <wp:inline distT="0" distB="0" distL="0" distR="0" wp14:anchorId="521D716F" wp14:editId="4E959946">
                  <wp:extent cx="546100" cy="695960"/>
                  <wp:effectExtent l="0" t="0" r="6350" b="8890"/>
                  <wp:docPr id="38" name="Picture 38" descr="VehicleDisplay_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ehicleDisplay_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87">
              <w:rPr>
                <w:vertAlign w:val="superscript"/>
              </w:rPr>
              <w:t>16, 17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D104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</w:pPr>
            <w:r w:rsidRPr="00FF2887"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5FB1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EFF4" w14:textId="77777777" w:rsidR="00495F59" w:rsidRPr="00FF2887" w:rsidRDefault="00495F59" w:rsidP="00E52C1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Yellow</w:t>
            </w:r>
          </w:p>
        </w:tc>
      </w:tr>
    </w:tbl>
    <w:p w14:paraId="7F075E15" w14:textId="38F8FE51" w:rsidR="00495F59" w:rsidRPr="00FF2887" w:rsidRDefault="00495F59" w:rsidP="00495F59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  <w:rPr>
          <w:vertAlign w:val="superscript"/>
        </w:rPr>
      </w:pPr>
      <w:r w:rsidRPr="00FF2887">
        <w:rPr>
          <w:vertAlign w:val="superscript"/>
        </w:rPr>
        <w:t>…</w:t>
      </w:r>
    </w:p>
    <w:p w14:paraId="5BCC8E28" w14:textId="399A81EE" w:rsidR="00495F59" w:rsidRPr="00FF2887" w:rsidRDefault="00495F59" w:rsidP="00495F59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16</w:t>
      </w:r>
      <w:r w:rsidRPr="00FF2887">
        <w:tab/>
      </w:r>
      <w:r w:rsidRPr="00FF2887">
        <w:tab/>
      </w:r>
      <w:r w:rsidR="00893129" w:rsidRPr="00FF2887">
        <w:t xml:space="preserve">Additionally, either of the low tyre pressure tell-tales may be used to indicate a tyre pressure monitoring system (TPMS), </w:t>
      </w:r>
      <w:r w:rsidR="00893129" w:rsidRPr="00FF2887">
        <w:rPr>
          <w:b/>
        </w:rPr>
        <w:t>tyre pressure refill system (TPRS) and central tyre inflation system (CTIS)</w:t>
      </w:r>
      <w:r w:rsidR="00893129" w:rsidRPr="00FF2887">
        <w:t xml:space="preserve"> malfunction.</w:t>
      </w:r>
    </w:p>
    <w:p w14:paraId="2655EAAB" w14:textId="3D24B1C8" w:rsidR="00495F59" w:rsidRPr="00FF2887" w:rsidRDefault="00495F59" w:rsidP="00495F59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…</w:t>
      </w:r>
      <w:r w:rsidR="005E3BCC" w:rsidRPr="00FF2887">
        <w:t>"</w:t>
      </w:r>
    </w:p>
    <w:p w14:paraId="7E26283B" w14:textId="52C1B17F" w:rsidR="00D04988" w:rsidRPr="00FF2887" w:rsidRDefault="00D04988" w:rsidP="00393F50">
      <w:pPr>
        <w:pStyle w:val="HChG"/>
        <w:ind w:hanging="567"/>
      </w:pPr>
      <w:r w:rsidRPr="00FF2887">
        <w:t>II.</w:t>
      </w:r>
      <w:r w:rsidRPr="00FF2887">
        <w:tab/>
        <w:t xml:space="preserve">Justification </w:t>
      </w:r>
    </w:p>
    <w:p w14:paraId="1DA8AF3E" w14:textId="7988A3DB" w:rsidR="00D04988" w:rsidRPr="00FF2887" w:rsidRDefault="00893129" w:rsidP="00893129">
      <w:pPr>
        <w:pStyle w:val="Para0"/>
        <w:ind w:left="1134" w:firstLine="0"/>
      </w:pPr>
      <w:r w:rsidRPr="00FF2887">
        <w:rPr>
          <w:bCs/>
          <w:lang w:eastAsia="zh-CN"/>
        </w:rPr>
        <w:t xml:space="preserve">With the introduction of </w:t>
      </w:r>
      <w:r w:rsidR="00086394" w:rsidRPr="00FF2887">
        <w:rPr>
          <w:bCs/>
          <w:lang w:eastAsia="zh-CN"/>
        </w:rPr>
        <w:t>v</w:t>
      </w:r>
      <w:r w:rsidRPr="00FF2887">
        <w:rPr>
          <w:bCs/>
          <w:lang w:eastAsia="zh-CN"/>
        </w:rPr>
        <w:t xml:space="preserve">ehicles </w:t>
      </w:r>
      <w:r w:rsidR="007C6595" w:rsidRPr="00FF2887">
        <w:rPr>
          <w:bCs/>
          <w:lang w:eastAsia="zh-CN"/>
        </w:rPr>
        <w:t>of category M</w:t>
      </w:r>
      <w:r w:rsidR="007C6595" w:rsidRPr="00FF2887">
        <w:rPr>
          <w:bCs/>
          <w:vertAlign w:val="subscript"/>
          <w:lang w:eastAsia="zh-CN"/>
        </w:rPr>
        <w:t>2</w:t>
      </w:r>
      <w:r w:rsidR="007C6595" w:rsidRPr="00FF2887">
        <w:rPr>
          <w:bCs/>
          <w:lang w:eastAsia="zh-CN"/>
        </w:rPr>
        <w:t>, M</w:t>
      </w:r>
      <w:r w:rsidR="007C6595" w:rsidRPr="00FF2887">
        <w:rPr>
          <w:bCs/>
          <w:vertAlign w:val="subscript"/>
          <w:lang w:eastAsia="zh-CN"/>
        </w:rPr>
        <w:t>3</w:t>
      </w:r>
      <w:r w:rsidR="007C6595" w:rsidRPr="00FF2887">
        <w:rPr>
          <w:bCs/>
          <w:lang w:eastAsia="zh-CN"/>
        </w:rPr>
        <w:t>, N</w:t>
      </w:r>
      <w:r w:rsidR="007C6595" w:rsidRPr="00FF2887">
        <w:rPr>
          <w:bCs/>
          <w:vertAlign w:val="subscript"/>
          <w:lang w:eastAsia="zh-CN"/>
        </w:rPr>
        <w:t>2</w:t>
      </w:r>
      <w:r w:rsidR="00086394" w:rsidRPr="00FF2887">
        <w:rPr>
          <w:bCs/>
          <w:lang w:eastAsia="zh-CN"/>
        </w:rPr>
        <w:t xml:space="preserve">, </w:t>
      </w:r>
      <w:r w:rsidR="007C6595" w:rsidRPr="00FF2887">
        <w:rPr>
          <w:bCs/>
          <w:lang w:eastAsia="zh-CN"/>
        </w:rPr>
        <w:t>N</w:t>
      </w:r>
      <w:r w:rsidR="007C6595" w:rsidRPr="00FF2887">
        <w:rPr>
          <w:bCs/>
          <w:vertAlign w:val="subscript"/>
          <w:lang w:eastAsia="zh-CN"/>
        </w:rPr>
        <w:t>3</w:t>
      </w:r>
      <w:r w:rsidR="00086394" w:rsidRPr="00FF2887">
        <w:rPr>
          <w:bCs/>
          <w:lang w:eastAsia="zh-CN"/>
        </w:rPr>
        <w:t>, O</w:t>
      </w:r>
      <w:r w:rsidR="00086394" w:rsidRPr="00FF2887">
        <w:rPr>
          <w:bCs/>
          <w:vertAlign w:val="subscript"/>
          <w:lang w:eastAsia="zh-CN"/>
        </w:rPr>
        <w:t>3</w:t>
      </w:r>
      <w:r w:rsidR="00086394" w:rsidRPr="00FF2887">
        <w:rPr>
          <w:bCs/>
          <w:lang w:eastAsia="zh-CN"/>
        </w:rPr>
        <w:t xml:space="preserve"> and O</w:t>
      </w:r>
      <w:r w:rsidR="00086394" w:rsidRPr="00FF2887">
        <w:rPr>
          <w:bCs/>
          <w:vertAlign w:val="subscript"/>
          <w:lang w:eastAsia="zh-CN"/>
        </w:rPr>
        <w:t>4</w:t>
      </w:r>
      <w:r w:rsidR="007C6595" w:rsidRPr="00FF2887">
        <w:rPr>
          <w:bCs/>
          <w:lang w:eastAsia="zh-CN"/>
        </w:rPr>
        <w:t xml:space="preserve"> </w:t>
      </w:r>
      <w:r w:rsidR="003C2811" w:rsidRPr="00FF2887">
        <w:rPr>
          <w:bCs/>
          <w:lang w:eastAsia="zh-CN"/>
        </w:rPr>
        <w:t>in</w:t>
      </w:r>
      <w:r w:rsidRPr="00FF2887">
        <w:rPr>
          <w:bCs/>
          <w:lang w:eastAsia="zh-CN"/>
        </w:rPr>
        <w:t xml:space="preserve">to the scope UN </w:t>
      </w:r>
      <w:r w:rsidRPr="00AC6C1D">
        <w:rPr>
          <w:bCs/>
          <w:lang w:eastAsia="zh-CN"/>
        </w:rPr>
        <w:t>Regulation No. 141</w:t>
      </w:r>
      <w:r w:rsidR="003A3468" w:rsidRPr="003A3468">
        <w:rPr>
          <w:bCs/>
          <w:lang w:eastAsia="zh-CN"/>
        </w:rPr>
        <w:t xml:space="preserve"> </w:t>
      </w:r>
      <w:r w:rsidR="003A3468">
        <w:rPr>
          <w:bCs/>
          <w:lang w:eastAsia="zh-CN"/>
        </w:rPr>
        <w:t xml:space="preserve">through its </w:t>
      </w:r>
      <w:r w:rsidR="003A3468" w:rsidRPr="003A3468">
        <w:rPr>
          <w:bCs/>
          <w:lang w:eastAsia="zh-CN"/>
        </w:rPr>
        <w:t>01 series of amendments</w:t>
      </w:r>
      <w:r w:rsidRPr="00FF2887">
        <w:rPr>
          <w:bCs/>
          <w:lang w:eastAsia="zh-CN"/>
        </w:rPr>
        <w:t xml:space="preserve">, the tyre pressure refill system (TPRS) and the central tyre inflation system (CTIS) will be introduced in this </w:t>
      </w:r>
      <w:r w:rsidR="00103472">
        <w:rPr>
          <w:bCs/>
          <w:lang w:eastAsia="zh-CN"/>
        </w:rPr>
        <w:t xml:space="preserve">UN </w:t>
      </w:r>
      <w:r w:rsidRPr="00FF2887">
        <w:rPr>
          <w:bCs/>
          <w:lang w:eastAsia="zh-CN"/>
        </w:rPr>
        <w:t>Regulation. For type approval applications these systems can be seen as equivalent to tyre pressure monitoring systems</w:t>
      </w:r>
      <w:r w:rsidR="007C6595" w:rsidRPr="00FF2887">
        <w:rPr>
          <w:bCs/>
          <w:lang w:eastAsia="zh-CN"/>
        </w:rPr>
        <w:t xml:space="preserve"> (TPMS)</w:t>
      </w:r>
      <w:r w:rsidRPr="00FF2887">
        <w:rPr>
          <w:bCs/>
          <w:lang w:eastAsia="zh-CN"/>
        </w:rPr>
        <w:t xml:space="preserve"> and need to be able to use the same tell-tales and tell-tale functions</w:t>
      </w:r>
      <w:r w:rsidR="00D04988" w:rsidRPr="00FF2887">
        <w:rPr>
          <w:bCs/>
          <w:lang w:eastAsia="zh-CN"/>
        </w:rPr>
        <w:t>.</w:t>
      </w:r>
    </w:p>
    <w:p w14:paraId="2B015ECC" w14:textId="77777777" w:rsidR="00D04988" w:rsidRPr="00FF2887" w:rsidRDefault="00D04988" w:rsidP="00D04988">
      <w:pPr>
        <w:spacing w:before="240"/>
        <w:jc w:val="center"/>
        <w:rPr>
          <w:u w:val="single"/>
        </w:rPr>
      </w:pPr>
      <w:r w:rsidRPr="00FF2887">
        <w:rPr>
          <w:u w:val="single"/>
        </w:rPr>
        <w:tab/>
      </w:r>
      <w:r w:rsidRPr="00FF2887">
        <w:rPr>
          <w:u w:val="single"/>
        </w:rPr>
        <w:tab/>
      </w:r>
      <w:r w:rsidRPr="00FF2887">
        <w:rPr>
          <w:u w:val="single"/>
        </w:rPr>
        <w:tab/>
      </w:r>
    </w:p>
    <w:sectPr w:rsidR="00D04988" w:rsidRPr="00FF2887" w:rsidSect="00AF12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560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3295" w14:textId="77777777" w:rsidR="00741787" w:rsidRDefault="00741787"/>
  </w:endnote>
  <w:endnote w:type="continuationSeparator" w:id="0">
    <w:p w14:paraId="0840C15C" w14:textId="77777777" w:rsidR="00741787" w:rsidRDefault="00741787"/>
  </w:endnote>
  <w:endnote w:type="continuationNotice" w:id="1">
    <w:p w14:paraId="28601730" w14:textId="77777777" w:rsidR="00741787" w:rsidRDefault="00741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22BF" w14:textId="5C03B43E" w:rsidR="00915693" w:rsidRPr="00735ECE" w:rsidRDefault="00915693" w:rsidP="00735ECE">
    <w:pPr>
      <w:pStyle w:val="Footer"/>
      <w:tabs>
        <w:tab w:val="right" w:pos="9638"/>
      </w:tabs>
      <w:rPr>
        <w:sz w:val="18"/>
      </w:rPr>
    </w:pP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393F50">
      <w:rPr>
        <w:b/>
        <w:noProof/>
        <w:sz w:val="18"/>
      </w:rPr>
      <w:t>2</w:t>
    </w:r>
    <w:r w:rsidRPr="00735E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60BE" w14:textId="4F1502BB" w:rsidR="00915693" w:rsidRPr="00735ECE" w:rsidRDefault="00915693" w:rsidP="00735ECE">
    <w:pPr>
      <w:pStyle w:val="Footer"/>
      <w:tabs>
        <w:tab w:val="right" w:pos="9638"/>
      </w:tabs>
      <w:rPr>
        <w:b/>
        <w:sz w:val="18"/>
      </w:rPr>
    </w:pPr>
    <w:r>
      <w:tab/>
    </w: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9A6F08">
      <w:rPr>
        <w:b/>
        <w:noProof/>
        <w:sz w:val="18"/>
      </w:rPr>
      <w:t>3</w:t>
    </w:r>
    <w:r w:rsidRPr="00735E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9306" w14:textId="390B1454" w:rsidR="00CA5201" w:rsidRDefault="00CA5201" w:rsidP="00CA520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BECFCAC" wp14:editId="0DA61F4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7A810" w14:textId="26618673" w:rsidR="00CA5201" w:rsidRPr="00CA5201" w:rsidRDefault="00CA5201" w:rsidP="00CA5201">
    <w:pPr>
      <w:pStyle w:val="Footer"/>
      <w:ind w:right="1134"/>
      <w:rPr>
        <w:sz w:val="20"/>
      </w:rPr>
    </w:pPr>
    <w:r>
      <w:rPr>
        <w:sz w:val="20"/>
      </w:rPr>
      <w:t>GE.21-10445(E)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40C8FD" wp14:editId="0843882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DC45" w14:textId="77777777" w:rsidR="00741787" w:rsidRPr="000B175B" w:rsidRDefault="007417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830015" w14:textId="77777777" w:rsidR="00741787" w:rsidRPr="00FC68B7" w:rsidRDefault="007417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7D0CE3" w14:textId="77777777" w:rsidR="00741787" w:rsidRDefault="00741787"/>
  </w:footnote>
  <w:footnote w:id="2">
    <w:p w14:paraId="7B8310B7" w14:textId="77777777" w:rsidR="00EA34D8" w:rsidRPr="002232AF" w:rsidRDefault="00EA34D8" w:rsidP="00EA34D8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>
        <w:rPr>
          <w:rStyle w:val="FootnoteReference"/>
          <w:lang w:val="en-US"/>
        </w:rPr>
        <w:tab/>
      </w:r>
      <w:r w:rsidRPr="00D33A99">
        <w:rPr>
          <w:rStyle w:val="FootnoteReference"/>
          <w:szCs w:val="18"/>
          <w:vertAlign w:val="baseline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  <w:r w:rsidRPr="00D33A9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A2E6" w14:textId="4F59CF38" w:rsidR="00915693" w:rsidRPr="004F0060" w:rsidRDefault="006A47FA" w:rsidP="004F0060">
    <w:pPr>
      <w:pStyle w:val="Header"/>
    </w:pPr>
    <w:r w:rsidRPr="006A47FA">
      <w:t>ECE/TRANS/WP.29/GRSG/</w:t>
    </w:r>
    <w:r w:rsidR="00A70A63">
      <w:t>20</w:t>
    </w:r>
    <w:r w:rsidR="005622B0">
      <w:t>2</w:t>
    </w:r>
    <w:r w:rsidR="00A70A63">
      <w:t>1</w:t>
    </w:r>
    <w:r w:rsidR="005622B0">
      <w:t>/</w:t>
    </w:r>
    <w:r w:rsidR="00795385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3C66" w14:textId="536A80B7" w:rsidR="00915693" w:rsidRPr="00735ECE" w:rsidRDefault="006A47FA" w:rsidP="00735ECE">
    <w:pPr>
      <w:pStyle w:val="Header"/>
      <w:jc w:val="right"/>
    </w:pPr>
    <w:r w:rsidRPr="006A47FA">
      <w:t>ECE/TRANS/WP.29/GRSG/</w:t>
    </w:r>
    <w:fldSimple w:instr=" TITLE  \* MERGEFORMAT ">
      <w:r w:rsidR="00B975E2">
        <w:t>2021/xx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DBF4" w14:textId="77777777" w:rsidR="00915693" w:rsidRPr="00444332" w:rsidRDefault="00915693" w:rsidP="00444332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517583"/>
    <w:multiLevelType w:val="hybridMultilevel"/>
    <w:tmpl w:val="73A291FA"/>
    <w:lvl w:ilvl="0" w:tplc="D9680A6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E02ACE"/>
    <w:multiLevelType w:val="hybridMultilevel"/>
    <w:tmpl w:val="C382E42E"/>
    <w:lvl w:ilvl="0" w:tplc="1646BD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A0C4D1F"/>
    <w:multiLevelType w:val="hybridMultilevel"/>
    <w:tmpl w:val="9264709A"/>
    <w:lvl w:ilvl="0" w:tplc="DF00C5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23"/>
  </w:num>
  <w:num w:numId="18">
    <w:abstractNumId w:val="25"/>
  </w:num>
  <w:num w:numId="19">
    <w:abstractNumId w:val="11"/>
  </w:num>
  <w:num w:numId="20">
    <w:abstractNumId w:val="12"/>
  </w:num>
  <w:num w:numId="21">
    <w:abstractNumId w:val="26"/>
  </w:num>
  <w:num w:numId="22">
    <w:abstractNumId w:val="21"/>
  </w:num>
  <w:num w:numId="23">
    <w:abstractNumId w:val="22"/>
  </w:num>
  <w:num w:numId="24">
    <w:abstractNumId w:val="13"/>
  </w:num>
  <w:num w:numId="25">
    <w:abstractNumId w:val="19"/>
  </w:num>
  <w:num w:numId="26">
    <w:abstractNumId w:val="20"/>
  </w:num>
  <w:num w:numId="2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5ECE"/>
    <w:rsid w:val="00002A7D"/>
    <w:rsid w:val="000038A8"/>
    <w:rsid w:val="00005DF3"/>
    <w:rsid w:val="00006790"/>
    <w:rsid w:val="000130BE"/>
    <w:rsid w:val="00027624"/>
    <w:rsid w:val="00035AE9"/>
    <w:rsid w:val="00050F6B"/>
    <w:rsid w:val="000647CF"/>
    <w:rsid w:val="000678CD"/>
    <w:rsid w:val="00072C8C"/>
    <w:rsid w:val="00076180"/>
    <w:rsid w:val="00080457"/>
    <w:rsid w:val="00081CE0"/>
    <w:rsid w:val="00084D30"/>
    <w:rsid w:val="00086394"/>
    <w:rsid w:val="00090320"/>
    <w:rsid w:val="000931C0"/>
    <w:rsid w:val="00097003"/>
    <w:rsid w:val="000A2E09"/>
    <w:rsid w:val="000B175B"/>
    <w:rsid w:val="000B2CE1"/>
    <w:rsid w:val="000B3A0F"/>
    <w:rsid w:val="000E0415"/>
    <w:rsid w:val="000E116F"/>
    <w:rsid w:val="000E3B84"/>
    <w:rsid w:val="000E562D"/>
    <w:rsid w:val="000F08C8"/>
    <w:rsid w:val="000F7715"/>
    <w:rsid w:val="001027C2"/>
    <w:rsid w:val="00103472"/>
    <w:rsid w:val="00112191"/>
    <w:rsid w:val="001445CE"/>
    <w:rsid w:val="00156B99"/>
    <w:rsid w:val="00166124"/>
    <w:rsid w:val="00171799"/>
    <w:rsid w:val="00173DA2"/>
    <w:rsid w:val="00184DDA"/>
    <w:rsid w:val="001900CD"/>
    <w:rsid w:val="001A0452"/>
    <w:rsid w:val="001B4B04"/>
    <w:rsid w:val="001B5875"/>
    <w:rsid w:val="001C058A"/>
    <w:rsid w:val="001C4B9C"/>
    <w:rsid w:val="001C6663"/>
    <w:rsid w:val="001C7895"/>
    <w:rsid w:val="001D26DF"/>
    <w:rsid w:val="001F1599"/>
    <w:rsid w:val="001F19C4"/>
    <w:rsid w:val="001F38F3"/>
    <w:rsid w:val="001F7048"/>
    <w:rsid w:val="002043F0"/>
    <w:rsid w:val="00210F16"/>
    <w:rsid w:val="00211E0B"/>
    <w:rsid w:val="0021463C"/>
    <w:rsid w:val="00232575"/>
    <w:rsid w:val="002344E4"/>
    <w:rsid w:val="00247258"/>
    <w:rsid w:val="00257CAC"/>
    <w:rsid w:val="0026449D"/>
    <w:rsid w:val="002702BB"/>
    <w:rsid w:val="00271728"/>
    <w:rsid w:val="0027237A"/>
    <w:rsid w:val="002740DC"/>
    <w:rsid w:val="00277E33"/>
    <w:rsid w:val="00284964"/>
    <w:rsid w:val="002974E9"/>
    <w:rsid w:val="002A306B"/>
    <w:rsid w:val="002A6BB4"/>
    <w:rsid w:val="002A7F94"/>
    <w:rsid w:val="002B0EF4"/>
    <w:rsid w:val="002B109A"/>
    <w:rsid w:val="002C4F7B"/>
    <w:rsid w:val="002C6287"/>
    <w:rsid w:val="002C6D45"/>
    <w:rsid w:val="002D6E53"/>
    <w:rsid w:val="002F046D"/>
    <w:rsid w:val="002F3023"/>
    <w:rsid w:val="00301764"/>
    <w:rsid w:val="003229D8"/>
    <w:rsid w:val="00332188"/>
    <w:rsid w:val="00336C97"/>
    <w:rsid w:val="00337F88"/>
    <w:rsid w:val="00342432"/>
    <w:rsid w:val="003445EA"/>
    <w:rsid w:val="00345555"/>
    <w:rsid w:val="0035223F"/>
    <w:rsid w:val="00352AF9"/>
    <w:rsid w:val="00352D4B"/>
    <w:rsid w:val="0035638C"/>
    <w:rsid w:val="003613CD"/>
    <w:rsid w:val="0037472C"/>
    <w:rsid w:val="00393F50"/>
    <w:rsid w:val="003A3468"/>
    <w:rsid w:val="003A46BB"/>
    <w:rsid w:val="003A4EC7"/>
    <w:rsid w:val="003A7295"/>
    <w:rsid w:val="003B1F60"/>
    <w:rsid w:val="003B4446"/>
    <w:rsid w:val="003C2811"/>
    <w:rsid w:val="003C2CC4"/>
    <w:rsid w:val="003C3712"/>
    <w:rsid w:val="003D4B23"/>
    <w:rsid w:val="003E278A"/>
    <w:rsid w:val="003E433C"/>
    <w:rsid w:val="00413520"/>
    <w:rsid w:val="004325CB"/>
    <w:rsid w:val="00440A07"/>
    <w:rsid w:val="00444332"/>
    <w:rsid w:val="00462880"/>
    <w:rsid w:val="0047112F"/>
    <w:rsid w:val="00476F24"/>
    <w:rsid w:val="00495F59"/>
    <w:rsid w:val="004A452F"/>
    <w:rsid w:val="004A5D33"/>
    <w:rsid w:val="004B6526"/>
    <w:rsid w:val="004B763A"/>
    <w:rsid w:val="004C55B0"/>
    <w:rsid w:val="004C6D76"/>
    <w:rsid w:val="004D204F"/>
    <w:rsid w:val="004D3673"/>
    <w:rsid w:val="004D69F1"/>
    <w:rsid w:val="004F0060"/>
    <w:rsid w:val="004F6BA0"/>
    <w:rsid w:val="005018C7"/>
    <w:rsid w:val="00503BEA"/>
    <w:rsid w:val="00526925"/>
    <w:rsid w:val="00533616"/>
    <w:rsid w:val="00534754"/>
    <w:rsid w:val="00535ABA"/>
    <w:rsid w:val="0053768B"/>
    <w:rsid w:val="005420F2"/>
    <w:rsid w:val="0054285C"/>
    <w:rsid w:val="00550308"/>
    <w:rsid w:val="005622B0"/>
    <w:rsid w:val="00562C72"/>
    <w:rsid w:val="00566EF2"/>
    <w:rsid w:val="00584173"/>
    <w:rsid w:val="0058702D"/>
    <w:rsid w:val="00595520"/>
    <w:rsid w:val="005A1A54"/>
    <w:rsid w:val="005A44B9"/>
    <w:rsid w:val="005B1129"/>
    <w:rsid w:val="005B1BA0"/>
    <w:rsid w:val="005B3DB3"/>
    <w:rsid w:val="005B45A4"/>
    <w:rsid w:val="005B5F17"/>
    <w:rsid w:val="005C0268"/>
    <w:rsid w:val="005D15CA"/>
    <w:rsid w:val="005D1854"/>
    <w:rsid w:val="005D3E27"/>
    <w:rsid w:val="005E3BCC"/>
    <w:rsid w:val="005E3BD1"/>
    <w:rsid w:val="005E5841"/>
    <w:rsid w:val="005F08DF"/>
    <w:rsid w:val="005F3066"/>
    <w:rsid w:val="005F3E61"/>
    <w:rsid w:val="00603327"/>
    <w:rsid w:val="00604DDD"/>
    <w:rsid w:val="006115CC"/>
    <w:rsid w:val="00611FC4"/>
    <w:rsid w:val="006176FB"/>
    <w:rsid w:val="00620165"/>
    <w:rsid w:val="006214A4"/>
    <w:rsid w:val="006224E6"/>
    <w:rsid w:val="00626FC9"/>
    <w:rsid w:val="00630FCB"/>
    <w:rsid w:val="00631128"/>
    <w:rsid w:val="00640B26"/>
    <w:rsid w:val="006421E5"/>
    <w:rsid w:val="00645E18"/>
    <w:rsid w:val="00647097"/>
    <w:rsid w:val="0065766B"/>
    <w:rsid w:val="006619F8"/>
    <w:rsid w:val="00665BC0"/>
    <w:rsid w:val="00675BEB"/>
    <w:rsid w:val="006770B2"/>
    <w:rsid w:val="00686A48"/>
    <w:rsid w:val="0068763C"/>
    <w:rsid w:val="006940E1"/>
    <w:rsid w:val="006A3C72"/>
    <w:rsid w:val="006A47FA"/>
    <w:rsid w:val="006A7392"/>
    <w:rsid w:val="006B03A1"/>
    <w:rsid w:val="006B67D9"/>
    <w:rsid w:val="006C5535"/>
    <w:rsid w:val="006D0589"/>
    <w:rsid w:val="006E564B"/>
    <w:rsid w:val="006E7154"/>
    <w:rsid w:val="007003CD"/>
    <w:rsid w:val="007043F0"/>
    <w:rsid w:val="0070701E"/>
    <w:rsid w:val="00721CD4"/>
    <w:rsid w:val="007256F1"/>
    <w:rsid w:val="0072632A"/>
    <w:rsid w:val="00727CFB"/>
    <w:rsid w:val="007358E8"/>
    <w:rsid w:val="00735ECE"/>
    <w:rsid w:val="00736ECE"/>
    <w:rsid w:val="00741787"/>
    <w:rsid w:val="00745260"/>
    <w:rsid w:val="0074533B"/>
    <w:rsid w:val="007643BC"/>
    <w:rsid w:val="007723F4"/>
    <w:rsid w:val="00780C68"/>
    <w:rsid w:val="00795385"/>
    <w:rsid w:val="007959FE"/>
    <w:rsid w:val="0079750A"/>
    <w:rsid w:val="007A0CF1"/>
    <w:rsid w:val="007B6BA5"/>
    <w:rsid w:val="007C3390"/>
    <w:rsid w:val="007C42D8"/>
    <w:rsid w:val="007C4F4B"/>
    <w:rsid w:val="007C6595"/>
    <w:rsid w:val="007D6879"/>
    <w:rsid w:val="007D6F65"/>
    <w:rsid w:val="007D7362"/>
    <w:rsid w:val="007E0EB0"/>
    <w:rsid w:val="007F4B6D"/>
    <w:rsid w:val="007F5CE2"/>
    <w:rsid w:val="007F6611"/>
    <w:rsid w:val="008005BF"/>
    <w:rsid w:val="00810BAC"/>
    <w:rsid w:val="008175E9"/>
    <w:rsid w:val="008242D7"/>
    <w:rsid w:val="0082577B"/>
    <w:rsid w:val="00825CB5"/>
    <w:rsid w:val="00827D34"/>
    <w:rsid w:val="008636E5"/>
    <w:rsid w:val="00866893"/>
    <w:rsid w:val="00866F02"/>
    <w:rsid w:val="00867D18"/>
    <w:rsid w:val="00871F9A"/>
    <w:rsid w:val="00871FD5"/>
    <w:rsid w:val="008809A1"/>
    <w:rsid w:val="0088172E"/>
    <w:rsid w:val="00881EFA"/>
    <w:rsid w:val="008872E5"/>
    <w:rsid w:val="008879CB"/>
    <w:rsid w:val="0089102D"/>
    <w:rsid w:val="00893129"/>
    <w:rsid w:val="008949C9"/>
    <w:rsid w:val="0089743F"/>
    <w:rsid w:val="008979B1"/>
    <w:rsid w:val="008A62EC"/>
    <w:rsid w:val="008A6B25"/>
    <w:rsid w:val="008A6C4F"/>
    <w:rsid w:val="008B389E"/>
    <w:rsid w:val="008B5B33"/>
    <w:rsid w:val="008C6DF9"/>
    <w:rsid w:val="008D045E"/>
    <w:rsid w:val="008D26C0"/>
    <w:rsid w:val="008D3F25"/>
    <w:rsid w:val="008D4D82"/>
    <w:rsid w:val="008E0E46"/>
    <w:rsid w:val="008E7116"/>
    <w:rsid w:val="008F143B"/>
    <w:rsid w:val="008F14B5"/>
    <w:rsid w:val="008F1706"/>
    <w:rsid w:val="008F3882"/>
    <w:rsid w:val="008F4B7C"/>
    <w:rsid w:val="008F4FAF"/>
    <w:rsid w:val="00915693"/>
    <w:rsid w:val="00926E47"/>
    <w:rsid w:val="009322E3"/>
    <w:rsid w:val="00936209"/>
    <w:rsid w:val="00947162"/>
    <w:rsid w:val="009522EE"/>
    <w:rsid w:val="00956F6A"/>
    <w:rsid w:val="009610D0"/>
    <w:rsid w:val="009634B5"/>
    <w:rsid w:val="0096375C"/>
    <w:rsid w:val="009662E6"/>
    <w:rsid w:val="0097095E"/>
    <w:rsid w:val="009765F2"/>
    <w:rsid w:val="0098592B"/>
    <w:rsid w:val="00985FC4"/>
    <w:rsid w:val="00990766"/>
    <w:rsid w:val="00991261"/>
    <w:rsid w:val="009964C4"/>
    <w:rsid w:val="009A1A39"/>
    <w:rsid w:val="009A1DD8"/>
    <w:rsid w:val="009A54F8"/>
    <w:rsid w:val="009A6F08"/>
    <w:rsid w:val="009A7B81"/>
    <w:rsid w:val="009B7EB7"/>
    <w:rsid w:val="009C0DA3"/>
    <w:rsid w:val="009C401B"/>
    <w:rsid w:val="009C6F1A"/>
    <w:rsid w:val="009D01C0"/>
    <w:rsid w:val="009D6A08"/>
    <w:rsid w:val="009E0A16"/>
    <w:rsid w:val="009E6269"/>
    <w:rsid w:val="009E6CB7"/>
    <w:rsid w:val="009E7970"/>
    <w:rsid w:val="009F2EAC"/>
    <w:rsid w:val="009F57E3"/>
    <w:rsid w:val="00A078FF"/>
    <w:rsid w:val="00A10F4F"/>
    <w:rsid w:val="00A11067"/>
    <w:rsid w:val="00A1704A"/>
    <w:rsid w:val="00A2140B"/>
    <w:rsid w:val="00A36AC2"/>
    <w:rsid w:val="00A425EB"/>
    <w:rsid w:val="00A43833"/>
    <w:rsid w:val="00A5132A"/>
    <w:rsid w:val="00A55B9F"/>
    <w:rsid w:val="00A65853"/>
    <w:rsid w:val="00A7097A"/>
    <w:rsid w:val="00A70A63"/>
    <w:rsid w:val="00A72F22"/>
    <w:rsid w:val="00A733BC"/>
    <w:rsid w:val="00A748A6"/>
    <w:rsid w:val="00A76A69"/>
    <w:rsid w:val="00A77A4C"/>
    <w:rsid w:val="00A879A4"/>
    <w:rsid w:val="00AA0FF8"/>
    <w:rsid w:val="00AB6C1C"/>
    <w:rsid w:val="00AC0F2C"/>
    <w:rsid w:val="00AC502A"/>
    <w:rsid w:val="00AC6C1D"/>
    <w:rsid w:val="00AD3D01"/>
    <w:rsid w:val="00AE1E26"/>
    <w:rsid w:val="00AF12D8"/>
    <w:rsid w:val="00AF58C1"/>
    <w:rsid w:val="00B0240E"/>
    <w:rsid w:val="00B04A3F"/>
    <w:rsid w:val="00B06643"/>
    <w:rsid w:val="00B144FE"/>
    <w:rsid w:val="00B15055"/>
    <w:rsid w:val="00B20551"/>
    <w:rsid w:val="00B2107C"/>
    <w:rsid w:val="00B26F17"/>
    <w:rsid w:val="00B30179"/>
    <w:rsid w:val="00B31E0B"/>
    <w:rsid w:val="00B33FC7"/>
    <w:rsid w:val="00B37B15"/>
    <w:rsid w:val="00B4162A"/>
    <w:rsid w:val="00B418DE"/>
    <w:rsid w:val="00B45C02"/>
    <w:rsid w:val="00B70B63"/>
    <w:rsid w:val="00B72A1E"/>
    <w:rsid w:val="00B81E12"/>
    <w:rsid w:val="00B9062A"/>
    <w:rsid w:val="00B907AC"/>
    <w:rsid w:val="00B975E2"/>
    <w:rsid w:val="00BA339B"/>
    <w:rsid w:val="00BB23CC"/>
    <w:rsid w:val="00BB47E2"/>
    <w:rsid w:val="00BC1E7E"/>
    <w:rsid w:val="00BC74E9"/>
    <w:rsid w:val="00BE36A9"/>
    <w:rsid w:val="00BE618E"/>
    <w:rsid w:val="00BE7BEC"/>
    <w:rsid w:val="00BE7F13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3A6"/>
    <w:rsid w:val="00C131F3"/>
    <w:rsid w:val="00C17BD7"/>
    <w:rsid w:val="00C26745"/>
    <w:rsid w:val="00C4206B"/>
    <w:rsid w:val="00C463DD"/>
    <w:rsid w:val="00C50B7F"/>
    <w:rsid w:val="00C53404"/>
    <w:rsid w:val="00C6182B"/>
    <w:rsid w:val="00C7012D"/>
    <w:rsid w:val="00C745C3"/>
    <w:rsid w:val="00C7611F"/>
    <w:rsid w:val="00C901DE"/>
    <w:rsid w:val="00C978F5"/>
    <w:rsid w:val="00CA24A4"/>
    <w:rsid w:val="00CA5201"/>
    <w:rsid w:val="00CA6175"/>
    <w:rsid w:val="00CA6639"/>
    <w:rsid w:val="00CB348D"/>
    <w:rsid w:val="00CC4932"/>
    <w:rsid w:val="00CC7306"/>
    <w:rsid w:val="00CD46F5"/>
    <w:rsid w:val="00CE4A8F"/>
    <w:rsid w:val="00CF071D"/>
    <w:rsid w:val="00D0123D"/>
    <w:rsid w:val="00D04988"/>
    <w:rsid w:val="00D068F0"/>
    <w:rsid w:val="00D101AE"/>
    <w:rsid w:val="00D142C7"/>
    <w:rsid w:val="00D15B04"/>
    <w:rsid w:val="00D2031B"/>
    <w:rsid w:val="00D25FE2"/>
    <w:rsid w:val="00D32DC1"/>
    <w:rsid w:val="00D33A99"/>
    <w:rsid w:val="00D36960"/>
    <w:rsid w:val="00D37DA9"/>
    <w:rsid w:val="00D406A7"/>
    <w:rsid w:val="00D43252"/>
    <w:rsid w:val="00D44D86"/>
    <w:rsid w:val="00D45542"/>
    <w:rsid w:val="00D50B7D"/>
    <w:rsid w:val="00D52012"/>
    <w:rsid w:val="00D562FF"/>
    <w:rsid w:val="00D57AC0"/>
    <w:rsid w:val="00D57BC2"/>
    <w:rsid w:val="00D62EB9"/>
    <w:rsid w:val="00D67EE1"/>
    <w:rsid w:val="00D704E5"/>
    <w:rsid w:val="00D70CFC"/>
    <w:rsid w:val="00D72727"/>
    <w:rsid w:val="00D85790"/>
    <w:rsid w:val="00D978C6"/>
    <w:rsid w:val="00DA0956"/>
    <w:rsid w:val="00DA1E05"/>
    <w:rsid w:val="00DA2B83"/>
    <w:rsid w:val="00DA357F"/>
    <w:rsid w:val="00DA3E12"/>
    <w:rsid w:val="00DB0DBA"/>
    <w:rsid w:val="00DB3383"/>
    <w:rsid w:val="00DC18AD"/>
    <w:rsid w:val="00DC2545"/>
    <w:rsid w:val="00DC2E7D"/>
    <w:rsid w:val="00DD1C60"/>
    <w:rsid w:val="00DD3734"/>
    <w:rsid w:val="00DF7CAE"/>
    <w:rsid w:val="00E22064"/>
    <w:rsid w:val="00E229AE"/>
    <w:rsid w:val="00E31286"/>
    <w:rsid w:val="00E344E0"/>
    <w:rsid w:val="00E37D36"/>
    <w:rsid w:val="00E414A5"/>
    <w:rsid w:val="00E423C0"/>
    <w:rsid w:val="00E45883"/>
    <w:rsid w:val="00E51B06"/>
    <w:rsid w:val="00E6414C"/>
    <w:rsid w:val="00E7260F"/>
    <w:rsid w:val="00E845E9"/>
    <w:rsid w:val="00E8702D"/>
    <w:rsid w:val="00E905F4"/>
    <w:rsid w:val="00E916A9"/>
    <w:rsid w:val="00E916DE"/>
    <w:rsid w:val="00E925AD"/>
    <w:rsid w:val="00E96630"/>
    <w:rsid w:val="00EA34D8"/>
    <w:rsid w:val="00EB58EA"/>
    <w:rsid w:val="00EB72DA"/>
    <w:rsid w:val="00EC2AC2"/>
    <w:rsid w:val="00ED18DC"/>
    <w:rsid w:val="00ED4F9E"/>
    <w:rsid w:val="00ED6201"/>
    <w:rsid w:val="00ED7A2A"/>
    <w:rsid w:val="00EF1D7F"/>
    <w:rsid w:val="00EF76DD"/>
    <w:rsid w:val="00F0137E"/>
    <w:rsid w:val="00F04E44"/>
    <w:rsid w:val="00F15D14"/>
    <w:rsid w:val="00F21786"/>
    <w:rsid w:val="00F25D06"/>
    <w:rsid w:val="00F31CFF"/>
    <w:rsid w:val="00F3742B"/>
    <w:rsid w:val="00F41FDB"/>
    <w:rsid w:val="00F47EDF"/>
    <w:rsid w:val="00F50597"/>
    <w:rsid w:val="00F56D63"/>
    <w:rsid w:val="00F609A9"/>
    <w:rsid w:val="00F66E45"/>
    <w:rsid w:val="00F678A1"/>
    <w:rsid w:val="00F67A00"/>
    <w:rsid w:val="00F80C99"/>
    <w:rsid w:val="00F867EC"/>
    <w:rsid w:val="00F91B2B"/>
    <w:rsid w:val="00FB611E"/>
    <w:rsid w:val="00FB7509"/>
    <w:rsid w:val="00FC03CD"/>
    <w:rsid w:val="00FC0646"/>
    <w:rsid w:val="00FC68B7"/>
    <w:rsid w:val="00FD1FE3"/>
    <w:rsid w:val="00FD6107"/>
    <w:rsid w:val="00FD6B45"/>
    <w:rsid w:val="00FE29F2"/>
    <w:rsid w:val="00FE6985"/>
    <w:rsid w:val="00FF1272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C035BAA"/>
  <w15:docId w15:val="{6D97B4EA-0488-4506-92C5-D0BFC74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paragraph" w:customStyle="1" w:styleId="Default">
    <w:name w:val="Default"/>
    <w:rsid w:val="00735E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ingleTxtGChar">
    <w:name w:val="_ Single Txt_G Char"/>
    <w:link w:val="SingleTxtG"/>
    <w:qFormat/>
    <w:rsid w:val="00631128"/>
    <w:rPr>
      <w:lang w:val="en-GB"/>
    </w:rPr>
  </w:style>
  <w:style w:type="paragraph" w:customStyle="1" w:styleId="para">
    <w:name w:val="para"/>
    <w:basedOn w:val="Normal"/>
    <w:link w:val="paraChar"/>
    <w:rsid w:val="00631128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631128"/>
    <w:rPr>
      <w:snapToGrid w:val="0"/>
      <w:lang w:eastAsia="en-US"/>
    </w:rPr>
  </w:style>
  <w:style w:type="character" w:customStyle="1" w:styleId="HChGChar">
    <w:name w:val="_ H _Ch_G Char"/>
    <w:link w:val="HChG"/>
    <w:rsid w:val="00631128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3613CD"/>
    <w:rPr>
      <w:b/>
      <w:sz w:val="18"/>
      <w:lang w:val="en-GB"/>
    </w:rPr>
  </w:style>
  <w:style w:type="paragraph" w:customStyle="1" w:styleId="Para0">
    <w:name w:val="Para"/>
    <w:basedOn w:val="Normal"/>
    <w:qFormat/>
    <w:rsid w:val="005B45A4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styleId="CommentReference">
    <w:name w:val="annotation reference"/>
    <w:basedOn w:val="DefaultParagraphFont"/>
    <w:unhideWhenUsed/>
    <w:rsid w:val="0011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9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191"/>
    <w:rPr>
      <w:b/>
      <w:bCs/>
      <w:lang w:val="en-GB"/>
    </w:rPr>
  </w:style>
  <w:style w:type="paragraph" w:styleId="ListParagraph">
    <w:name w:val="List Paragraph"/>
    <w:basedOn w:val="Normal"/>
    <w:uiPriority w:val="34"/>
    <w:semiHidden/>
    <w:qFormat/>
    <w:rsid w:val="009A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9CD41-2414-420B-80EB-4BC40E8B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8887C-F6CB-4645-B044-E70C2D030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9C5C5-6A60-4B28-A7AB-0722BA6CF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D6B29-8B7B-42D2-96FA-D33F58FF242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4b4a1c0d-4a69-4996-a84a-fc699b9f49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1744</Characters>
  <Application>Microsoft Office Word</Application>
  <DocSecurity>0</DocSecurity>
  <Lines>71</Lines>
  <Paragraphs>50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2021/xx</vt:lpstr>
      <vt:lpstr>ECE/TRANS/WP.29/GRSG/2019/19</vt:lpstr>
      <vt:lpstr>ECE/TRANS/WP.29/GRSG/2019/19</vt:lpstr>
    </vt:vector>
  </TitlesOfParts>
  <Company>CSD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ECE/TRANS/WP.29/GRSG/2021/30</dc:title>
  <dc:subject>2110445</dc:subject>
  <dc:creator>Una Philippa GILTSOFF</dc:creator>
  <cp:keywords/>
  <dc:description/>
  <cp:lastModifiedBy>Una Philippa GILTSOFF</cp:lastModifiedBy>
  <cp:revision>2</cp:revision>
  <cp:lastPrinted>2021-07-30T12:05:00Z</cp:lastPrinted>
  <dcterms:created xsi:type="dcterms:W3CDTF">2021-07-30T12:24:00Z</dcterms:created>
  <dcterms:modified xsi:type="dcterms:W3CDTF">2021-07-30T12:24:00Z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manfred.klopotek@scania.com</vt:lpwstr>
  </property>
  <property fmtid="{D5CDD505-2E9C-101B-9397-08002B2CF9AE}" pid="5" name="MSIP_Label_a7f2ec83-e677-438d-afb7-4c7c0dbc872b_SetDate">
    <vt:lpwstr>2021-07-14T16:50:41.5686138Z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MSIP_Label_2fd53d93-3f4c-4b90-b511-bd6bdbb4fba9_Enabled">
    <vt:lpwstr>True</vt:lpwstr>
  </property>
  <property fmtid="{D5CDD505-2E9C-101B-9397-08002B2CF9AE}" pid="10" name="MSIP_Label_2fd53d93-3f4c-4b90-b511-bd6bdbb4fba9_SiteId">
    <vt:lpwstr>d852d5cd-724c-4128-8812-ffa5db3f8507</vt:lpwstr>
  </property>
  <property fmtid="{D5CDD505-2E9C-101B-9397-08002B2CF9AE}" pid="11" name="MSIP_Label_2fd53d93-3f4c-4b90-b511-bd6bdbb4fba9_SetDate">
    <vt:lpwstr>2020-12-17T18:14:10Z</vt:lpwstr>
  </property>
  <property fmtid="{D5CDD505-2E9C-101B-9397-08002B2CF9AE}" pid="12" name="MSIP_Label_2fd53d93-3f4c-4b90-b511-bd6bdbb4fba9_Name">
    <vt:lpwstr>2fd53d93-3f4c-4b90-b511-bd6bdbb4fba9</vt:lpwstr>
  </property>
  <property fmtid="{D5CDD505-2E9C-101B-9397-08002B2CF9AE}" pid="13" name="Sensitivity">
    <vt:lpwstr>Internal 2fd53d93-3f4c-4b90-b511-bd6bdbb4fba9</vt:lpwstr>
  </property>
  <property fmtid="{D5CDD505-2E9C-101B-9397-08002B2CF9AE}" pid="14" name="ContentTypeId">
    <vt:lpwstr>0x0101003B8422D08C252547BB1CFA7F78E2CB83</vt:lpwstr>
  </property>
</Properties>
</file>