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7AD16B9" w14:textId="77777777" w:rsidTr="00C97039">
        <w:trPr>
          <w:trHeight w:hRule="exact" w:val="851"/>
        </w:trPr>
        <w:tc>
          <w:tcPr>
            <w:tcW w:w="1276" w:type="dxa"/>
            <w:tcBorders>
              <w:bottom w:val="single" w:sz="4" w:space="0" w:color="auto"/>
            </w:tcBorders>
          </w:tcPr>
          <w:p w14:paraId="645C18D2" w14:textId="77777777" w:rsidR="00F35BAF" w:rsidRPr="00DB58B5" w:rsidRDefault="00F35BAF" w:rsidP="00627257"/>
        </w:tc>
        <w:tc>
          <w:tcPr>
            <w:tcW w:w="2268" w:type="dxa"/>
            <w:tcBorders>
              <w:bottom w:val="single" w:sz="4" w:space="0" w:color="auto"/>
            </w:tcBorders>
            <w:vAlign w:val="bottom"/>
          </w:tcPr>
          <w:p w14:paraId="3C31238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2CD9D2" w14:textId="77777777" w:rsidR="00F35BAF" w:rsidRPr="00DB58B5" w:rsidRDefault="00627257" w:rsidP="00627257">
            <w:pPr>
              <w:jc w:val="right"/>
            </w:pPr>
            <w:r w:rsidRPr="00627257">
              <w:rPr>
                <w:sz w:val="40"/>
              </w:rPr>
              <w:t>ECE</w:t>
            </w:r>
            <w:r>
              <w:t>/TRANS/WP.29/GRSG/2021/29</w:t>
            </w:r>
          </w:p>
        </w:tc>
      </w:tr>
      <w:tr w:rsidR="00F35BAF" w:rsidRPr="00DB58B5" w14:paraId="0D5183D4" w14:textId="77777777" w:rsidTr="00C97039">
        <w:trPr>
          <w:trHeight w:hRule="exact" w:val="2835"/>
        </w:trPr>
        <w:tc>
          <w:tcPr>
            <w:tcW w:w="1276" w:type="dxa"/>
            <w:tcBorders>
              <w:top w:val="single" w:sz="4" w:space="0" w:color="auto"/>
              <w:bottom w:val="single" w:sz="12" w:space="0" w:color="auto"/>
            </w:tcBorders>
          </w:tcPr>
          <w:p w14:paraId="164D6AFC" w14:textId="77777777" w:rsidR="00F35BAF" w:rsidRPr="00DB58B5" w:rsidRDefault="00F35BAF" w:rsidP="00C97039">
            <w:pPr>
              <w:spacing w:before="120"/>
              <w:jc w:val="center"/>
            </w:pPr>
            <w:r>
              <w:rPr>
                <w:noProof/>
                <w:lang w:eastAsia="fr-CH"/>
              </w:rPr>
              <w:drawing>
                <wp:inline distT="0" distB="0" distL="0" distR="0" wp14:anchorId="132FB03F" wp14:editId="27890EE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0E0CB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D0B2AD7" w14:textId="77777777" w:rsidR="00F35BAF" w:rsidRDefault="00627257" w:rsidP="00C97039">
            <w:pPr>
              <w:spacing w:before="240"/>
            </w:pPr>
            <w:r>
              <w:t>Distr. générale</w:t>
            </w:r>
          </w:p>
          <w:p w14:paraId="707749D4" w14:textId="77777777" w:rsidR="00627257" w:rsidRDefault="00627257" w:rsidP="00627257">
            <w:pPr>
              <w:spacing w:line="240" w:lineRule="exact"/>
            </w:pPr>
            <w:r>
              <w:t>30 juillet 2021</w:t>
            </w:r>
          </w:p>
          <w:p w14:paraId="2B582E0C" w14:textId="77777777" w:rsidR="00627257" w:rsidRDefault="00627257" w:rsidP="00627257">
            <w:pPr>
              <w:spacing w:line="240" w:lineRule="exact"/>
            </w:pPr>
            <w:r>
              <w:t>Français</w:t>
            </w:r>
          </w:p>
          <w:p w14:paraId="70EB48B7" w14:textId="77777777" w:rsidR="00627257" w:rsidRPr="00DB58B5" w:rsidRDefault="00627257" w:rsidP="00627257">
            <w:pPr>
              <w:spacing w:line="240" w:lineRule="exact"/>
            </w:pPr>
            <w:r>
              <w:t>Original : anglais</w:t>
            </w:r>
          </w:p>
        </w:tc>
      </w:tr>
    </w:tbl>
    <w:p w14:paraId="0B3B0C7F" w14:textId="77777777" w:rsidR="007F20FA" w:rsidRPr="000312C0" w:rsidRDefault="007F20FA" w:rsidP="007F20FA">
      <w:pPr>
        <w:spacing w:before="120"/>
        <w:rPr>
          <w:b/>
          <w:sz w:val="28"/>
          <w:szCs w:val="28"/>
        </w:rPr>
      </w:pPr>
      <w:r w:rsidRPr="000312C0">
        <w:rPr>
          <w:b/>
          <w:sz w:val="28"/>
          <w:szCs w:val="28"/>
        </w:rPr>
        <w:t>Commission économique pour l’Europe</w:t>
      </w:r>
    </w:p>
    <w:p w14:paraId="735B2B9E" w14:textId="77777777" w:rsidR="007F20FA" w:rsidRDefault="007F20FA" w:rsidP="007F20FA">
      <w:pPr>
        <w:spacing w:before="120"/>
        <w:rPr>
          <w:sz w:val="28"/>
          <w:szCs w:val="28"/>
        </w:rPr>
      </w:pPr>
      <w:r w:rsidRPr="00685843">
        <w:rPr>
          <w:sz w:val="28"/>
          <w:szCs w:val="28"/>
        </w:rPr>
        <w:t>Comité des transports intérieurs</w:t>
      </w:r>
    </w:p>
    <w:p w14:paraId="0BA5312E" w14:textId="77777777" w:rsidR="00627257" w:rsidRPr="00627257" w:rsidRDefault="00627257" w:rsidP="00521753">
      <w:pPr>
        <w:spacing w:before="120"/>
        <w:rPr>
          <w:b/>
          <w:sz w:val="32"/>
          <w:szCs w:val="32"/>
        </w:rPr>
      </w:pPr>
      <w:r w:rsidRPr="00627257">
        <w:rPr>
          <w:b/>
          <w:bCs/>
          <w:sz w:val="24"/>
          <w:szCs w:val="24"/>
          <w:lang w:val="fr-FR"/>
        </w:rPr>
        <w:t>Forum mondial de l’harmonisation des</w:t>
      </w:r>
      <w:r w:rsidR="002F6199">
        <w:rPr>
          <w:b/>
          <w:bCs/>
          <w:sz w:val="24"/>
          <w:szCs w:val="24"/>
          <w:lang w:val="fr-FR"/>
        </w:rPr>
        <w:t xml:space="preserve"> </w:t>
      </w:r>
      <w:r w:rsidRPr="00627257">
        <w:rPr>
          <w:b/>
          <w:bCs/>
          <w:sz w:val="24"/>
          <w:szCs w:val="24"/>
          <w:lang w:val="fr-FR"/>
        </w:rPr>
        <w:t xml:space="preserve">Règlements </w:t>
      </w:r>
      <w:r w:rsidR="002F6199">
        <w:rPr>
          <w:b/>
          <w:bCs/>
          <w:sz w:val="24"/>
          <w:szCs w:val="24"/>
          <w:lang w:val="fr-FR"/>
        </w:rPr>
        <w:br/>
      </w:r>
      <w:r w:rsidRPr="00627257">
        <w:rPr>
          <w:b/>
          <w:bCs/>
          <w:sz w:val="24"/>
          <w:szCs w:val="24"/>
          <w:lang w:val="fr-FR"/>
        </w:rPr>
        <w:t>concernant les véhicules</w:t>
      </w:r>
    </w:p>
    <w:p w14:paraId="5B5C7106" w14:textId="77777777" w:rsidR="00627257" w:rsidRPr="00627257" w:rsidRDefault="00627257" w:rsidP="002F6199">
      <w:pPr>
        <w:spacing w:before="120"/>
        <w:rPr>
          <w:b/>
        </w:rPr>
      </w:pPr>
      <w:r w:rsidRPr="00627257">
        <w:rPr>
          <w:b/>
          <w:bCs/>
          <w:lang w:val="fr-FR"/>
        </w:rPr>
        <w:t>Groupe de travail des dispositions générales de sécurité</w:t>
      </w:r>
      <w:bookmarkStart w:id="0" w:name="_GoBack"/>
      <w:bookmarkEnd w:id="0"/>
    </w:p>
    <w:p w14:paraId="0468DFAE" w14:textId="77777777" w:rsidR="00627257" w:rsidRPr="00627257" w:rsidRDefault="00627257" w:rsidP="002F6199">
      <w:pPr>
        <w:spacing w:before="120"/>
        <w:rPr>
          <w:b/>
          <w:bCs/>
          <w:lang w:val="fr-FR"/>
        </w:rPr>
      </w:pPr>
      <w:r w:rsidRPr="00627257">
        <w:rPr>
          <w:b/>
          <w:bCs/>
          <w:lang w:val="fr-FR"/>
        </w:rPr>
        <w:t>122</w:t>
      </w:r>
      <w:r w:rsidRPr="00627257">
        <w:rPr>
          <w:b/>
          <w:bCs/>
          <w:vertAlign w:val="superscript"/>
          <w:lang w:val="fr-FR"/>
        </w:rPr>
        <w:t>e</w:t>
      </w:r>
      <w:r w:rsidRPr="00627257">
        <w:rPr>
          <w:b/>
          <w:bCs/>
          <w:lang w:val="fr-FR"/>
        </w:rPr>
        <w:t xml:space="preserve"> session</w:t>
      </w:r>
    </w:p>
    <w:p w14:paraId="4659CA49" w14:textId="77777777" w:rsidR="00627257" w:rsidRPr="00627257" w:rsidRDefault="00627257" w:rsidP="00627257">
      <w:r w:rsidRPr="00627257">
        <w:rPr>
          <w:lang w:val="fr-FR"/>
        </w:rPr>
        <w:t>Genève, 12-15 octobre 2021</w:t>
      </w:r>
    </w:p>
    <w:p w14:paraId="7DB23592" w14:textId="77777777" w:rsidR="00627257" w:rsidRPr="00627257" w:rsidRDefault="00627257" w:rsidP="00627257">
      <w:pPr>
        <w:rPr>
          <w:b/>
        </w:rPr>
      </w:pPr>
      <w:r w:rsidRPr="00627257">
        <w:rPr>
          <w:lang w:val="fr-FR"/>
        </w:rPr>
        <w:t>Point 11c) de l’ordre du jour provisoire</w:t>
      </w:r>
    </w:p>
    <w:p w14:paraId="38BE2730" w14:textId="77777777" w:rsidR="00627257" w:rsidRPr="00627257" w:rsidRDefault="00627257" w:rsidP="00627257">
      <w:pPr>
        <w:rPr>
          <w:b/>
        </w:rPr>
      </w:pPr>
      <w:r w:rsidRPr="00627257">
        <w:rPr>
          <w:b/>
          <w:bCs/>
          <w:lang w:val="fr-FR"/>
        </w:rPr>
        <w:t>Amendements aux Règlements relatifs aux dispositifs de</w:t>
      </w:r>
      <w:r w:rsidR="002F6199">
        <w:rPr>
          <w:b/>
          <w:bCs/>
          <w:lang w:val="fr-FR"/>
        </w:rPr>
        <w:t xml:space="preserve"> </w:t>
      </w:r>
      <w:r w:rsidRPr="00627257">
        <w:rPr>
          <w:b/>
          <w:bCs/>
          <w:lang w:val="fr-FR"/>
        </w:rPr>
        <w:t xml:space="preserve">protection contre </w:t>
      </w:r>
      <w:r w:rsidR="002F6199">
        <w:rPr>
          <w:b/>
          <w:bCs/>
          <w:lang w:val="fr-FR"/>
        </w:rPr>
        <w:br/>
      </w:r>
      <w:r w:rsidRPr="00627257">
        <w:rPr>
          <w:b/>
          <w:bCs/>
          <w:lang w:val="fr-FR"/>
        </w:rPr>
        <w:t>une utilisation non autorisée, aux</w:t>
      </w:r>
      <w:r w:rsidR="002F6199">
        <w:rPr>
          <w:b/>
          <w:bCs/>
          <w:lang w:val="fr-FR"/>
        </w:rPr>
        <w:t xml:space="preserve"> </w:t>
      </w:r>
      <w:r w:rsidRPr="00627257">
        <w:rPr>
          <w:b/>
          <w:bCs/>
          <w:lang w:val="fr-FR"/>
        </w:rPr>
        <w:t xml:space="preserve">dispositifs d’immobilisation et aux systèmes </w:t>
      </w:r>
      <w:r w:rsidR="002F6199">
        <w:rPr>
          <w:b/>
          <w:bCs/>
          <w:lang w:val="fr-FR"/>
        </w:rPr>
        <w:br/>
      </w:r>
      <w:r w:rsidRPr="00627257">
        <w:rPr>
          <w:b/>
          <w:bCs/>
          <w:lang w:val="fr-FR"/>
        </w:rPr>
        <w:t>d’alarme pour véhicules : Règlement ONU n</w:t>
      </w:r>
      <w:r w:rsidRPr="00627257">
        <w:rPr>
          <w:b/>
          <w:bCs/>
          <w:vertAlign w:val="superscript"/>
          <w:lang w:val="fr-FR"/>
        </w:rPr>
        <w:t>o</w:t>
      </w:r>
      <w:r w:rsidRPr="00627257">
        <w:rPr>
          <w:b/>
          <w:bCs/>
          <w:lang w:val="fr-FR"/>
        </w:rPr>
        <w:t xml:space="preserve"> [162] (Dispositifs d’immobilisation)</w:t>
      </w:r>
    </w:p>
    <w:p w14:paraId="71F22DBB" w14:textId="77777777" w:rsidR="00627257" w:rsidRPr="00627257" w:rsidRDefault="00627257" w:rsidP="002F6199">
      <w:pPr>
        <w:pStyle w:val="HChG"/>
      </w:pPr>
      <w:r w:rsidRPr="00627257">
        <w:rPr>
          <w:lang w:val="fr-FR"/>
        </w:rPr>
        <w:tab/>
      </w:r>
      <w:r w:rsidRPr="00627257">
        <w:rPr>
          <w:lang w:val="fr-FR"/>
        </w:rPr>
        <w:tab/>
        <w:t xml:space="preserve">Proposition d’amendements au Règlement ONU </w:t>
      </w:r>
      <w:r w:rsidR="002F6199" w:rsidRPr="002F6199">
        <w:rPr>
          <w:rFonts w:eastAsia="MS Mincho"/>
          <w:szCs w:val="22"/>
          <w:lang w:val="fr-FR"/>
        </w:rPr>
        <w:t>n</w:t>
      </w:r>
      <w:r w:rsidR="002F6199" w:rsidRPr="002F6199">
        <w:rPr>
          <w:rFonts w:eastAsia="MS Mincho"/>
          <w:szCs w:val="22"/>
          <w:vertAlign w:val="superscript"/>
          <w:lang w:val="fr-FR"/>
        </w:rPr>
        <w:t>o</w:t>
      </w:r>
      <w:r w:rsidR="002F6199">
        <w:rPr>
          <w:lang w:val="fr-FR"/>
        </w:rPr>
        <w:t> </w:t>
      </w:r>
      <w:r w:rsidRPr="00627257">
        <w:rPr>
          <w:lang w:val="fr-FR"/>
        </w:rPr>
        <w:t>[162] (Dispositifs d’immobilisation)</w:t>
      </w:r>
    </w:p>
    <w:p w14:paraId="72D16235" w14:textId="77777777" w:rsidR="00627257" w:rsidRPr="00627257" w:rsidRDefault="00627257" w:rsidP="002F6199">
      <w:pPr>
        <w:pStyle w:val="H1G"/>
      </w:pPr>
      <w:r w:rsidRPr="00627257">
        <w:rPr>
          <w:lang w:val="fr-FR"/>
        </w:rPr>
        <w:tab/>
      </w:r>
      <w:r w:rsidRPr="00627257">
        <w:rPr>
          <w:lang w:val="fr-FR"/>
        </w:rPr>
        <w:tab/>
        <w:t>Communication de l’expert de l’Organisation internationale des constructeurs d’automobiles</w:t>
      </w:r>
      <w:r w:rsidR="002F6199" w:rsidRPr="002F6199">
        <w:rPr>
          <w:rStyle w:val="Appelnotedebasdep"/>
          <w:b w:val="0"/>
          <w:bCs/>
          <w:sz w:val="20"/>
          <w:vertAlign w:val="baseline"/>
        </w:rPr>
        <w:footnoteReference w:customMarkFollows="1" w:id="2"/>
        <w:t>*</w:t>
      </w:r>
    </w:p>
    <w:p w14:paraId="65B16E15" w14:textId="77777777" w:rsidR="00627257" w:rsidRPr="00627257" w:rsidRDefault="00627257" w:rsidP="002F6199">
      <w:pPr>
        <w:pStyle w:val="SingleTxtG"/>
        <w:ind w:firstLine="567"/>
      </w:pPr>
      <w:r w:rsidRPr="00627257">
        <w:rPr>
          <w:lang w:val="fr-FR"/>
        </w:rPr>
        <w:t xml:space="preserve">Le texte ci-après, établi par l’expert de l’Organisation internationale des constructeurs d’automobiles (OICA), vise à rendre le texte du Règlement ONU </w:t>
      </w:r>
      <w:r w:rsidR="002F6199" w:rsidRPr="002F6199">
        <w:rPr>
          <w:rFonts w:eastAsia="MS Mincho"/>
          <w:szCs w:val="22"/>
          <w:lang w:val="fr-FR"/>
        </w:rPr>
        <w:t>n</w:t>
      </w:r>
      <w:r w:rsidR="002F6199" w:rsidRPr="002F6199">
        <w:rPr>
          <w:rFonts w:eastAsia="MS Mincho"/>
          <w:szCs w:val="22"/>
          <w:vertAlign w:val="superscript"/>
          <w:lang w:val="fr-FR"/>
        </w:rPr>
        <w:t>o</w:t>
      </w:r>
      <w:r w:rsidR="002F6199">
        <w:rPr>
          <w:lang w:val="fr-FR"/>
        </w:rPr>
        <w:t> </w:t>
      </w:r>
      <w:r w:rsidRPr="00627257">
        <w:rPr>
          <w:lang w:val="fr-FR"/>
        </w:rPr>
        <w:t>[162] plus cohérent. Les modifications qu’il est proposé d’apporter au texte actuel du Règlement figurent en caractères gras pour les ajouts et biffés pour les suppressions.</w:t>
      </w:r>
    </w:p>
    <w:p w14:paraId="62D90BF2" w14:textId="77777777" w:rsidR="00627257" w:rsidRPr="00627257" w:rsidRDefault="00627257" w:rsidP="00627257">
      <w:r w:rsidRPr="00627257">
        <w:br w:type="page"/>
      </w:r>
    </w:p>
    <w:p w14:paraId="3BAC2778" w14:textId="77777777" w:rsidR="00627257" w:rsidRPr="00627257" w:rsidRDefault="00627257" w:rsidP="002F6199">
      <w:pPr>
        <w:pStyle w:val="HChG"/>
        <w:rPr>
          <w:szCs w:val="28"/>
        </w:rPr>
      </w:pPr>
      <w:r w:rsidRPr="00627257">
        <w:rPr>
          <w:lang w:val="fr-FR"/>
        </w:rPr>
        <w:lastRenderedPageBreak/>
        <w:tab/>
        <w:t>I.</w:t>
      </w:r>
      <w:r w:rsidRPr="00627257">
        <w:rPr>
          <w:lang w:val="fr-FR"/>
        </w:rPr>
        <w:tab/>
        <w:t>Proposition</w:t>
      </w:r>
    </w:p>
    <w:p w14:paraId="5672F74A" w14:textId="77777777" w:rsidR="00627257" w:rsidRPr="00627257" w:rsidRDefault="00627257" w:rsidP="002F6199">
      <w:pPr>
        <w:pStyle w:val="SingleTxtG"/>
        <w:rPr>
          <w:rFonts w:eastAsia="DengXian"/>
        </w:rPr>
      </w:pPr>
      <w:r w:rsidRPr="00627257">
        <w:rPr>
          <w:i/>
          <w:iCs/>
          <w:lang w:val="fr-FR"/>
        </w:rPr>
        <w:t>Paragraphe 5.2.1.1</w:t>
      </w:r>
      <w:r w:rsidRPr="00627257">
        <w:rPr>
          <w:lang w:val="fr-FR"/>
        </w:rPr>
        <w:t>, (modification sans objet en français).</w:t>
      </w:r>
    </w:p>
    <w:p w14:paraId="1385C3C7" w14:textId="77777777" w:rsidR="00627257" w:rsidRPr="00627257" w:rsidRDefault="002F6199" w:rsidP="002F6199">
      <w:pPr>
        <w:pStyle w:val="HChG"/>
      </w:pPr>
      <w:r>
        <w:rPr>
          <w:lang w:val="fr-FR"/>
        </w:rPr>
        <w:tab/>
      </w:r>
      <w:r w:rsidR="00627257" w:rsidRPr="00627257">
        <w:rPr>
          <w:lang w:val="fr-FR"/>
        </w:rPr>
        <w:t>II.</w:t>
      </w:r>
      <w:r w:rsidR="00627257" w:rsidRPr="00627257">
        <w:rPr>
          <w:lang w:val="fr-FR"/>
        </w:rPr>
        <w:tab/>
        <w:t>Justification</w:t>
      </w:r>
    </w:p>
    <w:p w14:paraId="0DB4605E" w14:textId="77777777" w:rsidR="00627257" w:rsidRPr="00627257" w:rsidRDefault="002F6199" w:rsidP="002F6199">
      <w:pPr>
        <w:pStyle w:val="SingleTxtG"/>
      </w:pPr>
      <w:r>
        <w:rPr>
          <w:lang w:val="fr-FR"/>
        </w:rPr>
        <w:t>1.</w:t>
      </w:r>
      <w:r>
        <w:rPr>
          <w:lang w:val="fr-FR"/>
        </w:rPr>
        <w:tab/>
      </w:r>
      <w:r w:rsidR="00627257" w:rsidRPr="00627257">
        <w:rPr>
          <w:lang w:val="fr-FR"/>
        </w:rPr>
        <w:t>Les paragraphes 5.3.1.1, 5.2.13 et 8.3.1.1 du Règlement ONU n</w:t>
      </w:r>
      <w:r w:rsidR="00627257" w:rsidRPr="00627257">
        <w:rPr>
          <w:vertAlign w:val="superscript"/>
          <w:lang w:val="fr-FR"/>
        </w:rPr>
        <w:t>o</w:t>
      </w:r>
      <w:r>
        <w:rPr>
          <w:lang w:val="fr-FR"/>
        </w:rPr>
        <w:t> </w:t>
      </w:r>
      <w:r w:rsidR="00627257" w:rsidRPr="00627257">
        <w:rPr>
          <w:lang w:val="fr-FR"/>
        </w:rPr>
        <w:t>116 traitent de la même intention de protection de l’utilisation normale du véhicule, du groupe motopropulseur ou du moteur avec cependant trois formulations différentes.</w:t>
      </w:r>
    </w:p>
    <w:p w14:paraId="5BE1BD07" w14:textId="77777777" w:rsidR="00627257" w:rsidRPr="00627257" w:rsidRDefault="002F6199" w:rsidP="002F6199">
      <w:pPr>
        <w:pStyle w:val="SingleTxtG"/>
      </w:pPr>
      <w:r>
        <w:rPr>
          <w:lang w:val="fr-FR"/>
        </w:rPr>
        <w:t>2.</w:t>
      </w:r>
      <w:r>
        <w:rPr>
          <w:lang w:val="fr-FR"/>
        </w:rPr>
        <w:tab/>
      </w:r>
      <w:r w:rsidR="00627257" w:rsidRPr="00627257">
        <w:rPr>
          <w:lang w:val="fr-FR"/>
        </w:rPr>
        <w:t>La présente proposition vise à préciser la différence entre l’utilisation du moteur en tant que source d’énergie pour le déplacement et l’utilisation du moteur en tant que source d’énergie pour un autre usage (par exemple le chauffage).</w:t>
      </w:r>
    </w:p>
    <w:p w14:paraId="7E1DAF4C" w14:textId="77777777" w:rsidR="00F9573C" w:rsidRDefault="002F6199" w:rsidP="002F6199">
      <w:pPr>
        <w:pStyle w:val="SingleTxtG"/>
        <w:rPr>
          <w:lang w:val="fr-FR"/>
        </w:rPr>
      </w:pPr>
      <w:r>
        <w:rPr>
          <w:lang w:val="fr-FR"/>
        </w:rPr>
        <w:t>3.</w:t>
      </w:r>
      <w:r>
        <w:rPr>
          <w:lang w:val="fr-FR"/>
        </w:rPr>
        <w:tab/>
      </w:r>
      <w:r w:rsidR="00627257" w:rsidRPr="00627257">
        <w:rPr>
          <w:lang w:val="fr-FR"/>
        </w:rPr>
        <w:t>La proposition ci-dessus aligne le paragraphe 5.2.1.1 sur le libellé du paragraphe</w:t>
      </w:r>
      <w:r>
        <w:rPr>
          <w:lang w:val="fr-FR"/>
        </w:rPr>
        <w:t> </w:t>
      </w:r>
      <w:r w:rsidR="00627257" w:rsidRPr="00627257">
        <w:rPr>
          <w:lang w:val="fr-FR"/>
        </w:rPr>
        <w:t>5.2.13 du Règlement ONU n</w:t>
      </w:r>
      <w:r w:rsidR="00627257" w:rsidRPr="00627257">
        <w:rPr>
          <w:vertAlign w:val="superscript"/>
          <w:lang w:val="fr-FR"/>
        </w:rPr>
        <w:t>o</w:t>
      </w:r>
      <w:r>
        <w:rPr>
          <w:lang w:val="fr-FR"/>
        </w:rPr>
        <w:t> </w:t>
      </w:r>
      <w:r w:rsidR="00627257" w:rsidRPr="00627257">
        <w:rPr>
          <w:lang w:val="fr-FR"/>
        </w:rPr>
        <w:t>116 en ce qui concerne la notion d’utilisation normale de la source d’énergie principale du véhicule.</w:t>
      </w:r>
    </w:p>
    <w:p w14:paraId="53DAFD2E" w14:textId="77777777" w:rsidR="00627257" w:rsidRPr="00627257" w:rsidRDefault="00627257" w:rsidP="00627257">
      <w:pPr>
        <w:pStyle w:val="SingleTxtG"/>
        <w:spacing w:before="240" w:after="0"/>
        <w:jc w:val="center"/>
        <w:rPr>
          <w:u w:val="single"/>
        </w:rPr>
      </w:pPr>
      <w:r>
        <w:rPr>
          <w:u w:val="single"/>
        </w:rPr>
        <w:tab/>
      </w:r>
      <w:r>
        <w:rPr>
          <w:u w:val="single"/>
        </w:rPr>
        <w:tab/>
      </w:r>
      <w:r>
        <w:rPr>
          <w:u w:val="single"/>
        </w:rPr>
        <w:tab/>
      </w:r>
      <w:r w:rsidR="002F6199">
        <w:rPr>
          <w:u w:val="single"/>
        </w:rPr>
        <w:tab/>
      </w:r>
    </w:p>
    <w:sectPr w:rsidR="00627257" w:rsidRPr="00627257" w:rsidSect="006272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F9890" w14:textId="77777777" w:rsidR="00DB1C88" w:rsidRDefault="00DB1C88" w:rsidP="00F95C08">
      <w:pPr>
        <w:spacing w:line="240" w:lineRule="auto"/>
      </w:pPr>
    </w:p>
  </w:endnote>
  <w:endnote w:type="continuationSeparator" w:id="0">
    <w:p w14:paraId="75A64992" w14:textId="77777777" w:rsidR="00DB1C88" w:rsidRPr="00AC3823" w:rsidRDefault="00DB1C88" w:rsidP="00AC3823">
      <w:pPr>
        <w:pStyle w:val="Pieddepage"/>
      </w:pPr>
    </w:p>
  </w:endnote>
  <w:endnote w:type="continuationNotice" w:id="1">
    <w:p w14:paraId="3DE9F24A" w14:textId="77777777" w:rsidR="00DB1C88" w:rsidRDefault="00DB1C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715C" w14:textId="77777777" w:rsidR="00627257" w:rsidRPr="00627257" w:rsidRDefault="00627257" w:rsidP="00627257">
    <w:pPr>
      <w:pStyle w:val="Pieddepage"/>
      <w:tabs>
        <w:tab w:val="right" w:pos="9638"/>
      </w:tabs>
    </w:pPr>
    <w:r w:rsidRPr="00627257">
      <w:rPr>
        <w:b/>
        <w:sz w:val="18"/>
      </w:rPr>
      <w:fldChar w:fldCharType="begin"/>
    </w:r>
    <w:r w:rsidRPr="00627257">
      <w:rPr>
        <w:b/>
        <w:sz w:val="18"/>
      </w:rPr>
      <w:instrText xml:space="preserve"> PAGE  \* MERGEFORMAT </w:instrText>
    </w:r>
    <w:r w:rsidRPr="00627257">
      <w:rPr>
        <w:b/>
        <w:sz w:val="18"/>
      </w:rPr>
      <w:fldChar w:fldCharType="separate"/>
    </w:r>
    <w:r w:rsidRPr="00627257">
      <w:rPr>
        <w:b/>
        <w:noProof/>
        <w:sz w:val="18"/>
      </w:rPr>
      <w:t>2</w:t>
    </w:r>
    <w:r w:rsidRPr="00627257">
      <w:rPr>
        <w:b/>
        <w:sz w:val="18"/>
      </w:rPr>
      <w:fldChar w:fldCharType="end"/>
    </w:r>
    <w:r>
      <w:rPr>
        <w:b/>
        <w:sz w:val="18"/>
      </w:rPr>
      <w:tab/>
    </w:r>
    <w:r>
      <w:t>GE.21-10537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2B5D" w14:textId="77777777" w:rsidR="00627257" w:rsidRPr="00627257" w:rsidRDefault="00627257" w:rsidP="00627257">
    <w:pPr>
      <w:pStyle w:val="Pieddepage"/>
      <w:tabs>
        <w:tab w:val="right" w:pos="9638"/>
      </w:tabs>
      <w:rPr>
        <w:b/>
        <w:sz w:val="18"/>
      </w:rPr>
    </w:pPr>
    <w:r>
      <w:t>GE.21-10537</w:t>
    </w:r>
    <w:r>
      <w:tab/>
    </w:r>
    <w:r w:rsidRPr="00627257">
      <w:rPr>
        <w:b/>
        <w:sz w:val="18"/>
      </w:rPr>
      <w:fldChar w:fldCharType="begin"/>
    </w:r>
    <w:r w:rsidRPr="00627257">
      <w:rPr>
        <w:b/>
        <w:sz w:val="18"/>
      </w:rPr>
      <w:instrText xml:space="preserve"> PAGE  \* MERGEFORMAT </w:instrText>
    </w:r>
    <w:r w:rsidRPr="00627257">
      <w:rPr>
        <w:b/>
        <w:sz w:val="18"/>
      </w:rPr>
      <w:fldChar w:fldCharType="separate"/>
    </w:r>
    <w:r w:rsidRPr="00627257">
      <w:rPr>
        <w:b/>
        <w:noProof/>
        <w:sz w:val="18"/>
      </w:rPr>
      <w:t>3</w:t>
    </w:r>
    <w:r w:rsidRPr="006272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95EB" w14:textId="77777777" w:rsidR="007F20FA" w:rsidRPr="00627257" w:rsidRDefault="00627257" w:rsidP="0062725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AADBA24" wp14:editId="75CAE6F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21-10537  (F)</w:t>
    </w:r>
    <w:r>
      <w:rPr>
        <w:noProof/>
        <w:sz w:val="20"/>
      </w:rPr>
      <w:drawing>
        <wp:anchor distT="0" distB="0" distL="114300" distR="114300" simplePos="0" relativeHeight="251660288" behindDoc="0" locked="0" layoutInCell="1" allowOverlap="1" wp14:anchorId="04A4BA8D" wp14:editId="3E956A98">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200821    230821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DBD66" w14:textId="77777777" w:rsidR="00DB1C88" w:rsidRPr="00AC3823" w:rsidRDefault="00DB1C88" w:rsidP="00AC3823">
      <w:pPr>
        <w:pStyle w:val="Pieddepage"/>
        <w:tabs>
          <w:tab w:val="right" w:pos="2155"/>
        </w:tabs>
        <w:spacing w:after="80" w:line="240" w:lineRule="atLeast"/>
        <w:ind w:left="680"/>
        <w:rPr>
          <w:u w:val="single"/>
        </w:rPr>
      </w:pPr>
      <w:r>
        <w:rPr>
          <w:u w:val="single"/>
        </w:rPr>
        <w:tab/>
      </w:r>
    </w:p>
  </w:footnote>
  <w:footnote w:type="continuationSeparator" w:id="0">
    <w:p w14:paraId="2CCCAAEB" w14:textId="77777777" w:rsidR="00DB1C88" w:rsidRPr="00AC3823" w:rsidRDefault="00DB1C88" w:rsidP="00AC3823">
      <w:pPr>
        <w:pStyle w:val="Pieddepage"/>
        <w:tabs>
          <w:tab w:val="right" w:pos="2155"/>
        </w:tabs>
        <w:spacing w:after="80" w:line="240" w:lineRule="atLeast"/>
        <w:ind w:left="680"/>
        <w:rPr>
          <w:u w:val="single"/>
        </w:rPr>
      </w:pPr>
      <w:r>
        <w:rPr>
          <w:u w:val="single"/>
        </w:rPr>
        <w:tab/>
      </w:r>
    </w:p>
  </w:footnote>
  <w:footnote w:type="continuationNotice" w:id="1">
    <w:p w14:paraId="377030E1" w14:textId="77777777" w:rsidR="00DB1C88" w:rsidRPr="00AC3823" w:rsidRDefault="00DB1C88">
      <w:pPr>
        <w:spacing w:line="240" w:lineRule="auto"/>
        <w:rPr>
          <w:sz w:val="2"/>
          <w:szCs w:val="2"/>
        </w:rPr>
      </w:pPr>
    </w:p>
  </w:footnote>
  <w:footnote w:id="2">
    <w:p w14:paraId="05272BFA" w14:textId="77777777" w:rsidR="002F6199" w:rsidRPr="002F6199" w:rsidRDefault="002F6199">
      <w:pPr>
        <w:pStyle w:val="Notedebasdepage"/>
      </w:pPr>
      <w:r>
        <w:rPr>
          <w:rStyle w:val="Appelnotedebasdep"/>
        </w:rPr>
        <w:tab/>
      </w:r>
      <w:r w:rsidRPr="002F6199">
        <w:rPr>
          <w:rStyle w:val="Appelnotedebasdep"/>
          <w:sz w:val="20"/>
          <w:vertAlign w:val="baseline"/>
        </w:rPr>
        <w:t>*</w:t>
      </w:r>
      <w:r>
        <w:rPr>
          <w:rStyle w:val="Appelnotedebasdep"/>
          <w:sz w:val="20"/>
          <w:vertAlign w:val="baseline"/>
        </w:rPr>
        <w:tab/>
      </w:r>
      <w:r w:rsidRPr="00271A26">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A821" w14:textId="6EEFD6EB" w:rsidR="00627257" w:rsidRPr="00627257" w:rsidRDefault="00627257">
    <w:pPr>
      <w:pStyle w:val="En-tte"/>
    </w:pPr>
    <w:fldSimple w:instr=" TITLE  \* MERGEFORMAT ">
      <w:r w:rsidR="00FA546E">
        <w:t>ECE/TRANS/WP.29/GRSG/2021/29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C792" w14:textId="792399E3" w:rsidR="00627257" w:rsidRPr="00627257" w:rsidRDefault="00627257" w:rsidP="00627257">
    <w:pPr>
      <w:pStyle w:val="En-tte"/>
      <w:jc w:val="right"/>
    </w:pPr>
    <w:fldSimple w:instr=" TITLE  \* MERGEFORMAT ">
      <w:r w:rsidR="00FA546E">
        <w:t>ECE/TRANS/WP.29/GRSG/2021/29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88"/>
    <w:rsid w:val="00017F94"/>
    <w:rsid w:val="00023842"/>
    <w:rsid w:val="000334F9"/>
    <w:rsid w:val="0004065B"/>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2F6199"/>
    <w:rsid w:val="00305801"/>
    <w:rsid w:val="003916DE"/>
    <w:rsid w:val="00421996"/>
    <w:rsid w:val="00441C3B"/>
    <w:rsid w:val="00446FE5"/>
    <w:rsid w:val="00452396"/>
    <w:rsid w:val="00477EB2"/>
    <w:rsid w:val="004837D8"/>
    <w:rsid w:val="004E2EED"/>
    <w:rsid w:val="004E468C"/>
    <w:rsid w:val="00521753"/>
    <w:rsid w:val="005505B7"/>
    <w:rsid w:val="00573BE5"/>
    <w:rsid w:val="00586ED3"/>
    <w:rsid w:val="00596AA9"/>
    <w:rsid w:val="00627257"/>
    <w:rsid w:val="00637ADA"/>
    <w:rsid w:val="0071601D"/>
    <w:rsid w:val="007A62E6"/>
    <w:rsid w:val="007F20FA"/>
    <w:rsid w:val="0080684C"/>
    <w:rsid w:val="008267BB"/>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B1C88"/>
    <w:rsid w:val="00DD3BFD"/>
    <w:rsid w:val="00DF6678"/>
    <w:rsid w:val="00E0299A"/>
    <w:rsid w:val="00E85C74"/>
    <w:rsid w:val="00EA6547"/>
    <w:rsid w:val="00ED7237"/>
    <w:rsid w:val="00EF2E22"/>
    <w:rsid w:val="00F35BAF"/>
    <w:rsid w:val="00F660DF"/>
    <w:rsid w:val="00F94664"/>
    <w:rsid w:val="00F9573C"/>
    <w:rsid w:val="00F95C08"/>
    <w:rsid w:val="00FA546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65C5DA"/>
  <w15:docId w15:val="{2CCE6CA3-87B3-45CE-85F8-0BC4D597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BC455-3F48-413C-A3EA-EAFB5ADCF0EE}"/>
</file>

<file path=customXml/itemProps2.xml><?xml version="1.0" encoding="utf-8"?>
<ds:datastoreItem xmlns:ds="http://schemas.openxmlformats.org/officeDocument/2006/customXml" ds:itemID="{DB50F496-6075-495D-9294-78159AC6B4FE}"/>
</file>

<file path=customXml/itemProps3.xml><?xml version="1.0" encoding="utf-8"?>
<ds:datastoreItem xmlns:ds="http://schemas.openxmlformats.org/officeDocument/2006/customXml" ds:itemID="{C86B8D36-0249-4F0E-96AF-65137ABF188D}"/>
</file>

<file path=docProps/app.xml><?xml version="1.0" encoding="utf-8"?>
<Properties xmlns="http://schemas.openxmlformats.org/officeDocument/2006/extended-properties" xmlns:vt="http://schemas.openxmlformats.org/officeDocument/2006/docPropsVTypes">
  <Template>ECE_TRANS.dotm</Template>
  <TotalTime>2</TotalTime>
  <Pages>2</Pages>
  <Words>244</Words>
  <Characters>1710</Characters>
  <Application>Microsoft Office Word</Application>
  <DocSecurity>0</DocSecurity>
  <Lines>142</Lines>
  <Paragraphs>78</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ECE/TRANS/WP.29/GRSG/2021/29</vt:lpstr>
      <vt:lpstr>    Proposition d’amendements au Règlement ONU no [162] (Dispositifs d’immobilisat</vt:lpstr>
      <vt:lpstr>        Communication de l’expert de l’Organisation internationale des constructeurs d</vt:lpstr>
      <vt:lpstr>    I.	Proposition</vt:lpstr>
      <vt:lpstr>    II.	Justification</vt:lpstr>
    </vt:vector>
  </TitlesOfParts>
  <Company>DCM</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ECE/TRANS/WP.29/GRSG/2021/29</dc:title>
  <dc:subject/>
  <dc:creator>Valerie BERTIN</dc:creator>
  <cp:keywords/>
  <cp:lastModifiedBy>Valerie Bertin</cp:lastModifiedBy>
  <cp:revision>3</cp:revision>
  <cp:lastPrinted>2021-08-23T06:45:00Z</cp:lastPrinted>
  <dcterms:created xsi:type="dcterms:W3CDTF">2021-08-23T06:45:00Z</dcterms:created>
  <dcterms:modified xsi:type="dcterms:W3CDTF">2021-08-23T06:47:00Z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