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E630F4" w:rsidRPr="00E630F4" w14:paraId="4F8DB8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66926F" w14:textId="77777777" w:rsidR="002D5AAC" w:rsidRPr="00E630F4" w:rsidRDefault="002D5AAC" w:rsidP="00E63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0C6784" w14:textId="77777777" w:rsidR="002D5AAC" w:rsidRPr="00E630F4" w:rsidRDefault="00DF71B9" w:rsidP="00E630F4">
            <w:pPr>
              <w:spacing w:after="80" w:line="300" w:lineRule="exact"/>
              <w:rPr>
                <w:sz w:val="28"/>
              </w:rPr>
            </w:pPr>
            <w:r w:rsidRPr="00E630F4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EC1FD2" w14:textId="3FFFE25B" w:rsidR="002D5AAC" w:rsidRPr="00E630F4" w:rsidRDefault="00E630F4" w:rsidP="00E630F4">
            <w:pPr>
              <w:jc w:val="right"/>
            </w:pPr>
            <w:r w:rsidRPr="00E630F4">
              <w:rPr>
                <w:sz w:val="40"/>
              </w:rPr>
              <w:t>ECE</w:t>
            </w:r>
            <w:r w:rsidRPr="00E630F4">
              <w:t>/TRANS/WP.29/GRSG/2021/19</w:t>
            </w:r>
          </w:p>
        </w:tc>
      </w:tr>
      <w:tr w:rsidR="00E630F4" w:rsidRPr="00E630F4" w14:paraId="15B9434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EE877E" w14:textId="77777777" w:rsidR="002D5AAC" w:rsidRPr="00E630F4" w:rsidRDefault="002E5067" w:rsidP="00E630F4">
            <w:pPr>
              <w:spacing w:before="120"/>
              <w:jc w:val="center"/>
            </w:pPr>
            <w:r w:rsidRPr="00E630F4">
              <w:rPr>
                <w:noProof/>
                <w:lang w:val="fr-CH" w:eastAsia="fr-CH"/>
              </w:rPr>
              <w:drawing>
                <wp:inline distT="0" distB="0" distL="0" distR="0" wp14:anchorId="1E556905" wp14:editId="4DAAB3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D0A710" w14:textId="77777777" w:rsidR="002D5AAC" w:rsidRPr="00E630F4" w:rsidRDefault="008A37C8" w:rsidP="00E630F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E630F4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E630F4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D816C2" w14:textId="77777777" w:rsidR="002D5AAC" w:rsidRPr="00E630F4" w:rsidRDefault="00E630F4" w:rsidP="00E630F4">
            <w:pPr>
              <w:spacing w:before="240"/>
              <w:rPr>
                <w:lang w:val="en-US"/>
              </w:rPr>
            </w:pPr>
            <w:r w:rsidRPr="00E630F4">
              <w:rPr>
                <w:lang w:val="en-US"/>
              </w:rPr>
              <w:t>Distr.: General</w:t>
            </w:r>
          </w:p>
          <w:p w14:paraId="736406BD" w14:textId="77777777" w:rsidR="00E630F4" w:rsidRPr="00E630F4" w:rsidRDefault="00E630F4" w:rsidP="00E630F4">
            <w:pPr>
              <w:spacing w:line="240" w:lineRule="exact"/>
              <w:rPr>
                <w:lang w:val="en-US"/>
              </w:rPr>
            </w:pPr>
            <w:r w:rsidRPr="00E630F4">
              <w:rPr>
                <w:lang w:val="en-US"/>
              </w:rPr>
              <w:t>30 July 2021</w:t>
            </w:r>
          </w:p>
          <w:p w14:paraId="0B865E7F" w14:textId="77777777" w:rsidR="00E630F4" w:rsidRPr="00E630F4" w:rsidRDefault="00E630F4" w:rsidP="00E630F4">
            <w:pPr>
              <w:spacing w:line="240" w:lineRule="exact"/>
              <w:rPr>
                <w:lang w:val="en-US"/>
              </w:rPr>
            </w:pPr>
            <w:r w:rsidRPr="00E630F4">
              <w:rPr>
                <w:lang w:val="en-US"/>
              </w:rPr>
              <w:t>Russian</w:t>
            </w:r>
          </w:p>
          <w:p w14:paraId="0EA61D28" w14:textId="0D58D574" w:rsidR="00E630F4" w:rsidRPr="00E630F4" w:rsidRDefault="00E630F4" w:rsidP="00E630F4">
            <w:pPr>
              <w:spacing w:line="240" w:lineRule="exact"/>
              <w:rPr>
                <w:lang w:val="en-US"/>
              </w:rPr>
            </w:pPr>
            <w:r w:rsidRPr="00E630F4">
              <w:rPr>
                <w:lang w:val="en-US"/>
              </w:rPr>
              <w:t>Original: English</w:t>
            </w:r>
          </w:p>
        </w:tc>
      </w:tr>
    </w:tbl>
    <w:p w14:paraId="7F55BF2B" w14:textId="77777777" w:rsidR="008A37C8" w:rsidRPr="00E630F4" w:rsidRDefault="008A37C8" w:rsidP="00E630F4">
      <w:pPr>
        <w:spacing w:before="120"/>
        <w:rPr>
          <w:b/>
          <w:sz w:val="28"/>
          <w:szCs w:val="28"/>
        </w:rPr>
      </w:pPr>
      <w:r w:rsidRPr="00E630F4">
        <w:rPr>
          <w:b/>
          <w:sz w:val="28"/>
          <w:szCs w:val="28"/>
        </w:rPr>
        <w:t>Европейская экономическая комиссия</w:t>
      </w:r>
    </w:p>
    <w:p w14:paraId="62A2C673" w14:textId="77777777" w:rsidR="00E630F4" w:rsidRPr="00E630F4" w:rsidRDefault="00E630F4" w:rsidP="00E630F4">
      <w:pPr>
        <w:spacing w:before="120" w:after="120"/>
        <w:rPr>
          <w:sz w:val="28"/>
          <w:szCs w:val="28"/>
        </w:rPr>
      </w:pPr>
      <w:r w:rsidRPr="00E630F4">
        <w:rPr>
          <w:sz w:val="28"/>
          <w:szCs w:val="28"/>
        </w:rPr>
        <w:t>Комитет по внутреннему транспорту</w:t>
      </w:r>
    </w:p>
    <w:p w14:paraId="19A4171A" w14:textId="77777777" w:rsidR="00E630F4" w:rsidRPr="00E630F4" w:rsidRDefault="00E630F4" w:rsidP="00E630F4">
      <w:pPr>
        <w:spacing w:before="120" w:after="120"/>
        <w:rPr>
          <w:b/>
          <w:sz w:val="24"/>
          <w:szCs w:val="24"/>
        </w:rPr>
      </w:pPr>
      <w:r w:rsidRPr="00E630F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630F4">
        <w:rPr>
          <w:b/>
          <w:bCs/>
          <w:sz w:val="24"/>
          <w:szCs w:val="24"/>
        </w:rPr>
        <w:br/>
        <w:t>в области транспортных средств</w:t>
      </w:r>
    </w:p>
    <w:p w14:paraId="4716F472" w14:textId="77777777" w:rsidR="00E630F4" w:rsidRPr="00E630F4" w:rsidRDefault="00E630F4" w:rsidP="00E630F4">
      <w:pPr>
        <w:spacing w:before="120" w:after="120"/>
        <w:rPr>
          <w:b/>
        </w:rPr>
      </w:pPr>
      <w:r w:rsidRPr="00E630F4">
        <w:rPr>
          <w:b/>
          <w:bCs/>
        </w:rPr>
        <w:t xml:space="preserve">Рабочая группа по общим предписаниям, </w:t>
      </w:r>
      <w:r w:rsidRPr="00E630F4">
        <w:rPr>
          <w:b/>
          <w:bCs/>
        </w:rPr>
        <w:br/>
        <w:t>касающимся безопасности</w:t>
      </w:r>
    </w:p>
    <w:p w14:paraId="56AC9580" w14:textId="77777777" w:rsidR="00E630F4" w:rsidRPr="00E630F4" w:rsidRDefault="00E630F4" w:rsidP="00E630F4">
      <w:pPr>
        <w:spacing w:before="120"/>
        <w:rPr>
          <w:rFonts w:asciiTheme="majorBidi" w:hAnsiTheme="majorBidi" w:cstheme="majorBidi"/>
          <w:b/>
        </w:rPr>
      </w:pPr>
      <w:r w:rsidRPr="00E630F4">
        <w:rPr>
          <w:b/>
          <w:bCs/>
        </w:rPr>
        <w:t>122-я сессия</w:t>
      </w:r>
    </w:p>
    <w:p w14:paraId="35F03268" w14:textId="77777777" w:rsidR="00E630F4" w:rsidRPr="00E630F4" w:rsidRDefault="00E630F4" w:rsidP="00E630F4">
      <w:pPr>
        <w:rPr>
          <w:rFonts w:asciiTheme="majorBidi" w:hAnsiTheme="majorBidi" w:cstheme="majorBidi"/>
        </w:rPr>
      </w:pPr>
      <w:r w:rsidRPr="00E630F4">
        <w:t>Женева, 12–15 октября 2021 года</w:t>
      </w:r>
    </w:p>
    <w:p w14:paraId="281B49F4" w14:textId="7D3E34AB" w:rsidR="00E630F4" w:rsidRPr="00E630F4" w:rsidRDefault="00E630F4" w:rsidP="00E630F4">
      <w:pPr>
        <w:rPr>
          <w:b/>
        </w:rPr>
      </w:pPr>
      <w:r w:rsidRPr="00E630F4">
        <w:t>Пункт 5 предварительной повестки дня</w:t>
      </w:r>
      <w:r w:rsidRPr="00E630F4">
        <w:br/>
      </w:r>
      <w:r w:rsidRPr="00E630F4">
        <w:rPr>
          <w:b/>
        </w:rPr>
        <w:t xml:space="preserve">Правила № 34 ООН </w:t>
      </w:r>
      <w:r w:rsidR="00360A52">
        <w:rPr>
          <w:b/>
        </w:rPr>
        <w:br/>
      </w:r>
      <w:r w:rsidRPr="00E630F4">
        <w:rPr>
          <w:b/>
        </w:rPr>
        <w:t>(</w:t>
      </w:r>
      <w:r w:rsidRPr="00E630F4">
        <w:rPr>
          <w:b/>
          <w:bCs/>
        </w:rPr>
        <w:t xml:space="preserve">предотвращение опасности </w:t>
      </w:r>
      <w:r w:rsidR="00360A52">
        <w:rPr>
          <w:b/>
          <w:bCs/>
        </w:rPr>
        <w:br/>
      </w:r>
      <w:r w:rsidRPr="00E630F4">
        <w:rPr>
          <w:b/>
          <w:bCs/>
        </w:rPr>
        <w:t>возникновения пожара</w:t>
      </w:r>
      <w:r w:rsidRPr="00E630F4">
        <w:rPr>
          <w:b/>
        </w:rPr>
        <w:t>)</w:t>
      </w:r>
    </w:p>
    <w:p w14:paraId="39F0EAD6" w14:textId="734A2258" w:rsidR="00E630F4" w:rsidRPr="00E630F4" w:rsidRDefault="00E630F4" w:rsidP="00E630F4">
      <w:pPr>
        <w:pStyle w:val="HChG"/>
      </w:pPr>
      <w:r w:rsidRPr="00E630F4">
        <w:tab/>
      </w:r>
      <w:r w:rsidRPr="00E630F4">
        <w:tab/>
      </w:r>
      <w:r w:rsidRPr="00E630F4">
        <w:tab/>
        <w:t xml:space="preserve">Предложение по дополнению 3 к поправкам серии 03 </w:t>
      </w:r>
      <w:r w:rsidRPr="00E630F4">
        <w:br/>
      </w:r>
      <w:r w:rsidRPr="00E630F4">
        <w:t>к Правилам № 34 ООН</w:t>
      </w:r>
    </w:p>
    <w:p w14:paraId="6A6DDB5F" w14:textId="77777777" w:rsidR="00E630F4" w:rsidRPr="00E630F4" w:rsidRDefault="00E630F4" w:rsidP="00E630F4">
      <w:pPr>
        <w:pStyle w:val="H1G"/>
      </w:pPr>
      <w:r w:rsidRPr="00E630F4">
        <w:tab/>
      </w:r>
      <w:r w:rsidRPr="00E630F4">
        <w:tab/>
        <w:t>Представлено экспертом от Международной организации предприятий автомобильной промышленности</w:t>
      </w:r>
      <w:r w:rsidRPr="00E630F4">
        <w:rPr>
          <w:b w:val="0"/>
          <w:sz w:val="20"/>
        </w:rPr>
        <w:footnoteReference w:customMarkFollows="1" w:id="1"/>
        <w:t>*</w:t>
      </w:r>
    </w:p>
    <w:p w14:paraId="13005280" w14:textId="77777777" w:rsidR="00E630F4" w:rsidRPr="00E630F4" w:rsidRDefault="00E630F4" w:rsidP="00E630F4">
      <w:pPr>
        <w:pStyle w:val="SingleTxtG"/>
        <w:rPr>
          <w:sz w:val="21"/>
          <w:szCs w:val="21"/>
          <w:shd w:val="clear" w:color="auto" w:fill="FFFFFF"/>
        </w:rPr>
      </w:pPr>
      <w:r w:rsidRPr="00E630F4">
        <w:tab/>
      </w:r>
      <w:r w:rsidRPr="00E630F4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исключения категорий </w:t>
      </w:r>
      <w:r w:rsidRPr="00E630F4">
        <w:rPr>
          <w:szCs w:val="23"/>
        </w:rPr>
        <w:t>M</w:t>
      </w:r>
      <w:r w:rsidRPr="00E630F4">
        <w:rPr>
          <w:szCs w:val="23"/>
          <w:vertAlign w:val="subscript"/>
        </w:rPr>
        <w:t>1</w:t>
      </w:r>
      <w:r w:rsidRPr="00E630F4">
        <w:rPr>
          <w:szCs w:val="23"/>
        </w:rPr>
        <w:t xml:space="preserve"> из N</w:t>
      </w:r>
      <w:r w:rsidRPr="00E630F4">
        <w:rPr>
          <w:szCs w:val="23"/>
          <w:vertAlign w:val="subscript"/>
        </w:rPr>
        <w:t xml:space="preserve">1 </w:t>
      </w:r>
      <w:r w:rsidRPr="00E630F4">
        <w:rPr>
          <w:sz w:val="19"/>
        </w:rPr>
        <w:t xml:space="preserve">из области применения Правил во избежание дублирования положений правил № </w:t>
      </w:r>
      <w:r w:rsidRPr="00E630F4">
        <w:rPr>
          <w:szCs w:val="23"/>
        </w:rPr>
        <w:t xml:space="preserve">94, 95 и 153 ООН. В его основу положен неофициальный документ </w:t>
      </w:r>
      <w:r w:rsidRPr="00E630F4">
        <w:t xml:space="preserve">GRSG-121-41. </w:t>
      </w:r>
      <w:r w:rsidRPr="00E630F4">
        <w:rPr>
          <w:sz w:val="21"/>
          <w:szCs w:val="21"/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1385BE3B" w14:textId="202DAADB" w:rsidR="00E630F4" w:rsidRPr="00E630F4" w:rsidRDefault="00E630F4" w:rsidP="00E630F4">
      <w:pPr>
        <w:pStyle w:val="SingleTxtG"/>
        <w:rPr>
          <w:rFonts w:asciiTheme="majorBidi" w:hAnsiTheme="majorBidi" w:cstheme="majorBidi"/>
        </w:rPr>
      </w:pPr>
      <w:r w:rsidRPr="00E630F4">
        <w:rPr>
          <w:rFonts w:asciiTheme="majorBidi" w:hAnsiTheme="majorBidi" w:cstheme="majorBidi"/>
        </w:rPr>
        <w:br w:type="page"/>
      </w:r>
    </w:p>
    <w:p w14:paraId="0CDF946F" w14:textId="77777777" w:rsidR="00E630F4" w:rsidRPr="00E630F4" w:rsidRDefault="00E630F4" w:rsidP="00E630F4">
      <w:pPr>
        <w:pStyle w:val="HChG"/>
        <w:rPr>
          <w:rFonts w:asciiTheme="majorBidi" w:hAnsiTheme="majorBidi" w:cstheme="majorBidi"/>
          <w:b w:val="0"/>
          <w:szCs w:val="28"/>
        </w:rPr>
      </w:pPr>
      <w:r w:rsidRPr="00E630F4">
        <w:rPr>
          <w:rFonts w:asciiTheme="majorBidi" w:hAnsiTheme="majorBidi" w:cstheme="majorBidi"/>
          <w:szCs w:val="28"/>
        </w:rPr>
        <w:lastRenderedPageBreak/>
        <w:tab/>
        <w:t>I.</w:t>
      </w:r>
      <w:r w:rsidRPr="00E630F4">
        <w:rPr>
          <w:rFonts w:asciiTheme="majorBidi" w:hAnsiTheme="majorBidi" w:cstheme="majorBidi"/>
          <w:szCs w:val="28"/>
        </w:rPr>
        <w:tab/>
        <w:t>Предложение</w:t>
      </w:r>
    </w:p>
    <w:p w14:paraId="784E263C" w14:textId="77777777" w:rsidR="00E630F4" w:rsidRPr="00E630F4" w:rsidRDefault="00E630F4" w:rsidP="00E630F4">
      <w:pPr>
        <w:pStyle w:val="SingleTxtG"/>
        <w:rPr>
          <w:bCs/>
        </w:rPr>
      </w:pPr>
      <w:r w:rsidRPr="00E630F4">
        <w:rPr>
          <w:i/>
        </w:rPr>
        <w:t xml:space="preserve">Пункт 1 </w:t>
      </w:r>
      <w:r w:rsidRPr="00E630F4">
        <w:t>изменить следующим образом (сноска остается без изменений):</w:t>
      </w:r>
    </w:p>
    <w:p w14:paraId="691DC9AD" w14:textId="76C00C7B" w:rsidR="00E630F4" w:rsidRPr="00E630F4" w:rsidRDefault="00E630F4" w:rsidP="00E630F4">
      <w:pPr>
        <w:pStyle w:val="SingleTxtG"/>
        <w:ind w:left="2268" w:hanging="1134"/>
        <w:rPr>
          <w:b/>
          <w:bCs/>
        </w:rPr>
      </w:pPr>
      <w:r w:rsidRPr="00E630F4">
        <w:t>«</w:t>
      </w:r>
      <w:r w:rsidRPr="00E630F4">
        <w:rPr>
          <w:b/>
          <w:bCs/>
        </w:rPr>
        <w:t>1.</w:t>
      </w:r>
      <w:r w:rsidRPr="00E630F4">
        <w:rPr>
          <w:b/>
          <w:bCs/>
        </w:rPr>
        <w:tab/>
      </w:r>
      <w:r w:rsidRPr="00E630F4">
        <w:rPr>
          <w:b/>
          <w:bCs/>
        </w:rPr>
        <w:tab/>
      </w:r>
      <w:r w:rsidRPr="00E630F4">
        <w:rPr>
          <w:b/>
          <w:bCs/>
        </w:rPr>
        <w:t>Область применения</w:t>
      </w:r>
    </w:p>
    <w:p w14:paraId="36CED1AF" w14:textId="26DFE77A" w:rsidR="00E630F4" w:rsidRPr="00E630F4" w:rsidRDefault="00E630F4" w:rsidP="00E630F4">
      <w:pPr>
        <w:pStyle w:val="SingleTxtG"/>
        <w:ind w:left="1701"/>
      </w:pPr>
      <w:r w:rsidRPr="00E630F4">
        <w:rPr>
          <w:bCs/>
        </w:rPr>
        <w:tab/>
      </w:r>
      <w:r w:rsidRPr="00E630F4">
        <w:t>Настоящие Правила применяются:</w:t>
      </w:r>
    </w:p>
    <w:p w14:paraId="374EE644" w14:textId="1FC0E13D" w:rsidR="00E630F4" w:rsidRPr="00E630F4" w:rsidRDefault="00E630F4" w:rsidP="00E630F4">
      <w:pPr>
        <w:pStyle w:val="SingleTxtG"/>
        <w:ind w:left="2268" w:hanging="1134"/>
        <w:rPr>
          <w:bCs/>
        </w:rPr>
      </w:pPr>
      <w:r w:rsidRPr="00E630F4">
        <w:t>1.1</w:t>
      </w:r>
      <w:r w:rsidRPr="00E630F4">
        <w:tab/>
      </w:r>
      <w:r w:rsidRPr="00E630F4">
        <w:tab/>
        <w:t>Часть I: к официальному утверждению транспортных средств категорий</w:t>
      </w:r>
      <w:r>
        <w:rPr>
          <w:lang w:val="fr-CH"/>
        </w:rPr>
        <w:t> </w:t>
      </w:r>
      <w:r w:rsidRPr="00E630F4">
        <w:t>М, N и</w:t>
      </w:r>
      <w:r w:rsidRPr="00E630F4">
        <w:rPr>
          <w:bCs/>
        </w:rPr>
        <w:t xml:space="preserve"> O* </w:t>
      </w:r>
      <w:r w:rsidRPr="00E630F4">
        <w:t>в отношении бака(ов) для жидкого топлива</w:t>
      </w:r>
      <w:r w:rsidRPr="00E630F4">
        <w:rPr>
          <w:bCs/>
        </w:rPr>
        <w:t>.</w:t>
      </w:r>
    </w:p>
    <w:p w14:paraId="68E48150" w14:textId="1A736E20" w:rsidR="00E630F4" w:rsidRPr="00E630F4" w:rsidRDefault="00E630F4" w:rsidP="00E630F4">
      <w:pPr>
        <w:pStyle w:val="SingleTxtG"/>
        <w:ind w:left="2268" w:hanging="1134"/>
        <w:rPr>
          <w:bCs/>
        </w:rPr>
      </w:pPr>
      <w:r w:rsidRPr="00E630F4">
        <w:t>1.2</w:t>
      </w:r>
      <w:r w:rsidRPr="00E630F4">
        <w:tab/>
      </w:r>
      <w:r w:rsidRPr="00E630F4">
        <w:tab/>
        <w:t>Часть II</w:t>
      </w:r>
      <w:r w:rsidRPr="00E630F4">
        <w:rPr>
          <w:strike/>
        </w:rPr>
        <w:t>-1</w:t>
      </w:r>
      <w:r w:rsidRPr="00E630F4">
        <w:t xml:space="preserve">: по просьбе изготовителя к официальному утверждению транспортных средств категорий </w:t>
      </w:r>
      <w:r w:rsidRPr="00E630F4">
        <w:rPr>
          <w:strike/>
        </w:rPr>
        <w:t>M, N</w:t>
      </w:r>
      <w:r w:rsidRPr="00E630F4">
        <w:t xml:space="preserve"> </w:t>
      </w:r>
      <w:r w:rsidRPr="00E630F4">
        <w:rPr>
          <w:b/>
          <w:bCs/>
        </w:rPr>
        <w:t>M</w:t>
      </w:r>
      <w:r w:rsidRPr="00E630F4">
        <w:rPr>
          <w:b/>
          <w:bCs/>
          <w:vertAlign w:val="subscript"/>
        </w:rPr>
        <w:t>2</w:t>
      </w:r>
      <w:r w:rsidRPr="00E630F4">
        <w:rPr>
          <w:b/>
          <w:bCs/>
        </w:rPr>
        <w:t>, M</w:t>
      </w:r>
      <w:r w:rsidRPr="00E630F4">
        <w:rPr>
          <w:b/>
          <w:bCs/>
          <w:vertAlign w:val="subscript"/>
        </w:rPr>
        <w:t>3</w:t>
      </w:r>
      <w:r w:rsidRPr="00E630F4">
        <w:rPr>
          <w:b/>
          <w:bCs/>
        </w:rPr>
        <w:t>, N</w:t>
      </w:r>
      <w:r w:rsidRPr="00E630F4">
        <w:rPr>
          <w:b/>
          <w:bCs/>
          <w:vertAlign w:val="subscript"/>
        </w:rPr>
        <w:t>2</w:t>
      </w:r>
      <w:r w:rsidRPr="00E630F4">
        <w:rPr>
          <w:b/>
          <w:bCs/>
        </w:rPr>
        <w:t>, N</w:t>
      </w:r>
      <w:r w:rsidRPr="00E630F4">
        <w:rPr>
          <w:b/>
          <w:bCs/>
          <w:vertAlign w:val="subscript"/>
        </w:rPr>
        <w:t xml:space="preserve">3 </w:t>
      </w:r>
      <w:r w:rsidRPr="00E630F4">
        <w:t xml:space="preserve">и O, официально утвержденных на основании части I или IV настоящих Правил и оснащенных баком(ами) для жидкого топлива, в отношении предотвращения опасности возникновения пожара в случае лобового </w:t>
      </w:r>
      <w:r w:rsidRPr="00E630F4">
        <w:rPr>
          <w:strike/>
        </w:rPr>
        <w:t>и/или бокового столкновения, а также к официальному утверждению транспортных средств категорий М</w:t>
      </w:r>
      <w:r w:rsidRPr="00E630F4">
        <w:rPr>
          <w:strike/>
          <w:vertAlign w:val="subscript"/>
        </w:rPr>
        <w:t>1</w:t>
      </w:r>
      <w:r w:rsidRPr="00E630F4">
        <w:rPr>
          <w:strike/>
        </w:rPr>
        <w:t xml:space="preserve"> и N</w:t>
      </w:r>
      <w:r w:rsidRPr="00E630F4">
        <w:rPr>
          <w:strike/>
          <w:vertAlign w:val="subscript"/>
        </w:rPr>
        <w:t>1</w:t>
      </w:r>
      <w:r w:rsidRPr="00E630F4">
        <w:rPr>
          <w:strike/>
        </w:rPr>
        <w:t>, общая допустимая масса которых превышает 2,8 т, и категорий М</w:t>
      </w:r>
      <w:r w:rsidRPr="00E630F4">
        <w:rPr>
          <w:strike/>
          <w:vertAlign w:val="subscript"/>
        </w:rPr>
        <w:t>2</w:t>
      </w:r>
      <w:r w:rsidRPr="00E630F4">
        <w:rPr>
          <w:strike/>
        </w:rPr>
        <w:t>, M</w:t>
      </w:r>
      <w:r w:rsidRPr="00E630F4">
        <w:rPr>
          <w:strike/>
          <w:vertAlign w:val="subscript"/>
        </w:rPr>
        <w:t>3</w:t>
      </w:r>
      <w:r w:rsidRPr="00E630F4">
        <w:rPr>
          <w:strike/>
        </w:rPr>
        <w:t>, N</w:t>
      </w:r>
      <w:r w:rsidRPr="00E630F4">
        <w:rPr>
          <w:strike/>
          <w:vertAlign w:val="subscript"/>
        </w:rPr>
        <w:t>2</w:t>
      </w:r>
      <w:r w:rsidRPr="00E630F4">
        <w:rPr>
          <w:strike/>
        </w:rPr>
        <w:t>, N</w:t>
      </w:r>
      <w:r w:rsidRPr="00E630F4">
        <w:rPr>
          <w:strike/>
          <w:vertAlign w:val="subscript"/>
        </w:rPr>
        <w:t>3</w:t>
      </w:r>
      <w:r w:rsidRPr="00E630F4">
        <w:rPr>
          <w:strike/>
        </w:rPr>
        <w:t xml:space="preserve"> и O, оснащенных баком(ами) для жидкого топлива, официально утвержденных на основании части I или IV настоящих Правил, в отношении предотвращения опасности возникновения пожара в случае</w:t>
      </w:r>
      <w:r w:rsidRPr="00E630F4">
        <w:t xml:space="preserve"> </w:t>
      </w:r>
      <w:r w:rsidRPr="00E630F4">
        <w:rPr>
          <w:b/>
          <w:bCs/>
        </w:rPr>
        <w:t>и/или</w:t>
      </w:r>
      <w:r w:rsidRPr="00E630F4">
        <w:t xml:space="preserve"> заднего столкновения.</w:t>
      </w:r>
      <w:r w:rsidRPr="00E630F4">
        <w:rPr>
          <w:bCs/>
        </w:rPr>
        <w:t xml:space="preserve"> </w:t>
      </w:r>
    </w:p>
    <w:p w14:paraId="2141C643" w14:textId="458DB1EF" w:rsidR="00E630F4" w:rsidRPr="00E630F4" w:rsidRDefault="00E630F4" w:rsidP="00E630F4">
      <w:pPr>
        <w:pStyle w:val="SingleTxtG"/>
        <w:ind w:left="2268" w:hanging="1134"/>
        <w:rPr>
          <w:strike/>
        </w:rPr>
      </w:pPr>
      <w:r w:rsidRPr="00E630F4">
        <w:rPr>
          <w:bCs/>
        </w:rPr>
        <w:tab/>
      </w:r>
      <w:r>
        <w:rPr>
          <w:bCs/>
        </w:rPr>
        <w:tab/>
      </w:r>
      <w:r w:rsidRPr="00E630F4">
        <w:rPr>
          <w:strike/>
        </w:rPr>
        <w:t>Часть II-2: к официальному утверждению транспортных средств категорий M</w:t>
      </w:r>
      <w:r w:rsidRPr="00E630F4">
        <w:rPr>
          <w:strike/>
          <w:vertAlign w:val="subscript"/>
        </w:rPr>
        <w:t>1</w:t>
      </w:r>
      <w:r w:rsidRPr="00E630F4">
        <w:rPr>
          <w:strike/>
        </w:rPr>
        <w:t xml:space="preserve"> и N</w:t>
      </w:r>
      <w:r w:rsidRPr="00E630F4">
        <w:rPr>
          <w:strike/>
          <w:vertAlign w:val="subscript"/>
        </w:rPr>
        <w:t>1</w:t>
      </w:r>
      <w:r w:rsidRPr="00E630F4">
        <w:rPr>
          <w:strike/>
        </w:rPr>
        <w:t>, общая допустимая масса которых не превышает 2,8 т, оснащенных баком(ами) для жидкого топлива, официально утвержденных на основании части I или IV настоящих Правил, в отношении предотвращения опасности возникновения пожара в случае заднего столкновения.</w:t>
      </w:r>
    </w:p>
    <w:p w14:paraId="735FB6E7" w14:textId="38935446" w:rsidR="00E630F4" w:rsidRPr="00E630F4" w:rsidRDefault="00E630F4" w:rsidP="00E630F4">
      <w:pPr>
        <w:pStyle w:val="SingleTxtG"/>
        <w:ind w:left="2268" w:hanging="1134"/>
      </w:pPr>
      <w:r w:rsidRPr="00E630F4">
        <w:t>1.3</w:t>
      </w:r>
      <w:r w:rsidRPr="00E630F4">
        <w:tab/>
      </w:r>
      <w:r>
        <w:tab/>
      </w:r>
      <w:r w:rsidRPr="00E630F4">
        <w:t>Часть III: к официальному утверждению баков для жидкого топлива в качестве технических единиц.</w:t>
      </w:r>
    </w:p>
    <w:p w14:paraId="39F8AF75" w14:textId="77777777" w:rsidR="00E630F4" w:rsidRPr="00E630F4" w:rsidRDefault="00E630F4" w:rsidP="00E630F4">
      <w:pPr>
        <w:pStyle w:val="SingleTxtGR0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E630F4">
        <w:rPr>
          <w:spacing w:val="0"/>
          <w:w w:val="100"/>
        </w:rPr>
        <w:t>1.4</w:t>
      </w:r>
      <w:r w:rsidRPr="00E630F4">
        <w:rPr>
          <w:spacing w:val="0"/>
          <w:w w:val="100"/>
        </w:rPr>
        <w:tab/>
        <w:t>Часть IV: к официальному утверждению транспортных средств в отношении установки официально утвержденных баков для жидкого топлива».</w:t>
      </w:r>
    </w:p>
    <w:p w14:paraId="146FF8F1" w14:textId="150461AD" w:rsidR="00E630F4" w:rsidRPr="00E630F4" w:rsidRDefault="00E630F4" w:rsidP="00E630F4">
      <w:pPr>
        <w:spacing w:after="120"/>
        <w:ind w:left="1701" w:right="1134" w:hanging="567"/>
        <w:jc w:val="both"/>
        <w:rPr>
          <w:bCs/>
        </w:rPr>
      </w:pPr>
      <w:r w:rsidRPr="00E630F4">
        <w:rPr>
          <w:bCs/>
          <w:i/>
          <w:iCs/>
        </w:rPr>
        <w:t>Пункт</w:t>
      </w:r>
      <w:r>
        <w:rPr>
          <w:bCs/>
          <w:i/>
          <w:iCs/>
          <w:lang w:val="fr-CH"/>
        </w:rPr>
        <w:t xml:space="preserve"> </w:t>
      </w:r>
      <w:r w:rsidRPr="00E630F4">
        <w:rPr>
          <w:bCs/>
          <w:i/>
          <w:iCs/>
        </w:rPr>
        <w:t>3.1.4.2</w:t>
      </w:r>
      <w:r w:rsidRPr="00E630F4">
        <w:rPr>
          <w:bCs/>
        </w:rPr>
        <w:t xml:space="preserve"> изменить следующим образом:</w:t>
      </w:r>
    </w:p>
    <w:p w14:paraId="26ADFC6F" w14:textId="77777777" w:rsidR="00E630F4" w:rsidRPr="00E630F4" w:rsidRDefault="00E630F4" w:rsidP="00E630F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</w:pPr>
      <w:r w:rsidRPr="00E630F4">
        <w:rPr>
          <w:bCs/>
        </w:rPr>
        <w:t>«3.1.4.2</w:t>
      </w:r>
      <w:r w:rsidRPr="00E630F4">
        <w:rPr>
          <w:bCs/>
        </w:rPr>
        <w:tab/>
      </w:r>
      <w:r w:rsidRPr="00E630F4">
        <w:t>номера настоящих Правил, за которым следуют код «RI», если транспортное средство официально утверждено на основании части I Правил, «RII</w:t>
      </w:r>
      <w:r w:rsidRPr="00E630F4">
        <w:rPr>
          <w:strike/>
        </w:rPr>
        <w:t>-1</w:t>
      </w:r>
      <w:r w:rsidRPr="00E630F4">
        <w:t>», если транспортное средство официально утверждено на основании частей I или IV и части II</w:t>
      </w:r>
      <w:r w:rsidRPr="00E630F4">
        <w:rPr>
          <w:strike/>
        </w:rPr>
        <w:t>-1</w:t>
      </w:r>
      <w:r w:rsidRPr="00E630F4">
        <w:t xml:space="preserve"> Правил, </w:t>
      </w:r>
      <w:r w:rsidRPr="00E630F4">
        <w:rPr>
          <w:strike/>
        </w:rPr>
        <w:t xml:space="preserve">или «RII-2», если транспортное средство официально утверждено на основании частей I или IV и части II-2 Правил, </w:t>
      </w:r>
      <w:r w:rsidRPr="00E630F4">
        <w:t>тире и номер официального утверждения, расположенные справа от круга, предписанного в пункте 3.1.4.1».</w:t>
      </w:r>
    </w:p>
    <w:p w14:paraId="7BBA01B7" w14:textId="39EC0CC5" w:rsidR="00E630F4" w:rsidRPr="00E630F4" w:rsidRDefault="00E630F4" w:rsidP="00E630F4">
      <w:pPr>
        <w:spacing w:after="120"/>
        <w:ind w:left="1701" w:right="1134" w:hanging="567"/>
        <w:jc w:val="both"/>
        <w:rPr>
          <w:lang w:eastAsia="ja-JP"/>
        </w:rPr>
      </w:pPr>
      <w:bookmarkStart w:id="0" w:name="_Hlk69395686"/>
      <w:r w:rsidRPr="00E630F4">
        <w:rPr>
          <w:i/>
          <w:iCs/>
          <w:lang w:eastAsia="ja-JP"/>
        </w:rPr>
        <w:t>Часть II-1 (заголовок)</w:t>
      </w:r>
      <w:r w:rsidRPr="00E630F4">
        <w:rPr>
          <w:lang w:eastAsia="ja-JP"/>
        </w:rPr>
        <w:t xml:space="preserve"> изменить следующим образом (исключить </w:t>
      </w:r>
      <w:r w:rsidRPr="00E630F4">
        <w:rPr>
          <w:lang w:eastAsia="ja-JP"/>
        </w:rPr>
        <w:t>«</w:t>
      </w:r>
      <w:r w:rsidRPr="00E630F4">
        <w:rPr>
          <w:lang w:eastAsia="ja-JP"/>
        </w:rPr>
        <w:t>-1</w:t>
      </w:r>
      <w:r>
        <w:rPr>
          <w:lang w:eastAsia="ja-JP"/>
        </w:rPr>
        <w:t>»</w:t>
      </w:r>
      <w:r w:rsidRPr="00E630F4">
        <w:rPr>
          <w:lang w:eastAsia="ja-JP"/>
        </w:rPr>
        <w:t>):</w:t>
      </w:r>
    </w:p>
    <w:bookmarkEnd w:id="0"/>
    <w:p w14:paraId="29E0D00E" w14:textId="7B689EAC" w:rsidR="00E630F4" w:rsidRPr="00E630F4" w:rsidRDefault="00E630F4" w:rsidP="00E630F4">
      <w:pPr>
        <w:pStyle w:val="HChG"/>
      </w:pPr>
      <w:r>
        <w:rPr>
          <w:b w:val="0"/>
          <w:bCs/>
          <w:lang w:eastAsia="en-US"/>
        </w:rPr>
        <w:tab/>
      </w:r>
      <w:r>
        <w:rPr>
          <w:b w:val="0"/>
          <w:bCs/>
          <w:lang w:eastAsia="en-US"/>
        </w:rPr>
        <w:tab/>
      </w:r>
      <w:r w:rsidRPr="00E630F4">
        <w:rPr>
          <w:b w:val="0"/>
          <w:bCs/>
          <w:sz w:val="20"/>
          <w:lang w:eastAsia="en-US"/>
        </w:rPr>
        <w:t>«</w:t>
      </w:r>
      <w:r w:rsidRPr="00E630F4">
        <w:t>Часть II</w:t>
      </w:r>
      <w:r w:rsidRPr="00E630F4">
        <w:rPr>
          <w:strike/>
        </w:rPr>
        <w:t>-1</w:t>
      </w:r>
      <w:r w:rsidRPr="00E630F4">
        <w:t xml:space="preserve"> </w:t>
      </w:r>
      <w:r>
        <w:t>—</w:t>
      </w:r>
      <w:r w:rsidRPr="00E630F4">
        <w:t xml:space="preserve"> Официальное утверждение транспортного средства в отношении предотвращения опасности </w:t>
      </w:r>
      <w:r w:rsidRPr="00E630F4">
        <w:tab/>
        <w:t>возникновения пожара в случае столкновения</w:t>
      </w:r>
      <w:r w:rsidRPr="00E630F4">
        <w:rPr>
          <w:b w:val="0"/>
          <w:bCs/>
          <w:sz w:val="20"/>
        </w:rPr>
        <w:t>»</w:t>
      </w:r>
    </w:p>
    <w:p w14:paraId="309A6541" w14:textId="77777777" w:rsidR="00E630F4" w:rsidRPr="00E630F4" w:rsidRDefault="00E630F4" w:rsidP="00E630F4">
      <w:pPr>
        <w:pStyle w:val="SingleTxtG"/>
        <w:rPr>
          <w:lang w:eastAsia="ja-JP"/>
        </w:rPr>
      </w:pPr>
      <w:r w:rsidRPr="00E630F4">
        <w:rPr>
          <w:lang w:eastAsia="ja-JP"/>
        </w:rPr>
        <w:t>Исключить</w:t>
      </w:r>
      <w:r w:rsidRPr="00E630F4">
        <w:rPr>
          <w:i/>
          <w:iCs/>
          <w:lang w:eastAsia="ja-JP"/>
        </w:rPr>
        <w:t xml:space="preserve"> пункт 7.2.2</w:t>
      </w:r>
      <w:r w:rsidRPr="00E630F4">
        <w:rPr>
          <w:lang w:eastAsia="ja-JP"/>
        </w:rPr>
        <w:t xml:space="preserve"> и соответствующим образом изменить нумерацию последующих пунктов.</w:t>
      </w:r>
    </w:p>
    <w:p w14:paraId="2E2B42FC" w14:textId="77777777" w:rsidR="00E630F4" w:rsidRPr="00E630F4" w:rsidRDefault="00E630F4" w:rsidP="00E630F4">
      <w:pPr>
        <w:spacing w:after="120"/>
        <w:ind w:left="1701" w:right="1134" w:hanging="567"/>
        <w:jc w:val="both"/>
        <w:rPr>
          <w:i/>
          <w:iCs/>
          <w:lang w:eastAsia="ja-JP"/>
        </w:rPr>
      </w:pPr>
      <w:r w:rsidRPr="00E630F4">
        <w:rPr>
          <w:i/>
          <w:iCs/>
          <w:lang w:eastAsia="ja-JP"/>
        </w:rPr>
        <w:t xml:space="preserve">Часть II-2 </w:t>
      </w:r>
      <w:r w:rsidRPr="00E630F4">
        <w:rPr>
          <w:lang w:eastAsia="ja-JP"/>
        </w:rPr>
        <w:t>исключить.</w:t>
      </w:r>
    </w:p>
    <w:p w14:paraId="4CB58541" w14:textId="77777777" w:rsidR="00E630F4" w:rsidRPr="00E630F4" w:rsidRDefault="00E630F4" w:rsidP="00E630F4">
      <w:pPr>
        <w:pStyle w:val="SingleTxtG"/>
        <w:pageBreakBefore/>
        <w:rPr>
          <w:lang w:eastAsia="ja-JP"/>
        </w:rPr>
      </w:pPr>
      <w:r w:rsidRPr="00E630F4">
        <w:rPr>
          <w:i/>
          <w:iCs/>
          <w:lang w:eastAsia="ja-JP"/>
        </w:rPr>
        <w:lastRenderedPageBreak/>
        <w:t>Приложение 2</w:t>
      </w:r>
      <w:r w:rsidRPr="00E630F4">
        <w:rPr>
          <w:lang w:eastAsia="ja-JP"/>
        </w:rPr>
        <w:t xml:space="preserve"> изменить следующим образом (изменения выделены желтым цветом; сноска остается без изменений):</w:t>
      </w:r>
    </w:p>
    <w:p w14:paraId="6AC5E1EE" w14:textId="77777777" w:rsidR="00E630F4" w:rsidRPr="00E630F4" w:rsidRDefault="00E630F4" w:rsidP="00E630F4">
      <w:pPr>
        <w:pStyle w:val="SingleTxtGR0"/>
        <w:suppressAutoHyphens/>
        <w:jc w:val="left"/>
        <w:rPr>
          <w:spacing w:val="0"/>
          <w:w w:val="100"/>
        </w:rPr>
      </w:pPr>
      <w:r w:rsidRPr="00E630F4">
        <w:rPr>
          <w:bCs/>
          <w:spacing w:val="0"/>
          <w:w w:val="100"/>
        </w:rPr>
        <w:t>«</w:t>
      </w:r>
      <w:r w:rsidRPr="00E630F4">
        <w:rPr>
          <w:spacing w:val="0"/>
          <w:w w:val="100"/>
        </w:rPr>
        <w:t>Образец В</w:t>
      </w:r>
      <w:r w:rsidRPr="00E630F4">
        <w:rPr>
          <w:spacing w:val="0"/>
          <w:w w:val="100"/>
        </w:rPr>
        <w:br/>
        <w:t>(см. пункт 3.1.5 настоящих Правил)</w:t>
      </w:r>
    </w:p>
    <w:p w14:paraId="44796710" w14:textId="77777777" w:rsidR="00E630F4" w:rsidRPr="00E630F4" w:rsidRDefault="00E630F4" w:rsidP="00E630F4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both"/>
        <w:rPr>
          <w:lang w:val="en-US"/>
        </w:rPr>
      </w:pPr>
      <w:r w:rsidRPr="00E630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37B9" wp14:editId="72FF7DC9">
                <wp:simplePos x="0" y="0"/>
                <wp:positionH relativeFrom="column">
                  <wp:posOffset>2715895</wp:posOffset>
                </wp:positionH>
                <wp:positionV relativeFrom="paragraph">
                  <wp:posOffset>297180</wp:posOffset>
                </wp:positionV>
                <wp:extent cx="1991995" cy="588645"/>
                <wp:effectExtent l="0" t="0" r="8255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E630F4" w:rsidRPr="00BB4637" w14:paraId="5075436B" w14:textId="77777777">
                              <w:tc>
                                <w:tcPr>
                                  <w:tcW w:w="1406" w:type="dxa"/>
                                </w:tcPr>
                                <w:p w14:paraId="7BF8C863" w14:textId="77777777" w:rsidR="00E630F4" w:rsidRPr="00116F65" w:rsidRDefault="00E630F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22C819E" w14:textId="77777777" w:rsidR="00E630F4" w:rsidRPr="00116F65" w:rsidRDefault="00E630F4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E630F4" w:rsidRPr="00BB4637" w14:paraId="747D9FFA" w14:textId="77777777">
                              <w:tc>
                                <w:tcPr>
                                  <w:tcW w:w="1406" w:type="dxa"/>
                                </w:tcPr>
                                <w:p w14:paraId="3DA8427A" w14:textId="77777777" w:rsidR="00E630F4" w:rsidRPr="00116F65" w:rsidRDefault="00E630F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B0B1DA8" w14:textId="77777777" w:rsidR="00E630F4" w:rsidRPr="00116F65" w:rsidRDefault="00E630F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126F3408" w14:textId="77777777" w:rsidR="00E630F4" w:rsidRDefault="00E630F4" w:rsidP="00E6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3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85pt;margin-top:23.4pt;width:156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E630F4" w:rsidRPr="00BB4637" w14:paraId="5075436B" w14:textId="77777777">
                        <w:tc>
                          <w:tcPr>
                            <w:tcW w:w="1406" w:type="dxa"/>
                          </w:tcPr>
                          <w:p w14:paraId="7BF8C863" w14:textId="77777777" w:rsidR="00E630F4" w:rsidRPr="00116F65" w:rsidRDefault="00E630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22C819E" w14:textId="77777777" w:rsidR="00E630F4" w:rsidRPr="00116F65" w:rsidRDefault="00E630F4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E630F4" w:rsidRPr="00BB4637" w14:paraId="747D9FFA" w14:textId="77777777">
                        <w:tc>
                          <w:tcPr>
                            <w:tcW w:w="1406" w:type="dxa"/>
                          </w:tcPr>
                          <w:p w14:paraId="3DA8427A" w14:textId="77777777" w:rsidR="00E630F4" w:rsidRPr="00116F65" w:rsidRDefault="00E630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7B0B1DA8" w14:textId="77777777" w:rsidR="00E630F4" w:rsidRPr="00116F65" w:rsidRDefault="00E630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126F3408" w14:textId="77777777" w:rsidR="00E630F4" w:rsidRDefault="00E630F4" w:rsidP="00E630F4"/>
                  </w:txbxContent>
                </v:textbox>
              </v:shape>
            </w:pict>
          </mc:Fallback>
        </mc:AlternateContent>
      </w:r>
      <w:r w:rsidRPr="00E630F4">
        <w:rPr>
          <w:noProof/>
          <w:lang w:val="en-US"/>
        </w:rPr>
        <w:drawing>
          <wp:inline distT="0" distB="0" distL="0" distR="0" wp14:anchorId="4E897018" wp14:editId="099E2E1A">
            <wp:extent cx="4681220" cy="894080"/>
            <wp:effectExtent l="0" t="0" r="508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B78B" w14:textId="77777777" w:rsidR="00E630F4" w:rsidRPr="00E630F4" w:rsidRDefault="00E630F4" w:rsidP="00E630F4">
      <w:pPr>
        <w:tabs>
          <w:tab w:val="left" w:pos="2268"/>
        </w:tabs>
        <w:autoSpaceDE w:val="0"/>
        <w:autoSpaceDN w:val="0"/>
        <w:adjustRightInd w:val="0"/>
        <w:spacing w:after="120"/>
        <w:ind w:left="1701" w:right="1134" w:hanging="567"/>
        <w:jc w:val="right"/>
        <w:rPr>
          <w:bCs/>
        </w:rPr>
      </w:pPr>
      <w:r w:rsidRPr="00E630F4">
        <w:rPr>
          <w:bCs/>
          <w:lang w:val="en-US" w:eastAsia="ja-JP"/>
        </w:rPr>
        <w:t>a</w:t>
      </w:r>
      <w:r w:rsidRPr="00E630F4">
        <w:rPr>
          <w:bCs/>
        </w:rPr>
        <w:t xml:space="preserve"> = 8 мм мин.</w:t>
      </w:r>
    </w:p>
    <w:p w14:paraId="72550418" w14:textId="7BA40FBB" w:rsidR="00E630F4" w:rsidRPr="00E630F4" w:rsidRDefault="00E630F4" w:rsidP="00E95084">
      <w:pPr>
        <w:pStyle w:val="SingleTxtG"/>
        <w:spacing w:after="240"/>
      </w:pPr>
      <w:r w:rsidRPr="00E630F4"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частей </w:t>
      </w:r>
      <w:r w:rsidRPr="00E630F4">
        <w:rPr>
          <w:lang w:val="en-US"/>
        </w:rPr>
        <w:t>I</w:t>
      </w:r>
      <w:r w:rsidRPr="00E630F4">
        <w:t xml:space="preserve"> или </w:t>
      </w:r>
      <w:r w:rsidRPr="00E630F4">
        <w:rPr>
          <w:lang w:val="en-US"/>
        </w:rPr>
        <w:t>IV</w:t>
      </w:r>
      <w:r w:rsidRPr="00E630F4">
        <w:t xml:space="preserve"> и </w:t>
      </w:r>
      <w:r w:rsidRPr="00E630F4">
        <w:rPr>
          <w:lang w:val="en-US"/>
        </w:rPr>
        <w:t>II</w:t>
      </w:r>
      <w:r w:rsidRPr="00E630F4">
        <w:rPr>
          <w:strike/>
          <w:highlight w:val="yellow"/>
        </w:rPr>
        <w:t>-1</w:t>
      </w:r>
      <w:r w:rsidRPr="00E630F4">
        <w:t xml:space="preserve"> Правил</w:t>
      </w:r>
      <w:r w:rsidR="00E95084">
        <w:t> </w:t>
      </w:r>
      <w:r w:rsidRPr="00E630F4">
        <w:t>№ 34 и Правил № 33*. Номера официального утверждения указывают на то, что на момент предоставления соответствующих официальных утверждений Правила</w:t>
      </w:r>
      <w:r w:rsidR="00E95084">
        <w:t> </w:t>
      </w:r>
      <w:r w:rsidRPr="00E630F4">
        <w:t>№</w:t>
      </w:r>
      <w:r w:rsidR="00E95084">
        <w:t> </w:t>
      </w:r>
      <w:r w:rsidRPr="00E630F4">
        <w:t>34 включали поправки серии 03, а Правила №</w:t>
      </w:r>
      <w:r w:rsidR="00E95084">
        <w:t> </w:t>
      </w:r>
      <w:r w:rsidRPr="00E630F4">
        <w:t>33 оставались в их первоначальном виде.</w:t>
      </w:r>
    </w:p>
    <w:p w14:paraId="68ACF759" w14:textId="77777777" w:rsidR="00E630F4" w:rsidRPr="00E630F4" w:rsidRDefault="00E630F4" w:rsidP="00E95084">
      <w:pPr>
        <w:tabs>
          <w:tab w:val="left" w:pos="2268"/>
        </w:tabs>
        <w:autoSpaceDE w:val="0"/>
        <w:autoSpaceDN w:val="0"/>
        <w:adjustRightInd w:val="0"/>
        <w:spacing w:after="240"/>
        <w:ind w:left="1701" w:right="1134" w:hanging="567"/>
        <w:jc w:val="both"/>
        <w:rPr>
          <w:lang w:val="en-US"/>
        </w:rPr>
      </w:pPr>
      <w:r w:rsidRPr="00E630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B45B5" wp14:editId="0C8DF551">
                <wp:simplePos x="0" y="0"/>
                <wp:positionH relativeFrom="column">
                  <wp:posOffset>2715895</wp:posOffset>
                </wp:positionH>
                <wp:positionV relativeFrom="paragraph">
                  <wp:posOffset>283210</wp:posOffset>
                </wp:positionV>
                <wp:extent cx="1991995" cy="588645"/>
                <wp:effectExtent l="0" t="0" r="825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E630F4" w:rsidRPr="00BB4637" w14:paraId="32441A48" w14:textId="77777777">
                              <w:tc>
                                <w:tcPr>
                                  <w:tcW w:w="1406" w:type="dxa"/>
                                </w:tcPr>
                                <w:p w14:paraId="5F7B5233" w14:textId="77777777" w:rsidR="00E630F4" w:rsidRPr="00116F65" w:rsidRDefault="00E630F4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34RII</w:t>
                                  </w:r>
                                  <w:r w:rsidRPr="007E5BC0">
                                    <w:rPr>
                                      <w:b/>
                                      <w:bCs/>
                                      <w:strike/>
                                      <w:sz w:val="28"/>
                                      <w:highlight w:val="yellow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90D6764" w14:textId="77777777" w:rsidR="00E630F4" w:rsidRPr="00116F65" w:rsidRDefault="00E630F4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E630F4" w:rsidRPr="00BB4637" w14:paraId="2F26805B" w14:textId="77777777">
                              <w:tc>
                                <w:tcPr>
                                  <w:tcW w:w="1406" w:type="dxa"/>
                                </w:tcPr>
                                <w:p w14:paraId="79B10369" w14:textId="77777777" w:rsidR="00E630F4" w:rsidRPr="00116F65" w:rsidRDefault="00E630F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6DCC962" w14:textId="77777777" w:rsidR="00E630F4" w:rsidRPr="00116F65" w:rsidRDefault="00E630F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16F65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7316EF08" w14:textId="77777777" w:rsidR="00E630F4" w:rsidRDefault="00E630F4" w:rsidP="00E6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45B5" id="Text Box 3" o:spid="_x0000_s1027" type="#_x0000_t202" style="position:absolute;left:0;text-align:left;margin-left:213.85pt;margin-top:22.3pt;width:156.8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E630F4" w:rsidRPr="00BB4637" w14:paraId="32441A48" w14:textId="77777777">
                        <w:tc>
                          <w:tcPr>
                            <w:tcW w:w="1406" w:type="dxa"/>
                          </w:tcPr>
                          <w:p w14:paraId="5F7B5233" w14:textId="77777777" w:rsidR="00E630F4" w:rsidRPr="00116F65" w:rsidRDefault="00E630F4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34RII</w:t>
                            </w:r>
                            <w:r w:rsidRPr="007E5BC0">
                              <w:rPr>
                                <w:b/>
                                <w:bCs/>
                                <w:strike/>
                                <w:sz w:val="28"/>
                                <w:highlight w:val="yellow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90D6764" w14:textId="77777777" w:rsidR="00E630F4" w:rsidRPr="00116F65" w:rsidRDefault="00E630F4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031234</w:t>
                            </w:r>
                          </w:p>
                        </w:tc>
                      </w:tr>
                      <w:tr w:rsidR="00E630F4" w:rsidRPr="00BB4637" w14:paraId="2F26805B" w14:textId="77777777">
                        <w:tc>
                          <w:tcPr>
                            <w:tcW w:w="1406" w:type="dxa"/>
                          </w:tcPr>
                          <w:p w14:paraId="79B10369" w14:textId="77777777" w:rsidR="00E630F4" w:rsidRPr="00116F65" w:rsidRDefault="00E630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6DCC962" w14:textId="77777777" w:rsidR="00E630F4" w:rsidRPr="00116F65" w:rsidRDefault="00E630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16F65">
                              <w:rPr>
                                <w:b/>
                                <w:bCs/>
                                <w:sz w:val="28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7316EF08" w14:textId="77777777" w:rsidR="00E630F4" w:rsidRDefault="00E630F4" w:rsidP="00E630F4"/>
                  </w:txbxContent>
                </v:textbox>
              </v:shape>
            </w:pict>
          </mc:Fallback>
        </mc:AlternateContent>
      </w:r>
      <w:r w:rsidRPr="00E630F4">
        <w:rPr>
          <w:noProof/>
          <w:lang w:val="en-US"/>
        </w:rPr>
        <w:drawing>
          <wp:inline distT="0" distB="0" distL="0" distR="0" wp14:anchorId="3D08DF9F" wp14:editId="18779D46">
            <wp:extent cx="4681220" cy="894080"/>
            <wp:effectExtent l="0" t="0" r="508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A693" w14:textId="42305512" w:rsidR="00E630F4" w:rsidRPr="00E630F4" w:rsidRDefault="00E630F4" w:rsidP="00E95084">
      <w:pPr>
        <w:pStyle w:val="SingleTxtG"/>
      </w:pPr>
      <w:r w:rsidRPr="00E630F4"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частей </w:t>
      </w:r>
      <w:r w:rsidRPr="00E630F4">
        <w:rPr>
          <w:lang w:val="en-US"/>
        </w:rPr>
        <w:t>I</w:t>
      </w:r>
      <w:r w:rsidRPr="00E630F4">
        <w:t xml:space="preserve"> или </w:t>
      </w:r>
      <w:r w:rsidRPr="00E630F4">
        <w:rPr>
          <w:lang w:val="en-US"/>
        </w:rPr>
        <w:t>IV</w:t>
      </w:r>
      <w:r w:rsidRPr="00E630F4">
        <w:t xml:space="preserve"> и </w:t>
      </w:r>
      <w:r w:rsidRPr="00E630F4">
        <w:rPr>
          <w:lang w:val="en-US"/>
        </w:rPr>
        <w:t>II</w:t>
      </w:r>
      <w:r w:rsidRPr="00E630F4">
        <w:rPr>
          <w:strike/>
          <w:highlight w:val="yellow"/>
        </w:rPr>
        <w:t>-2</w:t>
      </w:r>
      <w:r w:rsidRPr="00E630F4">
        <w:t xml:space="preserve"> Правил</w:t>
      </w:r>
      <w:r w:rsidR="00E95084">
        <w:t> </w:t>
      </w:r>
      <w:r w:rsidRPr="00E630F4">
        <w:t xml:space="preserve">№ 34 и Правил № </w:t>
      </w:r>
      <w:r w:rsidRPr="00E630F4">
        <w:rPr>
          <w:bCs/>
        </w:rPr>
        <w:t>33*</w:t>
      </w:r>
      <w:r w:rsidR="00360A52">
        <w:rPr>
          <w:bCs/>
        </w:rPr>
        <w:t>.</w:t>
      </w:r>
      <w:r w:rsidRPr="00E630F4">
        <w:rPr>
          <w:bCs/>
        </w:rPr>
        <w:t xml:space="preserve"> </w:t>
      </w:r>
      <w:r w:rsidRPr="00E630F4">
        <w:t>Номера официального утверждения указывают, что на момент предоставления соответствующих официальных утверждений</w:t>
      </w:r>
      <w:r w:rsidRPr="00E630F4">
        <w:rPr>
          <w:bCs/>
        </w:rPr>
        <w:t>…»</w:t>
      </w:r>
    </w:p>
    <w:p w14:paraId="1FAF0C8D" w14:textId="77777777" w:rsidR="00E630F4" w:rsidRPr="00E630F4" w:rsidRDefault="00E630F4" w:rsidP="00D141F3">
      <w:pPr>
        <w:pStyle w:val="HChG"/>
      </w:pPr>
      <w:r w:rsidRPr="00E630F4">
        <w:tab/>
        <w:t>II.</w:t>
      </w:r>
      <w:r w:rsidRPr="00E630F4">
        <w:tab/>
        <w:t>Обоснование</w:t>
      </w:r>
    </w:p>
    <w:p w14:paraId="19814B13" w14:textId="694A537F" w:rsidR="00E630F4" w:rsidRPr="00D141F3" w:rsidRDefault="00D141F3" w:rsidP="00D141F3">
      <w:pPr>
        <w:pStyle w:val="SingleTxtG"/>
        <w:ind w:left="1701" w:hanging="567"/>
      </w:pPr>
      <w:r>
        <w:t>1.</w:t>
      </w:r>
      <w:r>
        <w:tab/>
      </w:r>
      <w:r w:rsidR="00E630F4" w:rsidRPr="00D141F3">
        <w:t>Цель настоящего предложения состоит в недопущении двойного официального утверждения в том, что касается пожарных рисков, путем исключения из Правил № 34 ООН испытаний на удар для транспортных средств категорий M</w:t>
      </w:r>
      <w:r w:rsidR="00E630F4" w:rsidRPr="00D141F3">
        <w:rPr>
          <w:vertAlign w:val="subscript"/>
        </w:rPr>
        <w:t>1</w:t>
      </w:r>
      <w:r w:rsidR="00E630F4" w:rsidRPr="00D141F3">
        <w:t xml:space="preserve"> и N</w:t>
      </w:r>
      <w:r w:rsidR="00E630F4" w:rsidRPr="00D141F3">
        <w:rPr>
          <w:vertAlign w:val="subscript"/>
        </w:rPr>
        <w:t>1</w:t>
      </w:r>
      <w:r w:rsidR="00E630F4" w:rsidRPr="00D141F3">
        <w:t xml:space="preserve">. </w:t>
      </w:r>
    </w:p>
    <w:p w14:paraId="1029E72E" w14:textId="27294185" w:rsidR="00E630F4" w:rsidRPr="00D141F3" w:rsidRDefault="00D141F3" w:rsidP="00D141F3">
      <w:pPr>
        <w:pStyle w:val="SingleTxtG"/>
        <w:ind w:left="1701" w:hanging="567"/>
      </w:pPr>
      <w:r>
        <w:t>2.</w:t>
      </w:r>
      <w:r>
        <w:tab/>
      </w:r>
      <w:r w:rsidR="00E630F4" w:rsidRPr="00D141F3">
        <w:t>Эти транспортные средства на самом деле подпадают под область применения правил № 94, 95 и 153.</w:t>
      </w:r>
    </w:p>
    <w:p w14:paraId="329689EE" w14:textId="5CDBE33B" w:rsidR="00E630F4" w:rsidRPr="00E630F4" w:rsidRDefault="00D141F3" w:rsidP="00D141F3">
      <w:pPr>
        <w:pStyle w:val="SingleTxtG"/>
        <w:ind w:left="1701" w:hanging="567"/>
      </w:pPr>
      <w:r>
        <w:t>3.</w:t>
      </w:r>
      <w:r>
        <w:tab/>
      </w:r>
      <w:r w:rsidR="00E630F4" w:rsidRPr="00D141F3">
        <w:t>В настоящее время Правила № 153 более эффективным образом охватывают аспекты предупреждения пожарных рисков, чем Правила № 34, поскольку их положения распространяются не только на безопасность топлива, но и на безопасность электромобилей и транспортных средств, работающих на водороде</w:t>
      </w:r>
      <w:r w:rsidR="00E630F4" w:rsidRPr="00E630F4">
        <w:t>.</w:t>
      </w:r>
    </w:p>
    <w:p w14:paraId="54364E78" w14:textId="77777777" w:rsidR="00E630F4" w:rsidRPr="00E630F4" w:rsidRDefault="00E630F4" w:rsidP="00E630F4">
      <w:pPr>
        <w:spacing w:before="240"/>
        <w:jc w:val="center"/>
        <w:rPr>
          <w:u w:val="single"/>
        </w:rPr>
      </w:pPr>
      <w:r w:rsidRPr="00E630F4">
        <w:rPr>
          <w:u w:val="single"/>
        </w:rPr>
        <w:tab/>
      </w:r>
      <w:r w:rsidRPr="00E630F4">
        <w:rPr>
          <w:u w:val="single"/>
        </w:rPr>
        <w:tab/>
      </w:r>
      <w:r w:rsidRPr="00E630F4">
        <w:rPr>
          <w:u w:val="single"/>
        </w:rPr>
        <w:tab/>
      </w:r>
    </w:p>
    <w:p w14:paraId="7909632E" w14:textId="77777777" w:rsidR="00E12C5F" w:rsidRPr="00E630F4" w:rsidRDefault="00E12C5F" w:rsidP="00E630F4"/>
    <w:sectPr w:rsidR="00E12C5F" w:rsidRPr="00E630F4" w:rsidSect="00E630F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D0F9" w14:textId="77777777" w:rsidR="00C76D1B" w:rsidRPr="00A312BC" w:rsidRDefault="00C76D1B" w:rsidP="00A312BC"/>
  </w:endnote>
  <w:endnote w:type="continuationSeparator" w:id="0">
    <w:p w14:paraId="2533078B" w14:textId="77777777" w:rsidR="00C76D1B" w:rsidRPr="00A312BC" w:rsidRDefault="00C76D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1E18" w14:textId="0EF2D1D2" w:rsidR="00E630F4" w:rsidRPr="00E630F4" w:rsidRDefault="00E630F4">
    <w:pPr>
      <w:pStyle w:val="a8"/>
    </w:pPr>
    <w:r w:rsidRPr="00E630F4">
      <w:rPr>
        <w:b/>
        <w:sz w:val="18"/>
      </w:rPr>
      <w:fldChar w:fldCharType="begin"/>
    </w:r>
    <w:r w:rsidRPr="00E630F4">
      <w:rPr>
        <w:b/>
        <w:sz w:val="18"/>
      </w:rPr>
      <w:instrText xml:space="preserve"> PAGE  \* MERGEFORMAT </w:instrText>
    </w:r>
    <w:r w:rsidRPr="00E630F4">
      <w:rPr>
        <w:b/>
        <w:sz w:val="18"/>
      </w:rPr>
      <w:fldChar w:fldCharType="separate"/>
    </w:r>
    <w:r w:rsidRPr="00E630F4">
      <w:rPr>
        <w:b/>
        <w:noProof/>
        <w:sz w:val="18"/>
      </w:rPr>
      <w:t>2</w:t>
    </w:r>
    <w:r w:rsidRPr="00E630F4">
      <w:rPr>
        <w:b/>
        <w:sz w:val="18"/>
      </w:rPr>
      <w:fldChar w:fldCharType="end"/>
    </w:r>
    <w:r>
      <w:rPr>
        <w:b/>
        <w:sz w:val="18"/>
      </w:rPr>
      <w:tab/>
    </w:r>
    <w:r>
      <w:t>GE.21-10429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2F62" w14:textId="28EB598C" w:rsidR="00E630F4" w:rsidRPr="00E630F4" w:rsidRDefault="00E630F4" w:rsidP="00E630F4">
    <w:pPr>
      <w:pStyle w:val="a8"/>
      <w:tabs>
        <w:tab w:val="clear" w:pos="9639"/>
        <w:tab w:val="right" w:pos="9638"/>
      </w:tabs>
      <w:rPr>
        <w:b/>
        <w:sz w:val="18"/>
      </w:rPr>
    </w:pPr>
    <w:r>
      <w:t>GE.21-10429</w:t>
    </w:r>
    <w:r>
      <w:tab/>
    </w:r>
    <w:r w:rsidRPr="00E630F4">
      <w:rPr>
        <w:b/>
        <w:sz w:val="18"/>
      </w:rPr>
      <w:fldChar w:fldCharType="begin"/>
    </w:r>
    <w:r w:rsidRPr="00E630F4">
      <w:rPr>
        <w:b/>
        <w:sz w:val="18"/>
      </w:rPr>
      <w:instrText xml:space="preserve"> PAGE  \* MERGEFORMAT </w:instrText>
    </w:r>
    <w:r w:rsidRPr="00E630F4">
      <w:rPr>
        <w:b/>
        <w:sz w:val="18"/>
      </w:rPr>
      <w:fldChar w:fldCharType="separate"/>
    </w:r>
    <w:r w:rsidRPr="00E630F4">
      <w:rPr>
        <w:b/>
        <w:noProof/>
        <w:sz w:val="18"/>
      </w:rPr>
      <w:t>3</w:t>
    </w:r>
    <w:r w:rsidRPr="00E630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9EAF" w14:textId="39A758EB" w:rsidR="00042B72" w:rsidRPr="00E630F4" w:rsidRDefault="00E630F4" w:rsidP="00E630F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C2795B" wp14:editId="46069C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A1428F" wp14:editId="1248B2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3775" w14:textId="77777777" w:rsidR="00C76D1B" w:rsidRPr="001075E9" w:rsidRDefault="00C76D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B4C77A" w14:textId="77777777" w:rsidR="00C76D1B" w:rsidRDefault="00C76D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1F3000" w14:textId="0A4A4137" w:rsidR="00E630F4" w:rsidRPr="00E630F4" w:rsidRDefault="00E630F4" w:rsidP="00E630F4">
      <w:pPr>
        <w:pStyle w:val="ad"/>
        <w:rPr>
          <w:szCs w:val="18"/>
          <w:shd w:val="clear" w:color="auto" w:fill="FFFFFF"/>
        </w:rPr>
      </w:pPr>
      <w:r w:rsidRPr="00E630F4">
        <w:tab/>
      </w:r>
      <w:r w:rsidRPr="00E630F4">
        <w:rPr>
          <w:rStyle w:val="aa"/>
          <w:sz w:val="20"/>
          <w:vertAlign w:val="baseline"/>
        </w:rPr>
        <w:t>*</w:t>
      </w:r>
      <w:r w:rsidRPr="00E630F4">
        <w:rPr>
          <w:rStyle w:val="aa"/>
        </w:rPr>
        <w:tab/>
      </w:r>
      <w:r w:rsidRPr="00E630F4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DAAB" w14:textId="4493B08C" w:rsidR="00E630F4" w:rsidRPr="00E630F4" w:rsidRDefault="00E630F4">
    <w:pPr>
      <w:pStyle w:val="a5"/>
    </w:pPr>
    <w:fldSimple w:instr=" TITLE  \* MERGEFORMAT ">
      <w:r w:rsidR="00754923">
        <w:t>ECE/TRANS/WP.29/GRSG/2021/19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A06D" w14:textId="2C3C4AC3" w:rsidR="00E630F4" w:rsidRPr="00E630F4" w:rsidRDefault="00E630F4" w:rsidP="00E630F4">
    <w:pPr>
      <w:pStyle w:val="a5"/>
      <w:jc w:val="right"/>
    </w:pPr>
    <w:fldSimple w:instr=" TITLE  \* MERGEFORMAT ">
      <w:r w:rsidR="00754923">
        <w:t>ECE/TRANS/WP.29/GRSG/2021/19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1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A5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9D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92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7E5"/>
    <w:rsid w:val="00C106D6"/>
    <w:rsid w:val="00C119AE"/>
    <w:rsid w:val="00C60F0C"/>
    <w:rsid w:val="00C71E84"/>
    <w:rsid w:val="00C76D1B"/>
    <w:rsid w:val="00C805C9"/>
    <w:rsid w:val="00C92939"/>
    <w:rsid w:val="00CA1679"/>
    <w:rsid w:val="00CB151C"/>
    <w:rsid w:val="00CE5A1A"/>
    <w:rsid w:val="00CF55F6"/>
    <w:rsid w:val="00D04BD8"/>
    <w:rsid w:val="00D141F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30F4"/>
    <w:rsid w:val="00E73F76"/>
    <w:rsid w:val="00E9508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CD1C99"/>
  <w15:docId w15:val="{1114C4B1-BD25-4165-9CA3-9308CB9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630F4"/>
    <w:rPr>
      <w:lang w:val="ru-RU" w:eastAsia="en-US"/>
    </w:rPr>
  </w:style>
  <w:style w:type="character" w:customStyle="1" w:styleId="HChGChar">
    <w:name w:val="_ H _Ch_G Char"/>
    <w:link w:val="HChG"/>
    <w:locked/>
    <w:rsid w:val="00E630F4"/>
    <w:rPr>
      <w:b/>
      <w:sz w:val="28"/>
      <w:lang w:val="ru-RU" w:eastAsia="ru-RU"/>
    </w:rPr>
  </w:style>
  <w:style w:type="character" w:customStyle="1" w:styleId="SingleTxtGR">
    <w:name w:val="_ Single Txt_GR Знак"/>
    <w:link w:val="SingleTxtGR0"/>
    <w:rsid w:val="00E630F4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"/>
    <w:link w:val="SingleTxtGR"/>
    <w:rsid w:val="00E630F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85907-1BA5-4589-A75B-2CAA7670680F}"/>
</file>

<file path=customXml/itemProps2.xml><?xml version="1.0" encoding="utf-8"?>
<ds:datastoreItem xmlns:ds="http://schemas.openxmlformats.org/officeDocument/2006/customXml" ds:itemID="{46C4D014-CA49-41EC-A499-6D99A4ABD3AB}"/>
</file>

<file path=customXml/itemProps3.xml><?xml version="1.0" encoding="utf-8"?>
<ds:datastoreItem xmlns:ds="http://schemas.openxmlformats.org/officeDocument/2006/customXml" ds:itemID="{ABEC18D5-0E25-4CDB-B61D-05FDB2552A8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686</Words>
  <Characters>4438</Characters>
  <Application>Microsoft Office Word</Application>
  <DocSecurity>0</DocSecurity>
  <Lines>403</Lines>
  <Paragraphs>170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ECE/TRANS/WP.29/GRSG/2021/19</vt:lpstr>
      <vt:lpstr>A/</vt:lpstr>
      <vt:lpstr>A/</vt:lpstr>
    </vt:vector>
  </TitlesOfParts>
  <Company>DCM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/>
  <dc:creator>Elena IZOTOVA</dc:creator>
  <cp:keywords/>
  <cp:lastModifiedBy>Elena IZOTOVA</cp:lastModifiedBy>
  <cp:revision>3</cp:revision>
  <cp:lastPrinted>2021-08-11T12:44:00Z</cp:lastPrinted>
  <dcterms:created xsi:type="dcterms:W3CDTF">2021-08-11T12:44:00Z</dcterms:created>
  <dcterms:modified xsi:type="dcterms:W3CDTF">2021-08-11T12:44:00Z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