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44A7D1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D01406F" w14:textId="77777777" w:rsidR="00F35BAF" w:rsidRPr="00DB58B5" w:rsidRDefault="00F35BAF" w:rsidP="00A54B9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411D96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BCD7692" w14:textId="356D0A70" w:rsidR="00F35BAF" w:rsidRPr="00DB58B5" w:rsidRDefault="00A54B95" w:rsidP="00A54B95">
            <w:pPr>
              <w:jc w:val="right"/>
            </w:pPr>
            <w:r w:rsidRPr="00A54B95">
              <w:rPr>
                <w:sz w:val="40"/>
              </w:rPr>
              <w:t>ECE</w:t>
            </w:r>
            <w:r>
              <w:t>/TRANS/WP.29/GRSG/2021/19</w:t>
            </w:r>
          </w:p>
        </w:tc>
      </w:tr>
      <w:tr w:rsidR="00F35BAF" w:rsidRPr="00DB58B5" w14:paraId="2E45879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8AD516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277E295" wp14:editId="3C3C384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183D1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2E41A76" w14:textId="77777777" w:rsidR="00F35BAF" w:rsidRDefault="00A54B95" w:rsidP="00C97039">
            <w:pPr>
              <w:spacing w:before="240"/>
            </w:pPr>
            <w:r>
              <w:t>Distr. générale</w:t>
            </w:r>
          </w:p>
          <w:p w14:paraId="686C75C9" w14:textId="77777777" w:rsidR="00A54B95" w:rsidRDefault="00A54B95" w:rsidP="00A54B95">
            <w:pPr>
              <w:spacing w:line="240" w:lineRule="exact"/>
            </w:pPr>
            <w:r>
              <w:t>30 juillet 2021</w:t>
            </w:r>
          </w:p>
          <w:p w14:paraId="030AD8A1" w14:textId="77777777" w:rsidR="00A54B95" w:rsidRDefault="00A54B95" w:rsidP="00A54B95">
            <w:pPr>
              <w:spacing w:line="240" w:lineRule="exact"/>
            </w:pPr>
            <w:r>
              <w:t>Français</w:t>
            </w:r>
          </w:p>
          <w:p w14:paraId="78ECC4C4" w14:textId="7E3BB93E" w:rsidR="00A54B95" w:rsidRPr="00DB58B5" w:rsidRDefault="00A54B95" w:rsidP="00A54B95">
            <w:pPr>
              <w:spacing w:line="240" w:lineRule="exact"/>
            </w:pPr>
            <w:r>
              <w:t>Original : anglais</w:t>
            </w:r>
          </w:p>
        </w:tc>
      </w:tr>
    </w:tbl>
    <w:p w14:paraId="3C6EA2F6" w14:textId="54E95636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150F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B6E96A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2BAEA26" w14:textId="2615D9FB" w:rsidR="00A54B95" w:rsidRDefault="00A54B9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8150F0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7B568A2" w14:textId="77777777" w:rsidR="00A54B95" w:rsidRDefault="00A54B95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757BC47F" w14:textId="0673FA9F" w:rsidR="00A54B95" w:rsidRDefault="00A54B95" w:rsidP="00257168">
      <w:pPr>
        <w:spacing w:before="120" w:line="240" w:lineRule="exact"/>
        <w:rPr>
          <w:b/>
        </w:rPr>
      </w:pPr>
      <w:r>
        <w:rPr>
          <w:b/>
          <w:bCs/>
          <w:lang w:val="fr-FR"/>
        </w:rPr>
        <w:t>122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>
        <w:rPr>
          <w:b/>
        </w:rPr>
        <w:t>session</w:t>
      </w:r>
    </w:p>
    <w:p w14:paraId="282E3E70" w14:textId="1538243F" w:rsidR="00A54B95" w:rsidRDefault="00A54B95" w:rsidP="00257168">
      <w:pPr>
        <w:spacing w:line="240" w:lineRule="exact"/>
      </w:pPr>
      <w:r>
        <w:t xml:space="preserve">Genève, </w:t>
      </w:r>
      <w:r>
        <w:rPr>
          <w:lang w:val="fr-FR"/>
        </w:rPr>
        <w:t>12-15 octobre 2021</w:t>
      </w:r>
    </w:p>
    <w:p w14:paraId="111E23BC" w14:textId="673E8CCF" w:rsidR="00A54B95" w:rsidRDefault="00A54B95" w:rsidP="00257168">
      <w:pPr>
        <w:spacing w:line="240" w:lineRule="exact"/>
      </w:pPr>
      <w:r>
        <w:t xml:space="preserve">Point </w:t>
      </w:r>
      <w:r>
        <w:rPr>
          <w:lang w:val="fr-FR"/>
        </w:rPr>
        <w:t xml:space="preserve">5 </w:t>
      </w:r>
      <w:r>
        <w:t>de l</w:t>
      </w:r>
      <w:r w:rsidR="008150F0">
        <w:t>’</w:t>
      </w:r>
      <w:r>
        <w:t>ordre du jour provisoire</w:t>
      </w:r>
    </w:p>
    <w:p w14:paraId="353594C5" w14:textId="299B6D15" w:rsidR="00A54B95" w:rsidRPr="009A0389" w:rsidRDefault="00A54B95" w:rsidP="00A54B95">
      <w:pPr>
        <w:rPr>
          <w:lang w:val="fr-FR"/>
        </w:rPr>
      </w:pPr>
      <w:r>
        <w:rPr>
          <w:b/>
          <w:bCs/>
          <w:lang w:val="fr-FR"/>
        </w:rPr>
        <w:t>Règlement ONU n</w:t>
      </w:r>
      <w:r w:rsidR="00CF2F72">
        <w:rPr>
          <w:b/>
          <w:bCs/>
          <w:vertAlign w:val="superscript"/>
          <w:lang w:val="fr-FR"/>
        </w:rPr>
        <w:t>o</w:t>
      </w:r>
      <w:r w:rsidR="00CF2F72" w:rsidRPr="00CF2F72">
        <w:rPr>
          <w:b/>
          <w:bCs/>
          <w:lang w:val="fr-FR"/>
        </w:rPr>
        <w:t> </w:t>
      </w:r>
      <w:r>
        <w:rPr>
          <w:b/>
          <w:bCs/>
          <w:lang w:val="fr-FR"/>
        </w:rPr>
        <w:t>34 (Prévention des risques d</w:t>
      </w:r>
      <w:r w:rsidR="008150F0">
        <w:rPr>
          <w:b/>
          <w:bCs/>
          <w:lang w:val="fr-FR"/>
        </w:rPr>
        <w:t>’</w:t>
      </w:r>
      <w:r>
        <w:rPr>
          <w:b/>
          <w:bCs/>
          <w:lang w:val="fr-FR"/>
        </w:rPr>
        <w:t>incendie)</w:t>
      </w:r>
    </w:p>
    <w:p w14:paraId="639910D2" w14:textId="26EA4D9E" w:rsidR="00A54B95" w:rsidRPr="009A0389" w:rsidRDefault="00A54B95" w:rsidP="00A54B95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 3 à la série 03 d</w:t>
      </w:r>
      <w:r w:rsidR="008150F0">
        <w:rPr>
          <w:lang w:val="fr-FR"/>
        </w:rPr>
        <w:t>’</w:t>
      </w:r>
      <w:r>
        <w:rPr>
          <w:lang w:val="fr-FR"/>
        </w:rPr>
        <w:t>amendements au</w:t>
      </w:r>
      <w:r w:rsidR="005B2EB8">
        <w:rPr>
          <w:lang w:val="fr-FR"/>
        </w:rPr>
        <w:t> </w:t>
      </w:r>
      <w:r>
        <w:rPr>
          <w:lang w:val="fr-FR"/>
        </w:rPr>
        <w:t>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34</w:t>
      </w:r>
    </w:p>
    <w:p w14:paraId="02273E88" w14:textId="1D4633DC" w:rsidR="00A54B95" w:rsidRPr="009A0389" w:rsidRDefault="00A54B95" w:rsidP="00A54B95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8150F0">
        <w:rPr>
          <w:lang w:val="fr-FR"/>
        </w:rPr>
        <w:t>’</w:t>
      </w:r>
      <w:r>
        <w:rPr>
          <w:lang w:val="fr-FR"/>
        </w:rPr>
        <w:t>expert de l</w:t>
      </w:r>
      <w:r w:rsidR="008150F0">
        <w:rPr>
          <w:lang w:val="fr-FR"/>
        </w:rPr>
        <w:t>’</w:t>
      </w:r>
      <w:r>
        <w:rPr>
          <w:lang w:val="fr-FR"/>
        </w:rPr>
        <w:t>Organisation internationale des</w:t>
      </w:r>
      <w:r w:rsidR="005B2EB8">
        <w:rPr>
          <w:lang w:val="fr-FR"/>
        </w:rPr>
        <w:t> </w:t>
      </w:r>
      <w:r>
        <w:rPr>
          <w:lang w:val="fr-FR"/>
        </w:rPr>
        <w:t>constructeurs d</w:t>
      </w:r>
      <w:r w:rsidR="008150F0">
        <w:rPr>
          <w:lang w:val="fr-FR"/>
        </w:rPr>
        <w:t>’</w:t>
      </w:r>
      <w:r>
        <w:rPr>
          <w:lang w:val="fr-FR"/>
        </w:rPr>
        <w:t>automobiles</w:t>
      </w:r>
      <w:r w:rsidR="005B2EB8" w:rsidRPr="005B2EB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FDC69A4" w14:textId="1BB33956" w:rsidR="00F9573C" w:rsidRDefault="00A54B95" w:rsidP="00A54B95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établi par l</w:t>
      </w:r>
      <w:r w:rsidR="008150F0">
        <w:rPr>
          <w:lang w:val="fr-FR"/>
        </w:rPr>
        <w:t>’</w:t>
      </w:r>
      <w:r>
        <w:rPr>
          <w:lang w:val="fr-FR"/>
        </w:rPr>
        <w:t>expert de l</w:t>
      </w:r>
      <w:r w:rsidR="008150F0">
        <w:rPr>
          <w:lang w:val="fr-FR"/>
        </w:rPr>
        <w:t>’</w:t>
      </w:r>
      <w:r>
        <w:rPr>
          <w:lang w:val="fr-FR"/>
        </w:rPr>
        <w:t>Organisation internationale des constructeurs d</w:t>
      </w:r>
      <w:r w:rsidR="008150F0">
        <w:rPr>
          <w:lang w:val="fr-FR"/>
        </w:rPr>
        <w:t>’</w:t>
      </w:r>
      <w:r>
        <w:rPr>
          <w:lang w:val="fr-FR"/>
        </w:rPr>
        <w:t>automobiles (OICA), vise à retirer les véhicules des catégories 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du champ d</w:t>
      </w:r>
      <w:r w:rsidR="008150F0">
        <w:rPr>
          <w:lang w:val="fr-FR"/>
        </w:rPr>
        <w:t>’</w:t>
      </w:r>
      <w:r>
        <w:rPr>
          <w:lang w:val="fr-FR"/>
        </w:rPr>
        <w:t xml:space="preserve">application du </w:t>
      </w:r>
      <w:r w:rsidRPr="001E40B0">
        <w:rPr>
          <w:lang w:val="fr-FR"/>
        </w:rPr>
        <w:t>Règlement ONU n</w:t>
      </w:r>
      <w:r w:rsidRPr="001E40B0">
        <w:rPr>
          <w:vertAlign w:val="superscript"/>
          <w:lang w:val="fr-FR"/>
        </w:rPr>
        <w:t>o</w:t>
      </w:r>
      <w:r w:rsidRPr="001E40B0">
        <w:rPr>
          <w:lang w:val="fr-FR"/>
        </w:rPr>
        <w:t> 3</w:t>
      </w:r>
      <w:r w:rsidR="001E40B0" w:rsidRPr="001E40B0">
        <w:rPr>
          <w:lang w:val="fr-FR"/>
        </w:rPr>
        <w:t>4</w:t>
      </w:r>
      <w:r w:rsidRPr="001E40B0">
        <w:rPr>
          <w:lang w:val="fr-FR"/>
        </w:rPr>
        <w:t xml:space="preserve"> afin d</w:t>
      </w:r>
      <w:r w:rsidR="008150F0" w:rsidRPr="001E40B0">
        <w:rPr>
          <w:lang w:val="fr-FR"/>
        </w:rPr>
        <w:t>’</w:t>
      </w:r>
      <w:r w:rsidRPr="001E40B0">
        <w:rPr>
          <w:lang w:val="fr-FR"/>
        </w:rPr>
        <w:t>éviter de faire double emploi avec les Règlements ONU n</w:t>
      </w:r>
      <w:r w:rsidRPr="001E40B0">
        <w:rPr>
          <w:vertAlign w:val="superscript"/>
          <w:lang w:val="fr-FR"/>
        </w:rPr>
        <w:t>os</w:t>
      </w:r>
      <w:r w:rsidRPr="001E40B0">
        <w:rPr>
          <w:lang w:val="fr-FR"/>
        </w:rPr>
        <w:t> 94, 95 et 153. Il est fondé sur le document informel GRSG-121-41. Les</w:t>
      </w:r>
      <w:r w:rsidR="005B2EB8" w:rsidRPr="001E40B0">
        <w:rPr>
          <w:lang w:val="fr-FR"/>
        </w:rPr>
        <w:t> </w:t>
      </w:r>
      <w:r w:rsidRPr="001E40B0">
        <w:rPr>
          <w:lang w:val="fr-FR"/>
        </w:rPr>
        <w:t>modifications qu</w:t>
      </w:r>
      <w:r w:rsidR="008150F0" w:rsidRPr="001E40B0">
        <w:rPr>
          <w:lang w:val="fr-FR"/>
        </w:rPr>
        <w:t>’</w:t>
      </w:r>
      <w:r w:rsidRPr="001E40B0">
        <w:rPr>
          <w:lang w:val="fr-FR"/>
        </w:rPr>
        <w:t>il est proposé d</w:t>
      </w:r>
      <w:r w:rsidR="008150F0" w:rsidRPr="001E40B0">
        <w:rPr>
          <w:lang w:val="fr-FR"/>
        </w:rPr>
        <w:t>’</w:t>
      </w:r>
      <w:r w:rsidRPr="001E40B0">
        <w:rPr>
          <w:lang w:val="fr-FR"/>
        </w:rPr>
        <w:t>apporter au texte actuel du Règlement ONU n</w:t>
      </w:r>
      <w:r w:rsidRPr="001E40B0">
        <w:rPr>
          <w:vertAlign w:val="superscript"/>
          <w:lang w:val="fr-FR"/>
        </w:rPr>
        <w:t>o</w:t>
      </w:r>
      <w:r w:rsidRPr="001E40B0">
        <w:rPr>
          <w:lang w:val="fr-FR"/>
        </w:rPr>
        <w:t> 3</w:t>
      </w:r>
      <w:r w:rsidR="001E40B0" w:rsidRPr="001E40B0">
        <w:rPr>
          <w:lang w:val="fr-FR"/>
        </w:rPr>
        <w:t>4</w:t>
      </w:r>
      <w:r>
        <w:rPr>
          <w:lang w:val="fr-FR"/>
        </w:rPr>
        <w:t xml:space="preserve"> figurent en caractères gras pour les ajouts et biffés pour les suppressions.</w:t>
      </w:r>
    </w:p>
    <w:p w14:paraId="65619BC3" w14:textId="0B126980" w:rsidR="00A54B95" w:rsidRDefault="00A54B95" w:rsidP="00A54B95">
      <w:pPr>
        <w:rPr>
          <w:lang w:val="fr-FR"/>
        </w:rPr>
      </w:pPr>
      <w:r>
        <w:rPr>
          <w:lang w:val="fr-FR"/>
        </w:rPr>
        <w:br w:type="page"/>
      </w:r>
    </w:p>
    <w:p w14:paraId="456BB898" w14:textId="77777777" w:rsidR="00A54B95" w:rsidRPr="009A0389" w:rsidRDefault="00A54B95" w:rsidP="005B2EB8">
      <w:pPr>
        <w:pStyle w:val="HChG"/>
        <w:rPr>
          <w:szCs w:val="28"/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5095857F" w14:textId="77777777" w:rsidR="00A54B95" w:rsidRPr="009A0389" w:rsidRDefault="00A54B95" w:rsidP="005B2EB8">
      <w:pPr>
        <w:pStyle w:val="SingleTxtG"/>
        <w:rPr>
          <w:bCs/>
          <w:lang w:val="fr-FR"/>
        </w:rPr>
      </w:pPr>
      <w:r>
        <w:rPr>
          <w:i/>
          <w:iCs/>
          <w:lang w:val="fr-FR"/>
        </w:rPr>
        <w:t>Paragraphe 1.</w:t>
      </w:r>
      <w:r>
        <w:rPr>
          <w:lang w:val="fr-FR"/>
        </w:rPr>
        <w:t>, lire (la note de bas de page demeure inchangée) :</w:t>
      </w:r>
    </w:p>
    <w:p w14:paraId="132F30A8" w14:textId="22839642" w:rsidR="00A54B95" w:rsidRPr="009A0389" w:rsidRDefault="00A54B95" w:rsidP="005B2EB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5B2EB8">
        <w:rPr>
          <w:b/>
          <w:bCs/>
          <w:lang w:val="fr-FR"/>
        </w:rPr>
        <w:t>1.</w:t>
      </w:r>
      <w:r w:rsidRPr="005B2EB8">
        <w:rPr>
          <w:b/>
          <w:bCs/>
          <w:lang w:val="fr-FR"/>
        </w:rPr>
        <w:tab/>
        <w:t>Domaine d</w:t>
      </w:r>
      <w:r w:rsidR="008150F0">
        <w:rPr>
          <w:b/>
          <w:bCs/>
          <w:lang w:val="fr-FR"/>
        </w:rPr>
        <w:t>’</w:t>
      </w:r>
      <w:r w:rsidRPr="005B2EB8">
        <w:rPr>
          <w:b/>
          <w:bCs/>
          <w:lang w:val="fr-FR"/>
        </w:rPr>
        <w:t>application</w:t>
      </w:r>
    </w:p>
    <w:p w14:paraId="146A5681" w14:textId="7ABF7BC7" w:rsidR="00A54B95" w:rsidRPr="009A0389" w:rsidRDefault="00A54B95" w:rsidP="005B2EB8">
      <w:pPr>
        <w:pStyle w:val="SingleTxtG"/>
        <w:ind w:left="2268"/>
        <w:rPr>
          <w:bCs/>
          <w:lang w:val="fr-FR"/>
        </w:rPr>
      </w:pPr>
      <w:r>
        <w:rPr>
          <w:lang w:val="fr-FR"/>
        </w:rPr>
        <w:t>Le présent Règlement s</w:t>
      </w:r>
      <w:r w:rsidR="008150F0">
        <w:rPr>
          <w:lang w:val="fr-FR"/>
        </w:rPr>
        <w:t>’</w:t>
      </w:r>
      <w:r>
        <w:rPr>
          <w:lang w:val="fr-FR"/>
        </w:rPr>
        <w:t xml:space="preserve">applique à : </w:t>
      </w:r>
    </w:p>
    <w:p w14:paraId="4E85528D" w14:textId="55CA706F" w:rsidR="00A54B95" w:rsidRPr="009A0389" w:rsidRDefault="00A54B95" w:rsidP="005B2EB8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1.1</w:t>
      </w:r>
      <w:r>
        <w:rPr>
          <w:lang w:val="fr-FR"/>
        </w:rPr>
        <w:tab/>
        <w:t>Partie I : L</w:t>
      </w:r>
      <w:r w:rsidR="008150F0">
        <w:rPr>
          <w:lang w:val="fr-FR"/>
        </w:rPr>
        <w:t>’</w:t>
      </w:r>
      <w:r>
        <w:rPr>
          <w:lang w:val="fr-FR"/>
        </w:rPr>
        <w:t>homologation de</w:t>
      </w:r>
      <w:r>
        <w:rPr>
          <w:b/>
          <w:bCs/>
          <w:lang w:val="fr-FR"/>
        </w:rPr>
        <w:t>s</w:t>
      </w:r>
      <w:r>
        <w:rPr>
          <w:lang w:val="fr-FR"/>
        </w:rPr>
        <w:t xml:space="preserve"> véhicules de catégories M, N et O* en ce qui concerne le(s) réservoir(s) à carburant liquide.</w:t>
      </w:r>
    </w:p>
    <w:p w14:paraId="6BBCD432" w14:textId="6BB1E637" w:rsidR="00A54B95" w:rsidRPr="009A0389" w:rsidRDefault="00A54B95" w:rsidP="005B2EB8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1.2</w:t>
      </w:r>
      <w:r>
        <w:rPr>
          <w:lang w:val="fr-FR"/>
        </w:rPr>
        <w:tab/>
        <w:t>Partie II</w:t>
      </w:r>
      <w:r>
        <w:rPr>
          <w:strike/>
          <w:lang w:val="fr-FR"/>
        </w:rPr>
        <w:t>-1</w:t>
      </w:r>
      <w:r>
        <w:rPr>
          <w:lang w:val="fr-FR"/>
        </w:rPr>
        <w:t xml:space="preserve"> : </w:t>
      </w:r>
      <w:r>
        <w:rPr>
          <w:strike/>
          <w:lang w:val="fr-FR"/>
        </w:rPr>
        <w:t>À l</w:t>
      </w:r>
      <w:r>
        <w:rPr>
          <w:b/>
          <w:bCs/>
          <w:lang w:val="fr-FR"/>
        </w:rPr>
        <w:t>L</w:t>
      </w:r>
      <w:r w:rsidR="008150F0">
        <w:rPr>
          <w:lang w:val="fr-FR"/>
        </w:rPr>
        <w:t>’</w:t>
      </w:r>
      <w:r>
        <w:rPr>
          <w:lang w:val="fr-FR"/>
        </w:rPr>
        <w:t xml:space="preserve">homologation, à la demande du constructeur, des véhicules de catégories </w:t>
      </w:r>
      <w:r>
        <w:rPr>
          <w:strike/>
          <w:lang w:val="fr-FR"/>
        </w:rPr>
        <w:t>M, N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M</w:t>
      </w:r>
      <w:r>
        <w:rPr>
          <w:b/>
          <w:bCs/>
          <w:vertAlign w:val="subscript"/>
          <w:lang w:val="fr-FR"/>
        </w:rPr>
        <w:t>2</w:t>
      </w:r>
      <w:r>
        <w:rPr>
          <w:b/>
          <w:bCs/>
          <w:lang w:val="fr-FR"/>
        </w:rPr>
        <w:t>, M</w:t>
      </w:r>
      <w:r>
        <w:rPr>
          <w:b/>
          <w:bCs/>
          <w:vertAlign w:val="subscript"/>
          <w:lang w:val="fr-FR"/>
        </w:rPr>
        <w:t>3</w:t>
      </w:r>
      <w:r>
        <w:rPr>
          <w:b/>
          <w:bCs/>
          <w:lang w:val="fr-FR"/>
        </w:rPr>
        <w:t>, N</w:t>
      </w:r>
      <w:r>
        <w:rPr>
          <w:b/>
          <w:bCs/>
          <w:vertAlign w:val="subscript"/>
          <w:lang w:val="fr-FR"/>
        </w:rPr>
        <w:t>2</w:t>
      </w:r>
      <w:r>
        <w:rPr>
          <w:b/>
          <w:bCs/>
          <w:lang w:val="fr-FR"/>
        </w:rPr>
        <w:t>, N</w:t>
      </w:r>
      <w:r>
        <w:rPr>
          <w:b/>
          <w:bCs/>
          <w:vertAlign w:val="subscript"/>
          <w:lang w:val="fr-FR"/>
        </w:rPr>
        <w:t>3</w:t>
      </w:r>
      <w:r>
        <w:rPr>
          <w:lang w:val="fr-FR"/>
        </w:rPr>
        <w:t xml:space="preserve"> et O, équipés d</w:t>
      </w:r>
      <w:r w:rsidR="008150F0">
        <w:rPr>
          <w:lang w:val="fr-FR"/>
        </w:rPr>
        <w:t>’</w:t>
      </w:r>
      <w:r>
        <w:rPr>
          <w:lang w:val="fr-FR"/>
        </w:rPr>
        <w:t xml:space="preserve">un ou de plusieurs réservoir(s) à carburant liquide, qui ont été homologués conformément à la partie I ou IV du présent </w:t>
      </w:r>
      <w:r w:rsidRPr="00CE693C">
        <w:rPr>
          <w:lang w:val="fr-FR"/>
        </w:rPr>
        <w:t>Règlement en ce qui concerne la prévention des risques d</w:t>
      </w:r>
      <w:r w:rsidR="008150F0" w:rsidRPr="00CE693C">
        <w:rPr>
          <w:lang w:val="fr-FR"/>
        </w:rPr>
        <w:t>’</w:t>
      </w:r>
      <w:r w:rsidRPr="00CE693C">
        <w:rPr>
          <w:lang w:val="fr-FR"/>
        </w:rPr>
        <w:t xml:space="preserve">incendie en cas de choc </w:t>
      </w:r>
      <w:r w:rsidRPr="00CE693C">
        <w:rPr>
          <w:b/>
          <w:bCs/>
          <w:lang w:val="fr-FR"/>
        </w:rPr>
        <w:t>avant et/ou arrière</w:t>
      </w:r>
      <w:r w:rsidRPr="00CE693C">
        <w:rPr>
          <w:lang w:val="fr-FR"/>
        </w:rPr>
        <w:t xml:space="preserve"> </w:t>
      </w:r>
      <w:r w:rsidRPr="00CE693C">
        <w:rPr>
          <w:strike/>
          <w:lang w:val="fr-FR"/>
        </w:rPr>
        <w:t>frontal</w:t>
      </w:r>
      <w:r>
        <w:rPr>
          <w:strike/>
          <w:lang w:val="fr-FR"/>
        </w:rPr>
        <w:t xml:space="preserve"> et/ou latéral ainsi que des véhicules de catégories M</w:t>
      </w:r>
      <w:r>
        <w:rPr>
          <w:strike/>
          <w:vertAlign w:val="subscript"/>
          <w:lang w:val="fr-FR"/>
        </w:rPr>
        <w:t>1</w:t>
      </w:r>
      <w:r>
        <w:rPr>
          <w:strike/>
          <w:lang w:val="fr-FR"/>
        </w:rPr>
        <w:t xml:space="preserve"> et N</w:t>
      </w:r>
      <w:r>
        <w:rPr>
          <w:strike/>
          <w:vertAlign w:val="subscript"/>
          <w:lang w:val="fr-FR"/>
        </w:rPr>
        <w:t>1</w:t>
      </w:r>
      <w:r>
        <w:rPr>
          <w:strike/>
          <w:lang w:val="fr-FR"/>
        </w:rPr>
        <w:t>, qui ont une masse maximale autorisée supérieure à 2,8 tonnes, et de catégories M</w:t>
      </w:r>
      <w:r>
        <w:rPr>
          <w:strike/>
          <w:vertAlign w:val="subscript"/>
          <w:lang w:val="fr-FR"/>
        </w:rPr>
        <w:t>2</w:t>
      </w:r>
      <w:r>
        <w:rPr>
          <w:strike/>
          <w:lang w:val="fr-FR"/>
        </w:rPr>
        <w:t>, M</w:t>
      </w:r>
      <w:r>
        <w:rPr>
          <w:strike/>
          <w:vertAlign w:val="subscript"/>
          <w:lang w:val="fr-FR"/>
        </w:rPr>
        <w:t>3</w:t>
      </w:r>
      <w:r>
        <w:rPr>
          <w:strike/>
          <w:lang w:val="fr-FR"/>
        </w:rPr>
        <w:t>, N</w:t>
      </w:r>
      <w:r>
        <w:rPr>
          <w:strike/>
          <w:vertAlign w:val="subscript"/>
          <w:lang w:val="fr-FR"/>
        </w:rPr>
        <w:t>2</w:t>
      </w:r>
      <w:r>
        <w:rPr>
          <w:strike/>
          <w:lang w:val="fr-FR"/>
        </w:rPr>
        <w:t>, N</w:t>
      </w:r>
      <w:r>
        <w:rPr>
          <w:strike/>
          <w:vertAlign w:val="subscript"/>
          <w:lang w:val="fr-FR"/>
        </w:rPr>
        <w:t>3</w:t>
      </w:r>
      <w:r>
        <w:rPr>
          <w:strike/>
          <w:lang w:val="fr-FR"/>
        </w:rPr>
        <w:t xml:space="preserve"> et O, équipés d</w:t>
      </w:r>
      <w:r w:rsidR="008150F0">
        <w:rPr>
          <w:strike/>
          <w:lang w:val="fr-FR"/>
        </w:rPr>
        <w:t>’</w:t>
      </w:r>
      <w:r>
        <w:rPr>
          <w:strike/>
          <w:lang w:val="fr-FR"/>
        </w:rPr>
        <w:t>un ou de plusieurs réservoir(s) à carburant liquide, qui ont été homologués conformément à la partie I ou IV du présent Règlement en ce qui concerne la prévention des risques d</w:t>
      </w:r>
      <w:r w:rsidR="008150F0">
        <w:rPr>
          <w:strike/>
          <w:lang w:val="fr-FR"/>
        </w:rPr>
        <w:t>’</w:t>
      </w:r>
      <w:r>
        <w:rPr>
          <w:strike/>
          <w:lang w:val="fr-FR"/>
        </w:rPr>
        <w:t>incendie en cas de choc arrière</w:t>
      </w:r>
      <w:r>
        <w:rPr>
          <w:lang w:val="fr-FR"/>
        </w:rPr>
        <w:t>.</w:t>
      </w:r>
    </w:p>
    <w:p w14:paraId="46256E5C" w14:textId="1F3D7E5F" w:rsidR="00A54B95" w:rsidRPr="009A0389" w:rsidRDefault="00A54B95" w:rsidP="005B2EB8">
      <w:pPr>
        <w:pStyle w:val="SingleTxtG"/>
        <w:ind w:left="2268"/>
        <w:rPr>
          <w:bCs/>
          <w:strike/>
          <w:lang w:val="fr-FR"/>
        </w:rPr>
      </w:pPr>
      <w:r>
        <w:rPr>
          <w:strike/>
          <w:lang w:val="fr-FR"/>
        </w:rPr>
        <w:t>Partie II-2 : À l</w:t>
      </w:r>
      <w:r w:rsidR="008150F0">
        <w:rPr>
          <w:strike/>
          <w:lang w:val="fr-FR"/>
        </w:rPr>
        <w:t>’</w:t>
      </w:r>
      <w:r>
        <w:rPr>
          <w:strike/>
          <w:lang w:val="fr-FR"/>
        </w:rPr>
        <w:t>homologation des véhicules de catégories M</w:t>
      </w:r>
      <w:r>
        <w:rPr>
          <w:strike/>
          <w:vertAlign w:val="subscript"/>
          <w:lang w:val="fr-FR"/>
        </w:rPr>
        <w:t>1</w:t>
      </w:r>
      <w:r>
        <w:rPr>
          <w:strike/>
          <w:lang w:val="fr-FR"/>
        </w:rPr>
        <w:t xml:space="preserve"> et N</w:t>
      </w:r>
      <w:r>
        <w:rPr>
          <w:strike/>
          <w:vertAlign w:val="subscript"/>
          <w:lang w:val="fr-FR"/>
        </w:rPr>
        <w:t>1</w:t>
      </w:r>
      <w:r>
        <w:rPr>
          <w:strike/>
          <w:lang w:val="fr-FR"/>
        </w:rPr>
        <w:t>, qui ont une masse maximale autorisée ne dépassant pas 2,8 tonnes et qui sont équipés d</w:t>
      </w:r>
      <w:r w:rsidR="008150F0">
        <w:rPr>
          <w:strike/>
          <w:lang w:val="fr-FR"/>
        </w:rPr>
        <w:t>’</w:t>
      </w:r>
      <w:r>
        <w:rPr>
          <w:strike/>
          <w:lang w:val="fr-FR"/>
        </w:rPr>
        <w:t>un ou de plusieurs réservoir(s) à carburant liquide et homologués conformément à la partie I ou IV du présent Règlement en ce qui concerne la prévention des risques d</w:t>
      </w:r>
      <w:r w:rsidR="008150F0">
        <w:rPr>
          <w:strike/>
          <w:lang w:val="fr-FR"/>
        </w:rPr>
        <w:t>’</w:t>
      </w:r>
      <w:r>
        <w:rPr>
          <w:strike/>
          <w:lang w:val="fr-FR"/>
        </w:rPr>
        <w:t>incendie en cas de choc arrière.</w:t>
      </w:r>
    </w:p>
    <w:p w14:paraId="2507A45A" w14:textId="308DB32F" w:rsidR="00A54B95" w:rsidRPr="009A0389" w:rsidRDefault="00A54B95" w:rsidP="005B2EB8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1.3</w:t>
      </w:r>
      <w:r>
        <w:rPr>
          <w:lang w:val="fr-FR"/>
        </w:rPr>
        <w:tab/>
        <w:t>Partie III : L</w:t>
      </w:r>
      <w:r w:rsidR="008150F0">
        <w:rPr>
          <w:lang w:val="fr-FR"/>
        </w:rPr>
        <w:t>’</w:t>
      </w:r>
      <w:r>
        <w:rPr>
          <w:lang w:val="fr-FR"/>
        </w:rPr>
        <w:t>homologation des réservoirs à carburant liquide en tant qu</w:t>
      </w:r>
      <w:r w:rsidR="008150F0">
        <w:rPr>
          <w:lang w:val="fr-FR"/>
        </w:rPr>
        <w:t>’</w:t>
      </w:r>
      <w:r>
        <w:rPr>
          <w:lang w:val="fr-FR"/>
        </w:rPr>
        <w:t>unités techniques distinctes.</w:t>
      </w:r>
    </w:p>
    <w:p w14:paraId="3138DDDF" w14:textId="425142AC" w:rsidR="00A54B95" w:rsidRPr="009A0389" w:rsidRDefault="00A54B95" w:rsidP="005B2EB8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1.4</w:t>
      </w:r>
      <w:r>
        <w:rPr>
          <w:lang w:val="fr-FR"/>
        </w:rPr>
        <w:tab/>
        <w:t>Partie IV : L</w:t>
      </w:r>
      <w:r w:rsidR="008150F0">
        <w:rPr>
          <w:lang w:val="fr-FR"/>
        </w:rPr>
        <w:t>’</w:t>
      </w:r>
      <w:r>
        <w:rPr>
          <w:lang w:val="fr-FR"/>
        </w:rPr>
        <w:t>homologation des véhicules en ce qui concerne l</w:t>
      </w:r>
      <w:r w:rsidR="008150F0">
        <w:rPr>
          <w:lang w:val="fr-FR"/>
        </w:rPr>
        <w:t>’</w:t>
      </w:r>
      <w:r>
        <w:rPr>
          <w:lang w:val="fr-FR"/>
        </w:rPr>
        <w:t>installation de réservoirs à carburant liquide homologués. ».</w:t>
      </w:r>
    </w:p>
    <w:p w14:paraId="6DA4914C" w14:textId="77777777" w:rsidR="00A54B95" w:rsidRPr="009A0389" w:rsidRDefault="00A54B95" w:rsidP="005B2EB8">
      <w:pPr>
        <w:pStyle w:val="SingleTxtG"/>
        <w:rPr>
          <w:bCs/>
          <w:spacing w:val="-2"/>
          <w:lang w:val="fr-FR"/>
        </w:rPr>
      </w:pPr>
      <w:r>
        <w:rPr>
          <w:i/>
          <w:iCs/>
          <w:lang w:val="fr-FR"/>
        </w:rPr>
        <w:t>Paragraphe 3.1.4.2</w:t>
      </w:r>
      <w:r>
        <w:rPr>
          <w:lang w:val="fr-FR"/>
        </w:rPr>
        <w:t>, lire :</w:t>
      </w:r>
    </w:p>
    <w:p w14:paraId="5D66EFEB" w14:textId="6155638D" w:rsidR="00A54B95" w:rsidRPr="009A0389" w:rsidRDefault="00A54B95" w:rsidP="005B2EB8">
      <w:pPr>
        <w:pStyle w:val="SingleTxtG"/>
        <w:ind w:left="2268" w:hanging="1134"/>
        <w:rPr>
          <w:bCs/>
          <w:spacing w:val="-2"/>
          <w:lang w:val="fr-FR"/>
        </w:rPr>
      </w:pPr>
      <w:r>
        <w:rPr>
          <w:lang w:val="fr-FR"/>
        </w:rPr>
        <w:t>« 3.1.4.2</w:t>
      </w:r>
      <w:r>
        <w:rPr>
          <w:lang w:val="fr-FR"/>
        </w:rPr>
        <w:tab/>
        <w:t xml:space="preserve">Du numéro du présent Règlement, suivi de </w:t>
      </w:r>
      <w:r w:rsidR="002B5F6A">
        <w:rPr>
          <w:lang w:val="fr-FR"/>
        </w:rPr>
        <w:t>“</w:t>
      </w:r>
      <w:r>
        <w:rPr>
          <w:lang w:val="fr-FR"/>
        </w:rPr>
        <w:t>RI</w:t>
      </w:r>
      <w:r w:rsidR="002B5F6A">
        <w:rPr>
          <w:lang w:val="fr-FR"/>
        </w:rPr>
        <w:t>”</w:t>
      </w:r>
      <w:r>
        <w:rPr>
          <w:lang w:val="fr-FR"/>
        </w:rPr>
        <w:t xml:space="preserve"> si le véhicule est homologué en application de la partie I du Règlement ou de </w:t>
      </w:r>
      <w:r w:rsidR="002B5F6A">
        <w:rPr>
          <w:lang w:val="fr-FR"/>
        </w:rPr>
        <w:t>“</w:t>
      </w:r>
      <w:r>
        <w:rPr>
          <w:lang w:val="fr-FR"/>
        </w:rPr>
        <w:t>RII</w:t>
      </w:r>
      <w:r>
        <w:rPr>
          <w:strike/>
          <w:lang w:val="fr-FR"/>
        </w:rPr>
        <w:t>-1</w:t>
      </w:r>
      <w:r w:rsidR="002B5F6A">
        <w:rPr>
          <w:lang w:val="fr-FR"/>
        </w:rPr>
        <w:t>”</w:t>
      </w:r>
      <w:r>
        <w:rPr>
          <w:lang w:val="fr-FR"/>
        </w:rPr>
        <w:t xml:space="preserve"> si le véhicule est homologué en application des parties I ou IV et de la partie II</w:t>
      </w:r>
      <w:r>
        <w:rPr>
          <w:strike/>
          <w:lang w:val="fr-FR"/>
        </w:rPr>
        <w:t>-1</w:t>
      </w:r>
      <w:r>
        <w:rPr>
          <w:lang w:val="fr-FR"/>
        </w:rPr>
        <w:t xml:space="preserve"> du Règlement, </w:t>
      </w:r>
      <w:r>
        <w:rPr>
          <w:strike/>
          <w:lang w:val="fr-FR"/>
        </w:rPr>
        <w:t xml:space="preserve">ou de « RII-2 » si le véhicule est homologué en application des parties I ou IV et de la partie II-2 du Règlement, </w:t>
      </w:r>
      <w:r>
        <w:rPr>
          <w:lang w:val="fr-FR"/>
        </w:rPr>
        <w:t>d</w:t>
      </w:r>
      <w:r w:rsidR="008150F0">
        <w:rPr>
          <w:lang w:val="fr-FR"/>
        </w:rPr>
        <w:t>’</w:t>
      </w:r>
      <w:r>
        <w:rPr>
          <w:lang w:val="fr-FR"/>
        </w:rPr>
        <w:t>un tiret et du numéro d</w:t>
      </w:r>
      <w:r w:rsidR="008150F0">
        <w:rPr>
          <w:lang w:val="fr-FR"/>
        </w:rPr>
        <w:t>’</w:t>
      </w:r>
      <w:r>
        <w:rPr>
          <w:lang w:val="fr-FR"/>
        </w:rPr>
        <w:t>homologation placés à la droite du cercle prévu au paragraphe 3.1.4.1. ».</w:t>
      </w:r>
    </w:p>
    <w:p w14:paraId="510EE602" w14:textId="77777777" w:rsidR="00A54B95" w:rsidRPr="009A0389" w:rsidRDefault="00A54B95" w:rsidP="005B2EB8">
      <w:pPr>
        <w:pStyle w:val="SingleTxtG"/>
        <w:rPr>
          <w:lang w:val="fr-FR"/>
        </w:rPr>
      </w:pPr>
      <w:bookmarkStart w:id="0" w:name="_Hlk69395686"/>
      <w:r>
        <w:rPr>
          <w:i/>
          <w:iCs/>
          <w:lang w:val="fr-FR"/>
        </w:rPr>
        <w:t>Partie II-1 (titre)</w:t>
      </w:r>
      <w:r>
        <w:rPr>
          <w:lang w:val="fr-FR"/>
        </w:rPr>
        <w:t>, lire (suppression de « -1 ») :</w:t>
      </w:r>
    </w:p>
    <w:bookmarkEnd w:id="0"/>
    <w:p w14:paraId="439ABA2F" w14:textId="563BCCAE" w:rsidR="00A54B95" w:rsidRPr="009A0389" w:rsidRDefault="005B2EB8" w:rsidP="005B2EB8">
      <w:pPr>
        <w:pStyle w:val="HChG"/>
        <w:rPr>
          <w:lang w:val="fr-FR"/>
        </w:rPr>
      </w:pPr>
      <w:r>
        <w:rPr>
          <w:b w:val="0"/>
          <w:bCs/>
          <w:sz w:val="20"/>
          <w:lang w:val="fr-FR"/>
        </w:rPr>
        <w:tab/>
      </w:r>
      <w:r>
        <w:rPr>
          <w:b w:val="0"/>
          <w:bCs/>
          <w:sz w:val="20"/>
          <w:lang w:val="fr-FR"/>
        </w:rPr>
        <w:tab/>
      </w:r>
      <w:r w:rsidR="00A54B95" w:rsidRPr="005B2EB8">
        <w:rPr>
          <w:b w:val="0"/>
          <w:bCs/>
          <w:sz w:val="20"/>
          <w:lang w:val="fr-FR"/>
        </w:rPr>
        <w:t>« </w:t>
      </w:r>
      <w:r w:rsidR="00A54B95">
        <w:rPr>
          <w:lang w:val="fr-FR"/>
        </w:rPr>
        <w:t>Partie II</w:t>
      </w:r>
      <w:r w:rsidR="00A54B95">
        <w:rPr>
          <w:strike/>
          <w:lang w:val="fr-FR"/>
        </w:rPr>
        <w:t>-1</w:t>
      </w:r>
      <w:r w:rsidR="00A54B95">
        <w:rPr>
          <w:lang w:val="fr-FR"/>
        </w:rPr>
        <w:t> – Homologation des véhicules en ce qui concerne la prévention des risques d</w:t>
      </w:r>
      <w:r w:rsidR="008150F0">
        <w:rPr>
          <w:lang w:val="fr-FR"/>
        </w:rPr>
        <w:t>’</w:t>
      </w:r>
      <w:r w:rsidR="00A54B95">
        <w:rPr>
          <w:lang w:val="fr-FR"/>
        </w:rPr>
        <w:t>incendie en cas de collision</w:t>
      </w:r>
      <w:r w:rsidR="00A54B95" w:rsidRPr="005B2EB8">
        <w:rPr>
          <w:b w:val="0"/>
          <w:bCs/>
          <w:sz w:val="20"/>
          <w:lang w:val="fr-FR"/>
        </w:rPr>
        <w:t> ».</w:t>
      </w:r>
    </w:p>
    <w:p w14:paraId="21E586A6" w14:textId="77777777" w:rsidR="00A54B95" w:rsidRPr="009A0389" w:rsidRDefault="00A54B95" w:rsidP="005B2EB8">
      <w:pPr>
        <w:pStyle w:val="SingleTxtG"/>
        <w:rPr>
          <w:lang w:val="fr-FR"/>
        </w:rPr>
      </w:pPr>
      <w:r>
        <w:rPr>
          <w:i/>
          <w:iCs/>
          <w:lang w:val="fr-FR"/>
        </w:rPr>
        <w:t>Paragraphe 7.2.2</w:t>
      </w:r>
      <w:r>
        <w:rPr>
          <w:lang w:val="fr-FR"/>
        </w:rPr>
        <w:t>, supprimer et renuméroter les paragraphes suivants en conséquence.</w:t>
      </w:r>
    </w:p>
    <w:p w14:paraId="7D6B6585" w14:textId="77777777" w:rsidR="00A54B95" w:rsidRPr="009A0389" w:rsidRDefault="00A54B95" w:rsidP="005B2EB8">
      <w:pPr>
        <w:pStyle w:val="SingleTxtG"/>
        <w:rPr>
          <w:i/>
          <w:iCs/>
          <w:lang w:val="fr-FR"/>
        </w:rPr>
      </w:pPr>
      <w:r>
        <w:rPr>
          <w:i/>
          <w:iCs/>
          <w:lang w:val="fr-FR"/>
        </w:rPr>
        <w:t xml:space="preserve">Partie II-2, </w:t>
      </w:r>
      <w:r>
        <w:rPr>
          <w:lang w:val="fr-FR"/>
        </w:rPr>
        <w:t>supprimer.</w:t>
      </w:r>
    </w:p>
    <w:p w14:paraId="1C2289A4" w14:textId="77777777" w:rsidR="00A54B95" w:rsidRPr="009A0389" w:rsidRDefault="00A54B95" w:rsidP="005B2EB8">
      <w:pPr>
        <w:pStyle w:val="SingleTxtG"/>
        <w:keepNext/>
        <w:keepLines/>
        <w:rPr>
          <w:lang w:val="fr-FR"/>
        </w:rPr>
      </w:pPr>
      <w:r>
        <w:rPr>
          <w:i/>
          <w:iCs/>
          <w:lang w:val="fr-FR"/>
        </w:rPr>
        <w:lastRenderedPageBreak/>
        <w:t>Annexe 2</w:t>
      </w:r>
      <w:r>
        <w:rPr>
          <w:lang w:val="fr-FR"/>
        </w:rPr>
        <w:t>, lire (les modifications sont surlignées en jaune, la note de bas de page demeure inchangée) :</w:t>
      </w:r>
    </w:p>
    <w:p w14:paraId="740728D3" w14:textId="77777777" w:rsidR="00A54B95" w:rsidRPr="009A0389" w:rsidRDefault="00A54B95" w:rsidP="005B2EB8">
      <w:pPr>
        <w:pStyle w:val="SingleTxtG"/>
        <w:keepNext/>
        <w:keepLines/>
        <w:rPr>
          <w:bCs/>
          <w:spacing w:val="-2"/>
          <w:lang w:val="fr-FR"/>
        </w:rPr>
      </w:pPr>
      <w:r>
        <w:rPr>
          <w:lang w:val="fr-FR"/>
        </w:rPr>
        <w:t>« Modèle B</w:t>
      </w:r>
    </w:p>
    <w:p w14:paraId="51B61519" w14:textId="77777777" w:rsidR="00A54B95" w:rsidRPr="009A0389" w:rsidRDefault="00A54B95" w:rsidP="005B2EB8">
      <w:pPr>
        <w:pStyle w:val="SingleTxtG"/>
        <w:keepNext/>
        <w:keepLines/>
        <w:rPr>
          <w:bCs/>
          <w:spacing w:val="-2"/>
          <w:lang w:val="fr-FR"/>
        </w:rPr>
      </w:pPr>
      <w:r>
        <w:rPr>
          <w:lang w:val="fr-FR"/>
        </w:rPr>
        <w:t>(Voir le paragraphe 3.1.5 du présent Règlement)</w:t>
      </w:r>
    </w:p>
    <w:p w14:paraId="51543008" w14:textId="77777777" w:rsidR="00A54B95" w:rsidRPr="006F0F98" w:rsidRDefault="00A54B95" w:rsidP="005B2EB8">
      <w:pPr>
        <w:keepNext/>
        <w:keepLines/>
        <w:jc w:val="center"/>
        <w:rPr>
          <w:spacing w:val="-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DFF3" wp14:editId="2E724B17">
                <wp:simplePos x="0" y="0"/>
                <wp:positionH relativeFrom="column">
                  <wp:posOffset>2715260</wp:posOffset>
                </wp:positionH>
                <wp:positionV relativeFrom="paragraph">
                  <wp:posOffset>259697</wp:posOffset>
                </wp:positionV>
                <wp:extent cx="1991995" cy="588645"/>
                <wp:effectExtent l="0" t="0" r="8255" b="190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06"/>
                              <w:gridCol w:w="1407"/>
                            </w:tblGrid>
                            <w:tr w:rsidR="00A54B95" w:rsidRPr="00BB4637" w14:paraId="75F8E8EC" w14:textId="77777777">
                              <w:tc>
                                <w:tcPr>
                                  <w:tcW w:w="1406" w:type="dxa"/>
                                </w:tcPr>
                                <w:p w14:paraId="54C126FA" w14:textId="77777777" w:rsidR="00A54B95" w:rsidRPr="00116F65" w:rsidRDefault="00A54B95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34RII</w:t>
                                  </w:r>
                                  <w:r w:rsidRPr="002C0DCA">
                                    <w:rPr>
                                      <w:b/>
                                      <w:bCs/>
                                      <w:strike/>
                                      <w:highlight w:val="yellow"/>
                                      <w:lang w:val="fr-FR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11013272" w14:textId="77777777" w:rsidR="00A54B95" w:rsidRPr="00116F65" w:rsidRDefault="00A54B95" w:rsidP="007B083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031234</w:t>
                                  </w:r>
                                </w:p>
                              </w:tc>
                            </w:tr>
                            <w:tr w:rsidR="00A54B95" w:rsidRPr="00BB4637" w14:paraId="4D154EF5" w14:textId="77777777">
                              <w:tc>
                                <w:tcPr>
                                  <w:tcW w:w="1406" w:type="dxa"/>
                                </w:tcPr>
                                <w:p w14:paraId="690C97B3" w14:textId="77777777" w:rsidR="00A54B95" w:rsidRPr="00116F65" w:rsidRDefault="00A54B95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23249282" w14:textId="77777777" w:rsidR="00A54B95" w:rsidRPr="00116F65" w:rsidRDefault="00A54B95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001628</w:t>
                                  </w:r>
                                </w:p>
                              </w:tc>
                            </w:tr>
                          </w:tbl>
                          <w:p w14:paraId="4582DCA7" w14:textId="77777777" w:rsidR="00A54B95" w:rsidRDefault="00A54B95" w:rsidP="00A54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EDF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3.8pt;margin-top:20.45pt;width:156.8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06"/>
                        <w:gridCol w:w="1407"/>
                      </w:tblGrid>
                      <w:tr w:rsidR="00A54B95" w:rsidRPr="00BB4637" w14:paraId="75F8E8EC" w14:textId="77777777">
                        <w:tc>
                          <w:tcPr>
                            <w:tcW w:w="1406" w:type="dxa"/>
                          </w:tcPr>
                          <w:p w14:paraId="54C126FA" w14:textId="77777777" w:rsidR="00A54B95" w:rsidRPr="00116F65" w:rsidRDefault="00A54B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34RII</w:t>
                            </w:r>
                            <w:r w:rsidRPr="002C0DCA">
                              <w:rPr>
                                <w:b/>
                                <w:bCs/>
                                <w:strike/>
                                <w:highlight w:val="yellow"/>
                                <w:lang w:val="fr-FR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11013272" w14:textId="77777777" w:rsidR="00A54B95" w:rsidRPr="00116F65" w:rsidRDefault="00A54B95" w:rsidP="007B083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031234</w:t>
                            </w:r>
                          </w:p>
                        </w:tc>
                      </w:tr>
                      <w:tr w:rsidR="00A54B95" w:rsidRPr="00BB4637" w14:paraId="4D154EF5" w14:textId="77777777">
                        <w:tc>
                          <w:tcPr>
                            <w:tcW w:w="1406" w:type="dxa"/>
                          </w:tcPr>
                          <w:p w14:paraId="690C97B3" w14:textId="77777777" w:rsidR="00A54B95" w:rsidRPr="00116F65" w:rsidRDefault="00A54B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23249282" w14:textId="77777777" w:rsidR="00A54B95" w:rsidRPr="00116F65" w:rsidRDefault="00A54B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001628</w:t>
                            </w:r>
                          </w:p>
                        </w:tc>
                      </w:tr>
                    </w:tbl>
                    <w:p w14:paraId="4582DCA7" w14:textId="77777777" w:rsidR="00A54B95" w:rsidRDefault="00A54B95" w:rsidP="00A54B95"/>
                  </w:txbxContent>
                </v:textbox>
              </v:shape>
            </w:pict>
          </mc:Fallback>
        </mc:AlternateContent>
      </w:r>
      <w:r>
        <w:rPr>
          <w:noProof/>
          <w:spacing w:val="-2"/>
          <w:lang w:val="en-US"/>
        </w:rPr>
        <w:drawing>
          <wp:inline distT="0" distB="0" distL="0" distR="0" wp14:anchorId="71B774B7" wp14:editId="260575A3">
            <wp:extent cx="4681220" cy="894080"/>
            <wp:effectExtent l="0" t="0" r="5080" b="127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8" t="-510" r="-488"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3757B" w14:textId="77777777" w:rsidR="00A54B95" w:rsidRPr="009A0389" w:rsidRDefault="00A54B95" w:rsidP="005B2EB8">
      <w:pPr>
        <w:pStyle w:val="SingleTxtG"/>
        <w:keepNext/>
        <w:keepLines/>
        <w:jc w:val="right"/>
        <w:rPr>
          <w:bCs/>
          <w:spacing w:val="-2"/>
          <w:lang w:val="fr-FR"/>
        </w:rPr>
      </w:pPr>
      <w:r>
        <w:rPr>
          <w:lang w:val="fr-FR"/>
        </w:rPr>
        <w:t>a = 8 mm min</w:t>
      </w:r>
    </w:p>
    <w:p w14:paraId="567EA99A" w14:textId="385557CD" w:rsidR="00A54B95" w:rsidRPr="009A0389" w:rsidRDefault="00A54B95" w:rsidP="005B2EB8">
      <w:pPr>
        <w:pStyle w:val="SingleTxtG"/>
        <w:rPr>
          <w:bCs/>
          <w:spacing w:val="-2"/>
          <w:lang w:val="fr-FR"/>
        </w:rPr>
      </w:pPr>
      <w:r>
        <w:rPr>
          <w:lang w:val="fr-FR"/>
        </w:rPr>
        <w:t>La marque d</w:t>
      </w:r>
      <w:r w:rsidR="008150F0">
        <w:rPr>
          <w:lang w:val="fr-FR"/>
        </w:rPr>
        <w:t>’</w:t>
      </w:r>
      <w:r>
        <w:rPr>
          <w:lang w:val="fr-FR"/>
        </w:rPr>
        <w:t>homologation ci-dessus, apposée sur un véhicule, indique que le type de ce véhicule a été homologué aux Pays-Bas (E 4) en vertu des Règlements n</w:t>
      </w:r>
      <w:r>
        <w:rPr>
          <w:vertAlign w:val="superscript"/>
          <w:lang w:val="fr-FR"/>
        </w:rPr>
        <w:t>os</w:t>
      </w:r>
      <w:r>
        <w:rPr>
          <w:lang w:val="fr-FR"/>
        </w:rPr>
        <w:t> 34, parties I ou IV et II</w:t>
      </w:r>
      <w:r w:rsidRPr="00B53B65">
        <w:rPr>
          <w:strike/>
          <w:highlight w:val="yellow"/>
          <w:lang w:val="fr-FR"/>
        </w:rPr>
        <w:t>-1</w:t>
      </w:r>
      <w:r>
        <w:rPr>
          <w:lang w:val="fr-FR"/>
        </w:rPr>
        <w:t>, et 33*. Les numéros d</w:t>
      </w:r>
      <w:r w:rsidR="008150F0">
        <w:rPr>
          <w:lang w:val="fr-FR"/>
        </w:rPr>
        <w:t>’</w:t>
      </w:r>
      <w:r>
        <w:rPr>
          <w:lang w:val="fr-FR"/>
        </w:rPr>
        <w:t>homologation indiquent que, à la date où les homologations correspondantes ont été délivrées, le Règlement n</w:t>
      </w:r>
      <w:r>
        <w:rPr>
          <w:vertAlign w:val="superscript"/>
          <w:lang w:val="fr-FR"/>
        </w:rPr>
        <w:t>o</w:t>
      </w:r>
      <w:r>
        <w:rPr>
          <w:lang w:val="fr-FR"/>
        </w:rPr>
        <w:t> 34 incluait la série 03 d</w:t>
      </w:r>
      <w:r w:rsidR="008150F0">
        <w:rPr>
          <w:lang w:val="fr-FR"/>
        </w:rPr>
        <w:t>’</w:t>
      </w:r>
      <w:r>
        <w:rPr>
          <w:lang w:val="fr-FR"/>
        </w:rPr>
        <w:t>amendements et le Règlement n</w:t>
      </w:r>
      <w:r>
        <w:rPr>
          <w:vertAlign w:val="superscript"/>
          <w:lang w:val="fr-FR"/>
        </w:rPr>
        <w:t>o</w:t>
      </w:r>
      <w:r>
        <w:rPr>
          <w:lang w:val="fr-FR"/>
        </w:rPr>
        <w:t> 33 se trouvait toujours sous sa forme d</w:t>
      </w:r>
      <w:r w:rsidR="008150F0">
        <w:rPr>
          <w:lang w:val="fr-FR"/>
        </w:rPr>
        <w:t>’</w:t>
      </w:r>
      <w:r>
        <w:rPr>
          <w:lang w:val="fr-FR"/>
        </w:rPr>
        <w:t>origine.</w:t>
      </w:r>
    </w:p>
    <w:p w14:paraId="543D6272" w14:textId="77777777" w:rsidR="00A54B95" w:rsidRPr="009A0389" w:rsidRDefault="00A54B95" w:rsidP="00A54B95">
      <w:pPr>
        <w:rPr>
          <w:spacing w:val="-2"/>
          <w:lang w:val="fr-FR"/>
        </w:rPr>
      </w:pPr>
    </w:p>
    <w:p w14:paraId="51F67FA9" w14:textId="77777777" w:rsidR="00A54B95" w:rsidRPr="006F0F98" w:rsidRDefault="00A54B95" w:rsidP="005B2EB8">
      <w:pPr>
        <w:jc w:val="center"/>
        <w:rPr>
          <w:spacing w:val="-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EAA15" wp14:editId="284FC67D">
                <wp:simplePos x="0" y="0"/>
                <wp:positionH relativeFrom="column">
                  <wp:posOffset>2715895</wp:posOffset>
                </wp:positionH>
                <wp:positionV relativeFrom="paragraph">
                  <wp:posOffset>240206</wp:posOffset>
                </wp:positionV>
                <wp:extent cx="1991995" cy="588645"/>
                <wp:effectExtent l="0" t="0" r="8255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06"/>
                              <w:gridCol w:w="1407"/>
                            </w:tblGrid>
                            <w:tr w:rsidR="00A54B95" w:rsidRPr="00BB4637" w14:paraId="0CA142DD" w14:textId="77777777">
                              <w:tc>
                                <w:tcPr>
                                  <w:tcW w:w="1406" w:type="dxa"/>
                                </w:tcPr>
                                <w:p w14:paraId="6BC90356" w14:textId="77777777" w:rsidR="00A54B95" w:rsidRPr="00116F65" w:rsidRDefault="00A54B95" w:rsidP="007B083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34RII</w:t>
                                  </w:r>
                                  <w:r w:rsidRPr="00B53B65">
                                    <w:rPr>
                                      <w:b/>
                                      <w:bCs/>
                                      <w:strike/>
                                      <w:highlight w:val="yellow"/>
                                      <w:lang w:val="fr-FR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1991E23F" w14:textId="77777777" w:rsidR="00A54B95" w:rsidRPr="00116F65" w:rsidRDefault="00A54B95" w:rsidP="007B083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031234</w:t>
                                  </w:r>
                                </w:p>
                              </w:tc>
                            </w:tr>
                            <w:tr w:rsidR="00A54B95" w:rsidRPr="00BB4637" w14:paraId="1695E796" w14:textId="77777777">
                              <w:tc>
                                <w:tcPr>
                                  <w:tcW w:w="1406" w:type="dxa"/>
                                </w:tcPr>
                                <w:p w14:paraId="218EBFB3" w14:textId="77777777" w:rsidR="00A54B95" w:rsidRPr="00116F65" w:rsidRDefault="00A54B95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7C5CFE54" w14:textId="77777777" w:rsidR="00A54B95" w:rsidRPr="00116F65" w:rsidRDefault="00A54B95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001628</w:t>
                                  </w:r>
                                </w:p>
                              </w:tc>
                            </w:tr>
                          </w:tbl>
                          <w:p w14:paraId="0FE21DC4" w14:textId="77777777" w:rsidR="00A54B95" w:rsidRDefault="00A54B95" w:rsidP="00A54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EAA15" id="Text Box 3" o:spid="_x0000_s1027" type="#_x0000_t202" style="position:absolute;left:0;text-align:left;margin-left:213.85pt;margin-top:18.9pt;width:156.85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06"/>
                        <w:gridCol w:w="1407"/>
                      </w:tblGrid>
                      <w:tr w:rsidR="00A54B95" w:rsidRPr="00BB4637" w14:paraId="0CA142DD" w14:textId="77777777">
                        <w:tc>
                          <w:tcPr>
                            <w:tcW w:w="1406" w:type="dxa"/>
                          </w:tcPr>
                          <w:p w14:paraId="6BC90356" w14:textId="77777777" w:rsidR="00A54B95" w:rsidRPr="00116F65" w:rsidRDefault="00A54B95" w:rsidP="007B083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34RII</w:t>
                            </w:r>
                            <w:r w:rsidRPr="00B53B65">
                              <w:rPr>
                                <w:b/>
                                <w:bCs/>
                                <w:strike/>
                                <w:highlight w:val="yellow"/>
                                <w:lang w:val="fr-FR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1991E23F" w14:textId="77777777" w:rsidR="00A54B95" w:rsidRPr="00116F65" w:rsidRDefault="00A54B95" w:rsidP="007B083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031234</w:t>
                            </w:r>
                          </w:p>
                        </w:tc>
                      </w:tr>
                      <w:tr w:rsidR="00A54B95" w:rsidRPr="00BB4637" w14:paraId="1695E796" w14:textId="77777777">
                        <w:tc>
                          <w:tcPr>
                            <w:tcW w:w="1406" w:type="dxa"/>
                          </w:tcPr>
                          <w:p w14:paraId="218EBFB3" w14:textId="77777777" w:rsidR="00A54B95" w:rsidRPr="00116F65" w:rsidRDefault="00A54B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7C5CFE54" w14:textId="77777777" w:rsidR="00A54B95" w:rsidRPr="00116F65" w:rsidRDefault="00A54B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001628</w:t>
                            </w:r>
                          </w:p>
                        </w:tc>
                      </w:tr>
                    </w:tbl>
                    <w:p w14:paraId="0FE21DC4" w14:textId="77777777" w:rsidR="00A54B95" w:rsidRDefault="00A54B95" w:rsidP="00A54B95"/>
                  </w:txbxContent>
                </v:textbox>
              </v:shape>
            </w:pict>
          </mc:Fallback>
        </mc:AlternateContent>
      </w:r>
      <w:r>
        <w:rPr>
          <w:noProof/>
          <w:spacing w:val="-2"/>
          <w:lang w:val="en-US"/>
        </w:rPr>
        <w:drawing>
          <wp:inline distT="0" distB="0" distL="0" distR="0" wp14:anchorId="177E819B" wp14:editId="017FDF80">
            <wp:extent cx="4681220" cy="894080"/>
            <wp:effectExtent l="0" t="0" r="5080" b="127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8" t="-510" r="-488" b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C64D6" w14:textId="77777777" w:rsidR="00A54B95" w:rsidRPr="006F0F98" w:rsidRDefault="00A54B95" w:rsidP="00A54B95">
      <w:pPr>
        <w:rPr>
          <w:bCs/>
          <w:spacing w:val="-2"/>
          <w:lang w:val="en-US"/>
        </w:rPr>
      </w:pPr>
    </w:p>
    <w:p w14:paraId="3D055BE8" w14:textId="6A0DAD8D" w:rsidR="00A54B95" w:rsidRPr="009A0389" w:rsidRDefault="00A54B95" w:rsidP="005B2EB8">
      <w:pPr>
        <w:pStyle w:val="SingleTxtG"/>
        <w:rPr>
          <w:lang w:val="fr-FR"/>
        </w:rPr>
      </w:pPr>
      <w:r>
        <w:rPr>
          <w:lang w:val="fr-FR"/>
        </w:rPr>
        <w:t>La marque d</w:t>
      </w:r>
      <w:r w:rsidR="008150F0">
        <w:rPr>
          <w:lang w:val="fr-FR"/>
        </w:rPr>
        <w:t>’</w:t>
      </w:r>
      <w:r>
        <w:rPr>
          <w:lang w:val="fr-FR"/>
        </w:rPr>
        <w:t>homologation ci-dessus, apposée sur un véhicule, indique que le type de ce véhicule a été homologué aux Pays-Bas (E 4) en vertu des Règlements n</w:t>
      </w:r>
      <w:r>
        <w:rPr>
          <w:vertAlign w:val="superscript"/>
          <w:lang w:val="fr-FR"/>
        </w:rPr>
        <w:t>os</w:t>
      </w:r>
      <w:r>
        <w:rPr>
          <w:lang w:val="fr-FR"/>
        </w:rPr>
        <w:t> 34, parties I ou IV et II</w:t>
      </w:r>
      <w:r w:rsidRPr="00B53B65">
        <w:rPr>
          <w:strike/>
          <w:highlight w:val="yellow"/>
          <w:lang w:val="fr-FR"/>
        </w:rPr>
        <w:t>-2</w:t>
      </w:r>
      <w:r>
        <w:rPr>
          <w:lang w:val="fr-FR"/>
        </w:rPr>
        <w:t>, et 33*. Les numéros d</w:t>
      </w:r>
      <w:r w:rsidR="008150F0">
        <w:rPr>
          <w:lang w:val="fr-FR"/>
        </w:rPr>
        <w:t>’</w:t>
      </w:r>
      <w:r>
        <w:rPr>
          <w:lang w:val="fr-FR"/>
        </w:rPr>
        <w:t>homologation indiquent que, à la date où les homologations correspondantes ont été délivrées, [...] ».</w:t>
      </w:r>
    </w:p>
    <w:p w14:paraId="11A397FE" w14:textId="77777777" w:rsidR="00A54B95" w:rsidRPr="009A0389" w:rsidRDefault="00A54B95" w:rsidP="005B2EB8">
      <w:pPr>
        <w:pStyle w:val="HChG"/>
        <w:rPr>
          <w:szCs w:val="28"/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14:paraId="4C0AB467" w14:textId="5BBE664A" w:rsidR="00A54B95" w:rsidRPr="009A0389" w:rsidRDefault="005B2EB8" w:rsidP="005B2EB8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A54B95">
        <w:rPr>
          <w:lang w:val="fr-FR"/>
        </w:rPr>
        <w:t>La présente proposition vise à éviter une double homologation en ce qui concerne les risques d</w:t>
      </w:r>
      <w:r w:rsidR="008150F0">
        <w:rPr>
          <w:lang w:val="fr-FR"/>
        </w:rPr>
        <w:t>’</w:t>
      </w:r>
      <w:r w:rsidR="00A54B95">
        <w:rPr>
          <w:lang w:val="fr-FR"/>
        </w:rPr>
        <w:t>incendie en supprimant du Règlement n</w:t>
      </w:r>
      <w:r w:rsidR="00A54B95">
        <w:rPr>
          <w:vertAlign w:val="superscript"/>
          <w:lang w:val="fr-FR"/>
        </w:rPr>
        <w:t>o</w:t>
      </w:r>
      <w:r w:rsidR="00A54B95">
        <w:rPr>
          <w:lang w:val="fr-FR"/>
        </w:rPr>
        <w:t> 34 les essais de choc pour les véhicules des catégories M</w:t>
      </w:r>
      <w:r w:rsidR="00A54B95">
        <w:rPr>
          <w:vertAlign w:val="subscript"/>
          <w:lang w:val="fr-FR"/>
        </w:rPr>
        <w:t>1</w:t>
      </w:r>
      <w:r w:rsidR="00A54B95">
        <w:rPr>
          <w:lang w:val="fr-FR"/>
        </w:rPr>
        <w:t xml:space="preserve"> et N</w:t>
      </w:r>
      <w:r w:rsidR="00A54B95">
        <w:rPr>
          <w:vertAlign w:val="subscript"/>
          <w:lang w:val="fr-FR"/>
        </w:rPr>
        <w:t>1</w:t>
      </w:r>
      <w:r w:rsidR="00A54B95">
        <w:rPr>
          <w:lang w:val="fr-FR"/>
        </w:rPr>
        <w:t xml:space="preserve">. </w:t>
      </w:r>
    </w:p>
    <w:p w14:paraId="51B7B80C" w14:textId="35F31D9C" w:rsidR="00A54B95" w:rsidRPr="009A0389" w:rsidRDefault="005B2EB8" w:rsidP="005B2EB8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A54B95">
        <w:rPr>
          <w:lang w:val="fr-FR"/>
        </w:rPr>
        <w:t>En effet, ces véhicules relèvent du domaine d</w:t>
      </w:r>
      <w:r w:rsidR="008150F0">
        <w:rPr>
          <w:lang w:val="fr-FR"/>
        </w:rPr>
        <w:t>’</w:t>
      </w:r>
      <w:r w:rsidR="00A54B95">
        <w:rPr>
          <w:lang w:val="fr-FR"/>
        </w:rPr>
        <w:t>application des Règlements ONU n</w:t>
      </w:r>
      <w:r w:rsidR="00A54B95">
        <w:rPr>
          <w:vertAlign w:val="superscript"/>
          <w:lang w:val="fr-FR"/>
        </w:rPr>
        <w:t>os</w:t>
      </w:r>
      <w:r w:rsidR="00A54B95">
        <w:rPr>
          <w:lang w:val="fr-FR"/>
        </w:rPr>
        <w:t> 94, 95 et 153.</w:t>
      </w:r>
    </w:p>
    <w:p w14:paraId="5C660CF8" w14:textId="5CF16383" w:rsidR="00A54B95" w:rsidRDefault="005B2EB8" w:rsidP="005B2EB8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A54B95">
        <w:rPr>
          <w:lang w:val="fr-FR"/>
        </w:rPr>
        <w:t>D</w:t>
      </w:r>
      <w:r w:rsidR="008150F0">
        <w:rPr>
          <w:lang w:val="fr-FR"/>
        </w:rPr>
        <w:t>’</w:t>
      </w:r>
      <w:r w:rsidR="00A54B95">
        <w:rPr>
          <w:lang w:val="fr-FR"/>
        </w:rPr>
        <w:t>ailleurs, le Règlement ONU n</w:t>
      </w:r>
      <w:r w:rsidR="00A54B95">
        <w:rPr>
          <w:vertAlign w:val="superscript"/>
          <w:lang w:val="fr-FR"/>
        </w:rPr>
        <w:t>o</w:t>
      </w:r>
      <w:r w:rsidR="00A54B95">
        <w:rPr>
          <w:lang w:val="fr-FR"/>
        </w:rPr>
        <w:t> 153 couvre mieux la prévention des risques d</w:t>
      </w:r>
      <w:r w:rsidR="008150F0">
        <w:rPr>
          <w:lang w:val="fr-FR"/>
        </w:rPr>
        <w:t>’</w:t>
      </w:r>
      <w:r w:rsidR="00A54B95">
        <w:rPr>
          <w:lang w:val="fr-FR"/>
        </w:rPr>
        <w:t>incendie que le Règlement ONU n</w:t>
      </w:r>
      <w:r w:rsidR="00A54B95">
        <w:rPr>
          <w:vertAlign w:val="superscript"/>
          <w:lang w:val="fr-FR"/>
        </w:rPr>
        <w:t>o</w:t>
      </w:r>
      <w:r w:rsidR="00A54B95">
        <w:rPr>
          <w:lang w:val="fr-FR"/>
        </w:rPr>
        <w:t> 34, puisqu</w:t>
      </w:r>
      <w:r w:rsidR="008150F0">
        <w:rPr>
          <w:lang w:val="fr-FR"/>
        </w:rPr>
        <w:t>’</w:t>
      </w:r>
      <w:r w:rsidR="00A54B95">
        <w:rPr>
          <w:lang w:val="fr-FR"/>
        </w:rPr>
        <w:t>il s</w:t>
      </w:r>
      <w:r w:rsidR="008150F0">
        <w:rPr>
          <w:lang w:val="fr-FR"/>
        </w:rPr>
        <w:t>’</w:t>
      </w:r>
      <w:r w:rsidR="00A54B95">
        <w:rPr>
          <w:lang w:val="fr-FR"/>
        </w:rPr>
        <w:t>applique non seulement à la sûreté des véhicules fonctionnant avec un carburant liquide, mais aussi à celle des véhicules électriques ou fonctionnant à l</w:t>
      </w:r>
      <w:r w:rsidR="008150F0">
        <w:rPr>
          <w:lang w:val="fr-FR"/>
        </w:rPr>
        <w:t>’</w:t>
      </w:r>
      <w:r w:rsidR="00A54B95">
        <w:rPr>
          <w:lang w:val="fr-FR"/>
        </w:rPr>
        <w:t>hydrogène.</w:t>
      </w:r>
    </w:p>
    <w:p w14:paraId="6EFEB56D" w14:textId="07AA9AB7" w:rsidR="005B2EB8" w:rsidRPr="005B2EB8" w:rsidRDefault="005B2EB8" w:rsidP="005B2EB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2EB8" w:rsidRPr="005B2EB8" w:rsidSect="00A54B9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B6FD2" w14:textId="77777777" w:rsidR="00E11599" w:rsidRDefault="00E11599" w:rsidP="00F95C08">
      <w:pPr>
        <w:spacing w:line="240" w:lineRule="auto"/>
      </w:pPr>
    </w:p>
  </w:endnote>
  <w:endnote w:type="continuationSeparator" w:id="0">
    <w:p w14:paraId="657EC968" w14:textId="77777777" w:rsidR="00E11599" w:rsidRPr="00AC3823" w:rsidRDefault="00E11599" w:rsidP="00AC3823">
      <w:pPr>
        <w:pStyle w:val="Pieddepage"/>
      </w:pPr>
    </w:p>
  </w:endnote>
  <w:endnote w:type="continuationNotice" w:id="1">
    <w:p w14:paraId="72957EE2" w14:textId="77777777" w:rsidR="00E11599" w:rsidRDefault="00E115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0C952" w14:textId="10156C26" w:rsidR="00A54B95" w:rsidRPr="00A54B95" w:rsidRDefault="00A54B95" w:rsidP="00A54B95">
    <w:pPr>
      <w:pStyle w:val="Pieddepage"/>
      <w:tabs>
        <w:tab w:val="right" w:pos="9638"/>
      </w:tabs>
    </w:pPr>
    <w:r w:rsidRPr="00A54B95">
      <w:rPr>
        <w:b/>
        <w:sz w:val="18"/>
      </w:rPr>
      <w:fldChar w:fldCharType="begin"/>
    </w:r>
    <w:r w:rsidRPr="00A54B95">
      <w:rPr>
        <w:b/>
        <w:sz w:val="18"/>
      </w:rPr>
      <w:instrText xml:space="preserve"> PAGE  \* MERGEFORMAT </w:instrText>
    </w:r>
    <w:r w:rsidRPr="00A54B95">
      <w:rPr>
        <w:b/>
        <w:sz w:val="18"/>
      </w:rPr>
      <w:fldChar w:fldCharType="separate"/>
    </w:r>
    <w:r w:rsidRPr="00A54B95">
      <w:rPr>
        <w:b/>
        <w:noProof/>
        <w:sz w:val="18"/>
      </w:rPr>
      <w:t>2</w:t>
    </w:r>
    <w:r w:rsidRPr="00A54B95">
      <w:rPr>
        <w:b/>
        <w:sz w:val="18"/>
      </w:rPr>
      <w:fldChar w:fldCharType="end"/>
    </w:r>
    <w:r>
      <w:rPr>
        <w:b/>
        <w:sz w:val="18"/>
      </w:rPr>
      <w:tab/>
    </w:r>
    <w:r>
      <w:t>GE.21-10429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93405" w14:textId="5B2BF709" w:rsidR="00A54B95" w:rsidRPr="00A54B95" w:rsidRDefault="00A54B95" w:rsidP="00A54B95">
    <w:pPr>
      <w:pStyle w:val="Pieddepage"/>
      <w:tabs>
        <w:tab w:val="right" w:pos="9638"/>
      </w:tabs>
      <w:rPr>
        <w:b/>
        <w:sz w:val="18"/>
      </w:rPr>
    </w:pPr>
    <w:r>
      <w:t>GE.21-10429</w:t>
    </w:r>
    <w:r>
      <w:tab/>
    </w:r>
    <w:r w:rsidRPr="00A54B95">
      <w:rPr>
        <w:b/>
        <w:sz w:val="18"/>
      </w:rPr>
      <w:fldChar w:fldCharType="begin"/>
    </w:r>
    <w:r w:rsidRPr="00A54B95">
      <w:rPr>
        <w:b/>
        <w:sz w:val="18"/>
      </w:rPr>
      <w:instrText xml:space="preserve"> PAGE  \* MERGEFORMAT </w:instrText>
    </w:r>
    <w:r w:rsidRPr="00A54B95">
      <w:rPr>
        <w:b/>
        <w:sz w:val="18"/>
      </w:rPr>
      <w:fldChar w:fldCharType="separate"/>
    </w:r>
    <w:r w:rsidRPr="00A54B95">
      <w:rPr>
        <w:b/>
        <w:noProof/>
        <w:sz w:val="18"/>
      </w:rPr>
      <w:t>3</w:t>
    </w:r>
    <w:r w:rsidRPr="00A54B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0CD91" w14:textId="030E1358" w:rsidR="007F20FA" w:rsidRPr="00A54B95" w:rsidRDefault="00A54B95" w:rsidP="00A54B9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3DD98E3" wp14:editId="0634C29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21-10429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24EAB21" wp14:editId="076C2B6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9D1">
      <w:rPr>
        <w:sz w:val="20"/>
      </w:rPr>
      <w:t xml:space="preserve">    260821    260821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901CB" w14:textId="77777777" w:rsidR="00E11599" w:rsidRPr="00AC3823" w:rsidRDefault="00E1159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AEE910" w14:textId="77777777" w:rsidR="00E11599" w:rsidRPr="00AC3823" w:rsidRDefault="00E1159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181627" w14:textId="77777777" w:rsidR="00E11599" w:rsidRPr="00AC3823" w:rsidRDefault="00E11599">
      <w:pPr>
        <w:spacing w:line="240" w:lineRule="auto"/>
        <w:rPr>
          <w:sz w:val="2"/>
          <w:szCs w:val="2"/>
        </w:rPr>
      </w:pPr>
    </w:p>
  </w:footnote>
  <w:footnote w:id="2">
    <w:p w14:paraId="26070510" w14:textId="569593F8" w:rsidR="005B2EB8" w:rsidRPr="005B2EB8" w:rsidRDefault="005B2EB8">
      <w:pPr>
        <w:pStyle w:val="Notedebasdepage"/>
      </w:pPr>
      <w:r>
        <w:rPr>
          <w:rStyle w:val="Appelnotedebasdep"/>
        </w:rPr>
        <w:tab/>
      </w:r>
      <w:r w:rsidRPr="005B2EB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9A0389">
        <w:rPr>
          <w:lang w:val="fr-FR"/>
        </w:rPr>
        <w:t>Conformément au programme de travail du Comité des transports intérieurs pour 2021 tel qu</w:t>
      </w:r>
      <w:r w:rsidR="008150F0">
        <w:rPr>
          <w:lang w:val="fr-FR"/>
        </w:rPr>
        <w:t>’</w:t>
      </w:r>
      <w:r w:rsidRPr="009A0389">
        <w:rPr>
          <w:lang w:val="fr-FR"/>
        </w:rPr>
        <w:t>il figure dans le projet de budget-programme pour 2021 (A/75/6 (Sect. 20), par. 20.51), le Forum mondial a pour mission d</w:t>
      </w:r>
      <w:r w:rsidR="008150F0">
        <w:rPr>
          <w:lang w:val="fr-FR"/>
        </w:rPr>
        <w:t>’</w:t>
      </w:r>
      <w:r w:rsidRPr="009A0389">
        <w:rPr>
          <w:lang w:val="fr-FR"/>
        </w:rPr>
        <w:t>élaborer, d</w:t>
      </w:r>
      <w:r w:rsidR="008150F0">
        <w:rPr>
          <w:lang w:val="fr-FR"/>
        </w:rPr>
        <w:t>’</w:t>
      </w:r>
      <w:r w:rsidRPr="009A0389">
        <w:rPr>
          <w:lang w:val="fr-FR"/>
        </w:rPr>
        <w:t>harmoniser et de mettre à jour les Règlements ONU en vue d</w:t>
      </w:r>
      <w:r w:rsidR="008150F0">
        <w:rPr>
          <w:lang w:val="fr-FR"/>
        </w:rPr>
        <w:t>’</w:t>
      </w:r>
      <w:r w:rsidRPr="009A0389"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EED2" w14:textId="4AFE426D" w:rsidR="00A54B95" w:rsidRPr="00A54B95" w:rsidRDefault="00A54B95">
    <w:pPr>
      <w:pStyle w:val="En-tte"/>
    </w:pPr>
    <w:fldSimple w:instr=" TITLE  \* MERGEFORMAT ">
      <w:r w:rsidR="00C402BC">
        <w:t>ECE/TRANS/WP.29/GRSG/2021/19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1E7A6" w14:textId="2001FFE1" w:rsidR="00A54B95" w:rsidRPr="00A54B95" w:rsidRDefault="00A54B95" w:rsidP="00A54B95">
    <w:pPr>
      <w:pStyle w:val="En-tte"/>
      <w:jc w:val="right"/>
    </w:pPr>
    <w:fldSimple w:instr=" TITLE  \* MERGEFORMAT ">
      <w:r w:rsidR="00C402BC">
        <w:t>ECE/TRANS/WP.29/GRSG/2021/19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9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40B0"/>
    <w:rsid w:val="001F525A"/>
    <w:rsid w:val="00201148"/>
    <w:rsid w:val="00223272"/>
    <w:rsid w:val="0024779E"/>
    <w:rsid w:val="00257168"/>
    <w:rsid w:val="002744B8"/>
    <w:rsid w:val="002832AC"/>
    <w:rsid w:val="002B5F6A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679D1"/>
    <w:rsid w:val="00573BE5"/>
    <w:rsid w:val="00586ED3"/>
    <w:rsid w:val="00596AA9"/>
    <w:rsid w:val="005B2EB8"/>
    <w:rsid w:val="0071601D"/>
    <w:rsid w:val="007A62E6"/>
    <w:rsid w:val="007F20FA"/>
    <w:rsid w:val="0080684C"/>
    <w:rsid w:val="008150F0"/>
    <w:rsid w:val="00871C75"/>
    <w:rsid w:val="008776DC"/>
    <w:rsid w:val="008D5EF9"/>
    <w:rsid w:val="009446C0"/>
    <w:rsid w:val="009705C8"/>
    <w:rsid w:val="009C1CF4"/>
    <w:rsid w:val="009D5A2F"/>
    <w:rsid w:val="009F6B74"/>
    <w:rsid w:val="00A3029F"/>
    <w:rsid w:val="00A30353"/>
    <w:rsid w:val="00A54B95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402BC"/>
    <w:rsid w:val="00C97039"/>
    <w:rsid w:val="00CE693C"/>
    <w:rsid w:val="00CF2F72"/>
    <w:rsid w:val="00D3439C"/>
    <w:rsid w:val="00D7622E"/>
    <w:rsid w:val="00DB1831"/>
    <w:rsid w:val="00DD3BFD"/>
    <w:rsid w:val="00DF6678"/>
    <w:rsid w:val="00E0299A"/>
    <w:rsid w:val="00E078CE"/>
    <w:rsid w:val="00E11599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3139F0"/>
  <w15:docId w15:val="{C08253B1-7A6C-46C2-B7C6-948AEDDB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B73B3-B86C-4B7F-A6E0-CA43F36C76CE}"/>
</file>

<file path=customXml/itemProps2.xml><?xml version="1.0" encoding="utf-8"?>
<ds:datastoreItem xmlns:ds="http://schemas.openxmlformats.org/officeDocument/2006/customXml" ds:itemID="{F6918471-4D06-4979-BDE9-FA63340E0ACD}"/>
</file>

<file path=customXml/itemProps3.xml><?xml version="1.0" encoding="utf-8"?>
<ds:datastoreItem xmlns:ds="http://schemas.openxmlformats.org/officeDocument/2006/customXml" ds:itemID="{333E3964-A3ED-46D6-B1F4-30CF83376A8D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633</Words>
  <Characters>4437</Characters>
  <Application>Microsoft Office Word</Application>
  <DocSecurity>0</DocSecurity>
  <Lines>369</Lines>
  <Paragraphs>202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DCM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ECE/TRANS/WP.29/GRSG/2021/19</dc:title>
  <dc:subject/>
  <dc:creator>Julien OKRZESIK</dc:creator>
  <cp:keywords/>
  <cp:lastModifiedBy>Julien Okrzesik</cp:lastModifiedBy>
  <cp:revision>3</cp:revision>
  <cp:lastPrinted>2021-08-26T13:11:00Z</cp:lastPrinted>
  <dcterms:created xsi:type="dcterms:W3CDTF">2021-08-26T13:10:00Z</dcterms:created>
  <dcterms:modified xsi:type="dcterms:W3CDTF">2021-08-26T13:11:00Z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