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12"/>
        <w:gridCol w:w="2354"/>
        <w:gridCol w:w="2693"/>
      </w:tblGrid>
      <w:tr w:rsidR="002D5AAC" w:rsidRPr="0057025D" w14:paraId="169664A8" w14:textId="77777777" w:rsidTr="00A936E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8989D2" w14:textId="77777777" w:rsidR="002D5AAC" w:rsidRDefault="002D5AAC" w:rsidP="00A936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450" w:type="dxa"/>
            <w:gridSpan w:val="2"/>
            <w:tcBorders>
              <w:bottom w:val="single" w:sz="4" w:space="0" w:color="auto"/>
            </w:tcBorders>
            <w:vAlign w:val="bottom"/>
          </w:tcPr>
          <w:p w14:paraId="73793971" w14:textId="77777777" w:rsidR="002D5AAC" w:rsidRPr="00A936EB" w:rsidRDefault="00DF71B9" w:rsidP="00387CD4">
            <w:pPr>
              <w:spacing w:after="80" w:line="300" w:lineRule="exact"/>
              <w:rPr>
                <w:spacing w:val="-2"/>
                <w:sz w:val="28"/>
              </w:rPr>
            </w:pPr>
            <w:r w:rsidRPr="00A936EB">
              <w:rPr>
                <w:spacing w:val="-2"/>
                <w:sz w:val="28"/>
              </w:rPr>
              <w:t>Организация Объединенных Наций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  <w:vAlign w:val="bottom"/>
          </w:tcPr>
          <w:p w14:paraId="0C9DA382" w14:textId="3C7B881E" w:rsidR="00A936EB" w:rsidRPr="00A936EB" w:rsidRDefault="00A936EB" w:rsidP="00A936EB">
            <w:pPr>
              <w:jc w:val="right"/>
              <w:rPr>
                <w:spacing w:val="-2"/>
                <w:lang w:val="en-US"/>
              </w:rPr>
            </w:pPr>
            <w:r w:rsidRPr="00A936EB">
              <w:rPr>
                <w:spacing w:val="-2"/>
                <w:sz w:val="40"/>
                <w:lang w:val="en-US"/>
              </w:rPr>
              <w:t>ECE</w:t>
            </w:r>
            <w:r w:rsidRPr="00A936EB">
              <w:rPr>
                <w:spacing w:val="-2"/>
                <w:lang w:val="en-US"/>
              </w:rPr>
              <w:t>/MP.EIA/30/Add.3</w:t>
            </w:r>
            <w:r w:rsidRPr="00A936EB">
              <w:rPr>
                <w:rFonts w:cs="Times New Roman"/>
                <w:spacing w:val="-2"/>
                <w:lang w:val="en-US"/>
              </w:rPr>
              <w:t>−</w:t>
            </w:r>
            <w:r w:rsidRPr="00A936EB">
              <w:rPr>
                <w:spacing w:val="-2"/>
                <w:sz w:val="40"/>
                <w:lang w:val="en-US"/>
              </w:rPr>
              <w:t>ECE</w:t>
            </w:r>
            <w:r w:rsidRPr="00A936EB">
              <w:rPr>
                <w:spacing w:val="-2"/>
                <w:lang w:val="en-US"/>
              </w:rPr>
              <w:t>/MP.EIA/SEA/13/Add.3</w:t>
            </w:r>
          </w:p>
        </w:tc>
      </w:tr>
      <w:tr w:rsidR="002D5AAC" w:rsidRPr="0057025D" w14:paraId="27BCFB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A03D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663CA8" wp14:editId="6831B8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7280B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FD22EF" w14:textId="77777777" w:rsidR="002D5AAC" w:rsidRDefault="00A936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9FF291" w14:textId="77777777" w:rsidR="00A936EB" w:rsidRDefault="00A936EB" w:rsidP="00A936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2021</w:t>
            </w:r>
          </w:p>
          <w:p w14:paraId="2EB5248D" w14:textId="77777777" w:rsidR="00A936EB" w:rsidRDefault="00A936EB" w:rsidP="00A936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C17547" w14:textId="44853559" w:rsidR="00A936EB" w:rsidRPr="008D53B6" w:rsidRDefault="00A936EB" w:rsidP="00A936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0E63B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82AFF2" w14:textId="102B13DD" w:rsidR="00A936EB" w:rsidRPr="00A936EB" w:rsidRDefault="00A936EB" w:rsidP="00A936EB">
      <w:pPr>
        <w:spacing w:before="120"/>
        <w:rPr>
          <w:bCs/>
          <w:sz w:val="28"/>
          <w:szCs w:val="28"/>
        </w:rPr>
      </w:pPr>
      <w:r w:rsidRPr="00A936EB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A936E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A936EB">
        <w:rPr>
          <w:sz w:val="28"/>
          <w:szCs w:val="28"/>
        </w:rPr>
        <w:t>в трансграничном контексте</w:t>
      </w:r>
    </w:p>
    <w:p w14:paraId="75A48F55" w14:textId="77777777" w:rsidR="00A936EB" w:rsidRPr="00CA60BF" w:rsidRDefault="00A936EB" w:rsidP="00A936EB">
      <w:pPr>
        <w:spacing w:before="120"/>
      </w:pPr>
      <w:r>
        <w:rPr>
          <w:b/>
          <w:bCs/>
        </w:rPr>
        <w:t>Восьмая сессия</w:t>
      </w:r>
    </w:p>
    <w:p w14:paraId="451BA777" w14:textId="1F5CA9D8" w:rsidR="00A936EB" w:rsidRPr="00A936EB" w:rsidRDefault="00A936EB" w:rsidP="00A936EB">
      <w:pPr>
        <w:spacing w:before="120"/>
        <w:rPr>
          <w:sz w:val="28"/>
          <w:szCs w:val="28"/>
        </w:rPr>
      </w:pPr>
      <w:r w:rsidRPr="00A936EB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A936E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A936EB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A936EB">
        <w:rPr>
          <w:sz w:val="28"/>
          <w:szCs w:val="28"/>
        </w:rPr>
        <w:t xml:space="preserve">в качестве </w:t>
      </w:r>
      <w:r w:rsidRPr="0057025D">
        <w:rPr>
          <w:sz w:val="28"/>
          <w:szCs w:val="28"/>
        </w:rPr>
        <w:t>с</w:t>
      </w:r>
      <w:r w:rsidRPr="00A936EB">
        <w:rPr>
          <w:sz w:val="28"/>
          <w:szCs w:val="28"/>
        </w:rPr>
        <w:t xml:space="preserve">овещания Сторон Протокола </w:t>
      </w:r>
      <w:r>
        <w:rPr>
          <w:sz w:val="28"/>
          <w:szCs w:val="28"/>
        </w:rPr>
        <w:br/>
      </w:r>
      <w:r w:rsidRPr="00A936EB">
        <w:rPr>
          <w:sz w:val="28"/>
          <w:szCs w:val="28"/>
        </w:rPr>
        <w:t>по стратегической экологической оценке</w:t>
      </w:r>
    </w:p>
    <w:p w14:paraId="50F4562C" w14:textId="77777777" w:rsidR="00A936EB" w:rsidRPr="00CA60BF" w:rsidRDefault="00A936EB" w:rsidP="00A936EB">
      <w:pPr>
        <w:spacing w:before="120"/>
        <w:rPr>
          <w:b/>
        </w:rPr>
      </w:pPr>
      <w:r>
        <w:rPr>
          <w:b/>
          <w:bCs/>
        </w:rPr>
        <w:t>Четвертая сессия</w:t>
      </w:r>
    </w:p>
    <w:p w14:paraId="54DBC4B6" w14:textId="489ABCF0" w:rsidR="00E12C5F" w:rsidRDefault="00A936EB" w:rsidP="00A936EB">
      <w:pPr>
        <w:spacing w:before="120"/>
      </w:pPr>
      <w:r>
        <w:t>Вильнюс</w:t>
      </w:r>
      <w:r w:rsidRPr="00A30B7D">
        <w:t xml:space="preserve"> </w:t>
      </w:r>
      <w:r>
        <w:t>(в онлайновом режиме), 8–11 декабря 2020 года</w:t>
      </w:r>
    </w:p>
    <w:p w14:paraId="472CDE8D" w14:textId="116C9990" w:rsidR="00A936EB" w:rsidRPr="00CA60BF" w:rsidRDefault="00A936EB" w:rsidP="00A936EB">
      <w:pPr>
        <w:pStyle w:val="HChG"/>
      </w:pPr>
      <w:r>
        <w:tab/>
      </w:r>
      <w:r>
        <w:tab/>
        <w:t>Доклад Совещания Сторон Конвенции о работе его</w:t>
      </w:r>
      <w:r>
        <w:rPr>
          <w:lang w:val="en-US"/>
        </w:rPr>
        <w:t> </w:t>
      </w:r>
      <w:r>
        <w:t xml:space="preserve">восьмой сессии и Совещания Сторон Конвенции, действующего в качестве Совещания Сторон Протокола, о работе его четвертой сессии </w:t>
      </w:r>
    </w:p>
    <w:p w14:paraId="1F62A2B7" w14:textId="77777777" w:rsidR="00A936EB" w:rsidRPr="00CA60BF" w:rsidRDefault="00A936EB" w:rsidP="00A936EB">
      <w:pPr>
        <w:pStyle w:val="H1G"/>
      </w:pPr>
      <w:r>
        <w:tab/>
      </w:r>
      <w:r>
        <w:tab/>
        <w:t>Добавление</w:t>
      </w:r>
    </w:p>
    <w:p w14:paraId="439C3B70" w14:textId="260908A5" w:rsidR="00A936EB" w:rsidRDefault="00A936EB" w:rsidP="00A936EB">
      <w:pPr>
        <w:pStyle w:val="HChG"/>
      </w:pPr>
      <w:r>
        <w:tab/>
      </w:r>
      <w:r>
        <w:tab/>
        <w:t>Решения совещаний Сторон Протокола</w:t>
      </w:r>
    </w:p>
    <w:p w14:paraId="6C17B7D2" w14:textId="77777777" w:rsidR="00A936EB" w:rsidRDefault="00A936EB" w:rsidP="00F1583A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64F3DC69" w14:textId="6C0F1B9D" w:rsidR="00A936EB" w:rsidRDefault="00A936EB" w:rsidP="00F1583A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>Решения</w:t>
      </w:r>
      <w:r>
        <w:rPr>
          <w:i/>
          <w:sz w:val="18"/>
        </w:rPr>
        <w:tab/>
        <w:t>Стр.</w:t>
      </w:r>
    </w:p>
    <w:p w14:paraId="40A2F02F" w14:textId="426BA16F" w:rsidR="00A936EB" w:rsidRDefault="00A936EB" w:rsidP="00A936E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IV/4</w:t>
      </w:r>
      <w:r>
        <w:tab/>
        <w:t>Общие вопросы соблюдения Протокола</w:t>
      </w:r>
      <w:r>
        <w:tab/>
      </w:r>
      <w:r>
        <w:tab/>
      </w:r>
      <w:r w:rsidR="00B64241">
        <w:t>2</w:t>
      </w:r>
    </w:p>
    <w:p w14:paraId="7A5BA259" w14:textId="645DFA02" w:rsidR="00A936EB" w:rsidRPr="00926859" w:rsidRDefault="00A936EB" w:rsidP="00A936E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IV/5</w:t>
      </w:r>
      <w:r>
        <w:tab/>
        <w:t>Представление отчетности и обзор осуществления Протокола</w:t>
      </w:r>
      <w:r>
        <w:tab/>
      </w:r>
      <w:r>
        <w:tab/>
      </w:r>
      <w:r w:rsidR="00B64241">
        <w:t>5</w:t>
      </w:r>
    </w:p>
    <w:p w14:paraId="7B60A16D" w14:textId="46BAD043" w:rsidR="00A936EB" w:rsidRDefault="00A936E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5887B72" w14:textId="77777777" w:rsidR="00A936EB" w:rsidRPr="00CA60BF" w:rsidRDefault="00A936EB" w:rsidP="00C56C0D">
      <w:pPr>
        <w:pStyle w:val="HChG"/>
      </w:pPr>
      <w:r>
        <w:lastRenderedPageBreak/>
        <w:tab/>
      </w:r>
      <w:r>
        <w:tab/>
        <w:t>Решение IV/4</w:t>
      </w:r>
    </w:p>
    <w:p w14:paraId="2FF48D19" w14:textId="77777777" w:rsidR="00A936EB" w:rsidRPr="00CA60BF" w:rsidRDefault="00A936EB" w:rsidP="00C56C0D">
      <w:pPr>
        <w:pStyle w:val="H1G"/>
      </w:pPr>
      <w:r>
        <w:tab/>
      </w:r>
      <w:r>
        <w:tab/>
        <w:t>Общие вопросы соблюдения Протокола</w:t>
      </w:r>
    </w:p>
    <w:p w14:paraId="53D5B2E6" w14:textId="361CF14C" w:rsidR="00A936EB" w:rsidRPr="00CA60BF" w:rsidRDefault="00926859" w:rsidP="00A936EB">
      <w:pPr>
        <w:pStyle w:val="SingleTxtG"/>
        <w:rPr>
          <w:i/>
          <w:iCs/>
        </w:rPr>
      </w:pPr>
      <w:r>
        <w:rPr>
          <w:i/>
          <w:iCs/>
        </w:rPr>
        <w:tab/>
      </w:r>
      <w:r w:rsidR="00A936EB">
        <w:rPr>
          <w:i/>
          <w:iCs/>
        </w:rPr>
        <w:t>Совещание Сторон Конвенции, действующее в качестве Совещания Сторон Протокола,</w:t>
      </w:r>
    </w:p>
    <w:p w14:paraId="483D11F2" w14:textId="074830DB" w:rsidR="00A936EB" w:rsidRPr="00CA60BF" w:rsidRDefault="00A936EB" w:rsidP="00A936EB">
      <w:pPr>
        <w:pStyle w:val="SingleTxtG"/>
      </w:pPr>
      <w:r>
        <w:tab/>
      </w:r>
      <w:r w:rsidRPr="00CA60BF">
        <w:rPr>
          <w:i/>
          <w:iCs/>
        </w:rPr>
        <w:t>ссылаясь</w:t>
      </w:r>
      <w:r>
        <w:t xml:space="preserve"> на пункт 6 статьи 14 Протокола по стратегической экологической оценке к Конвенции об оценке воздействия на окружающую среду в трансграничном контексте, </w:t>
      </w:r>
    </w:p>
    <w:p w14:paraId="69E65C6F" w14:textId="02AB1982" w:rsidR="00A936EB" w:rsidRPr="00CA60BF" w:rsidRDefault="00A936EB" w:rsidP="00A936EB">
      <w:pPr>
        <w:pStyle w:val="SingleTxtG"/>
      </w:pPr>
      <w:r>
        <w:tab/>
      </w:r>
      <w:r w:rsidRPr="00CA60BF">
        <w:rPr>
          <w:i/>
          <w:iCs/>
        </w:rPr>
        <w:t>ссылаясь также</w:t>
      </w:r>
      <w:r>
        <w:t xml:space="preserve"> на решение V/6-I/6</w:t>
      </w:r>
      <w:r w:rsidR="00C56C0D" w:rsidRPr="00B32C37">
        <w:rPr>
          <w:sz w:val="18"/>
          <w:vertAlign w:val="superscript"/>
          <w:lang w:eastAsia="fr-FR"/>
        </w:rPr>
        <w:footnoteReference w:id="1"/>
      </w:r>
      <w:r>
        <w:t xml:space="preserve"> Совещания Сторон Конвенции и Совещания Сторон Конвенции, действующего в качестве Совещания Сторон Протокола, о применении процедуры рассмотрения соблюдения Конвенции к Протоколу и решения II/2</w:t>
      </w:r>
      <w:r w:rsidR="00C56C0D" w:rsidRPr="00B32C37">
        <w:rPr>
          <w:sz w:val="18"/>
          <w:vertAlign w:val="superscript"/>
          <w:lang w:eastAsia="fr-FR"/>
        </w:rPr>
        <w:footnoteReference w:id="2"/>
      </w:r>
      <w:r>
        <w:t xml:space="preserve"> и III/2</w:t>
      </w:r>
      <w:r w:rsidR="00C56C0D" w:rsidRPr="00B32C37">
        <w:rPr>
          <w:sz w:val="18"/>
          <w:vertAlign w:val="superscript"/>
          <w:lang w:eastAsia="fr-FR"/>
        </w:rPr>
        <w:footnoteReference w:id="3"/>
      </w:r>
      <w:r>
        <w:t xml:space="preserve"> о рассмотрении соблюдения Протокола,</w:t>
      </w:r>
    </w:p>
    <w:p w14:paraId="45750144" w14:textId="0D5F63DF" w:rsidR="00A936EB" w:rsidRPr="00CA60BF" w:rsidRDefault="00A936EB" w:rsidP="00A936EB">
      <w:pPr>
        <w:pStyle w:val="SingleTxtG"/>
      </w:pPr>
      <w:r>
        <w:tab/>
      </w:r>
      <w:r w:rsidRPr="00CA60BF">
        <w:rPr>
          <w:i/>
          <w:iCs/>
        </w:rPr>
        <w:t>преисполненное решимости</w:t>
      </w:r>
      <w:r>
        <w:t xml:space="preserve"> поощрять и совершенствовать соблюдение Протокола,</w:t>
      </w:r>
    </w:p>
    <w:p w14:paraId="34BE599B" w14:textId="4DBFFED5" w:rsidR="00A936EB" w:rsidRPr="00CA60BF" w:rsidRDefault="00A936EB" w:rsidP="00A936EB">
      <w:pPr>
        <w:pStyle w:val="SingleTxtG"/>
      </w:pPr>
      <w:r>
        <w:tab/>
      </w:r>
      <w:r w:rsidRPr="00CA60BF">
        <w:rPr>
          <w:i/>
          <w:iCs/>
        </w:rPr>
        <w:t>стремясь</w:t>
      </w:r>
      <w:r>
        <w:t xml:space="preserve"> содействовать как можно более раннему выявлению проблем с соблюдением, с которыми сталкиваются Стороны, и принятию наиболее приемлемых и эффективных решений для урегулирования этих проблем,</w:t>
      </w:r>
    </w:p>
    <w:p w14:paraId="0580693A" w14:textId="14E00F5F" w:rsidR="00A936EB" w:rsidRPr="00CA60BF" w:rsidRDefault="00A936EB" w:rsidP="00A936EB">
      <w:pPr>
        <w:pStyle w:val="SingleTxtG"/>
      </w:pPr>
      <w:r>
        <w:tab/>
      </w:r>
      <w:r w:rsidRPr="00C56C0D">
        <w:rPr>
          <w:i/>
          <w:iCs/>
        </w:rPr>
        <w:t>рассмотрев</w:t>
      </w:r>
      <w:r>
        <w:t xml:space="preserve"> структуру и функции Комитета по осуществлению по этим двум договорам, принятые Совещанием Сторон Конвенции в решениях III/2</w:t>
      </w:r>
      <w:r w:rsidR="00C56C0D" w:rsidRPr="00B32C37">
        <w:rPr>
          <w:sz w:val="18"/>
          <w:vertAlign w:val="superscript"/>
          <w:lang w:eastAsia="fr-FR"/>
        </w:rPr>
        <w:footnoteReference w:id="4"/>
      </w:r>
      <w:r>
        <w:t xml:space="preserve"> и VI/2</w:t>
      </w:r>
      <w:r w:rsidR="00C56C0D" w:rsidRPr="00B32C37">
        <w:rPr>
          <w:sz w:val="18"/>
          <w:vertAlign w:val="superscript"/>
          <w:lang w:eastAsia="fr-FR"/>
        </w:rPr>
        <w:footnoteReference w:id="5"/>
      </w:r>
      <w:r>
        <w:t>,</w:t>
      </w:r>
    </w:p>
    <w:p w14:paraId="2A518859" w14:textId="5D9FCDC9" w:rsidR="00A936EB" w:rsidRPr="00CA60BF" w:rsidRDefault="00C56C0D" w:rsidP="00A936EB">
      <w:pPr>
        <w:pStyle w:val="SingleTxtG"/>
      </w:pPr>
      <w:r>
        <w:tab/>
      </w:r>
      <w:r w:rsidR="00A936EB" w:rsidRPr="00C56C0D">
        <w:rPr>
          <w:i/>
          <w:iCs/>
        </w:rPr>
        <w:t>рассмотрев также</w:t>
      </w:r>
      <w:r w:rsidR="00A936EB">
        <w:t xml:space="preserve"> рабочие правила, принятые в решении IV/2</w:t>
      </w:r>
      <w:r w:rsidR="00A936EB" w:rsidRPr="00B32C37">
        <w:rPr>
          <w:sz w:val="18"/>
          <w:vertAlign w:val="superscript"/>
          <w:lang w:eastAsia="fr-FR"/>
        </w:rPr>
        <w:footnoteReference w:id="6"/>
      </w:r>
      <w:r w:rsidR="00A936EB">
        <w:t>, с внесенными поправками в соответствии с приложением к решению V/4</w:t>
      </w:r>
      <w:r w:rsidR="00A936EB" w:rsidRPr="00B32C37">
        <w:rPr>
          <w:sz w:val="18"/>
          <w:vertAlign w:val="superscript"/>
          <w:lang w:eastAsia="fr-FR"/>
        </w:rPr>
        <w:footnoteReference w:id="7"/>
      </w:r>
      <w:r w:rsidR="00A936EB">
        <w:t xml:space="preserve"> и приложением II к решению VI/2</w:t>
      </w:r>
      <w:r w:rsidR="00A936EB" w:rsidRPr="00B32C37">
        <w:rPr>
          <w:sz w:val="18"/>
          <w:vertAlign w:val="superscript"/>
          <w:lang w:eastAsia="fr-FR"/>
        </w:rPr>
        <w:footnoteReference w:id="8"/>
      </w:r>
      <w:r>
        <w:t>,</w:t>
      </w:r>
      <w:r w:rsidR="00A936EB">
        <w:t xml:space="preserve"> </w:t>
      </w:r>
    </w:p>
    <w:p w14:paraId="14E8939A" w14:textId="77777777" w:rsidR="00A936EB" w:rsidRPr="00CA60BF" w:rsidRDefault="00A936EB" w:rsidP="00A936EB">
      <w:pPr>
        <w:pStyle w:val="SingleTxtG"/>
        <w:ind w:firstLine="567"/>
      </w:pPr>
      <w:r w:rsidRPr="00CA60BF">
        <w:rPr>
          <w:i/>
          <w:iCs/>
        </w:rPr>
        <w:t>признавая важность</w:t>
      </w:r>
      <w:r>
        <w:t xml:space="preserve"> повышения эффективности механизма соблюдения в соответствии с Конвенцией с учетом роста числа и сложности вопросов соблюдения, передаваемых на рассмотрение Комитета,</w:t>
      </w:r>
    </w:p>
    <w:p w14:paraId="3973498C" w14:textId="4A0E27DA" w:rsidR="00A936EB" w:rsidRPr="00A30B7D" w:rsidRDefault="00A936EB" w:rsidP="00A936EB">
      <w:pPr>
        <w:pStyle w:val="SingleTxtG"/>
      </w:pPr>
      <w:r>
        <w:tab/>
      </w:r>
      <w:r w:rsidRPr="00CA60BF">
        <w:rPr>
          <w:i/>
          <w:iCs/>
        </w:rPr>
        <w:t xml:space="preserve">признавая также </w:t>
      </w:r>
      <w:r w:rsidRPr="00C56C0D">
        <w:t>важность</w:t>
      </w:r>
      <w:r>
        <w:t xml:space="preserve"> неукоснительного представления Сторонами отчетности о соблюдении ими Протокола и отмечая итоги третьего обзора осуществления Протокола</w:t>
      </w:r>
      <w:r w:rsidRPr="00B32C37">
        <w:rPr>
          <w:sz w:val="18"/>
          <w:vertAlign w:val="superscript"/>
          <w:lang w:eastAsia="fr-FR"/>
        </w:rPr>
        <w:footnoteReference w:id="9"/>
      </w:r>
      <w:r>
        <w:t xml:space="preserve"> на основе ответов Сторон на вопросник по осуществлению Конвенции и Протокола, принятого в его решении IV/5</w:t>
      </w:r>
      <w:r w:rsidRPr="00B32C37">
        <w:rPr>
          <w:sz w:val="18"/>
          <w:vertAlign w:val="superscript"/>
          <w:lang w:eastAsia="fr-FR"/>
        </w:rPr>
        <w:footnoteReference w:id="10"/>
      </w:r>
      <w:r w:rsidR="00C56C0D">
        <w:t>,</w:t>
      </w:r>
    </w:p>
    <w:p w14:paraId="16D94818" w14:textId="1C1BBA3A" w:rsidR="00A936EB" w:rsidRPr="009A6C63" w:rsidRDefault="00A936EB" w:rsidP="00A936EB">
      <w:pPr>
        <w:pStyle w:val="SingleTxtG"/>
      </w:pPr>
      <w:r>
        <w:tab/>
      </w:r>
      <w:r w:rsidRPr="00CA60BF">
        <w:rPr>
          <w:i/>
          <w:iCs/>
        </w:rPr>
        <w:t>напоминая</w:t>
      </w:r>
      <w:r>
        <w:t>, что процедура соблюдения ориентирована на оказание помощи и что Стороны могут направлять Комитету по осуществлению представления по вопросам соблюдения ими Протокола,</w:t>
      </w:r>
    </w:p>
    <w:p w14:paraId="28AF7818" w14:textId="77777777" w:rsidR="00A936EB" w:rsidRPr="00CA60BF" w:rsidRDefault="00A936EB" w:rsidP="00A936EB">
      <w:pPr>
        <w:pStyle w:val="SingleTxtG"/>
        <w:ind w:firstLine="567"/>
      </w:pPr>
      <w:r w:rsidRPr="00CA60BF">
        <w:rPr>
          <w:i/>
          <w:iCs/>
        </w:rPr>
        <w:t>отмечая</w:t>
      </w:r>
      <w:r>
        <w:t xml:space="preserve">, что несколько вопросов соблюдения, рассмотренных Комитетом, затрагивали или указали на пробелы в национальном законодательстве соответствующих Сторон в отношении осуществления Конвенции и/или Протокола, </w:t>
      </w:r>
    </w:p>
    <w:p w14:paraId="6E9EED1C" w14:textId="77777777" w:rsidR="00A936EB" w:rsidRPr="00CA60BF" w:rsidRDefault="00A936EB" w:rsidP="00A936EB">
      <w:pPr>
        <w:pStyle w:val="SingleTxtG"/>
        <w:ind w:firstLine="567"/>
      </w:pPr>
      <w:r w:rsidRPr="00CA60BF">
        <w:rPr>
          <w:i/>
          <w:iCs/>
        </w:rPr>
        <w:t>выражая признательность</w:t>
      </w:r>
      <w:r>
        <w:t xml:space="preserve"> секретариату за его давнюю, финансируемую донорами техническую помощь странам Восточной Европы, Кавказа и Центральной Азии по приведению их законодательства в соответствие с Конвенцией и Протоколом и призывая страны, получающие эту помощь, привести свое законодательство в полное соответствие с этими двумя договорами и, если они еще не являются их Сторонами, ратифицировать их,</w:t>
      </w:r>
    </w:p>
    <w:p w14:paraId="61FB3472" w14:textId="71A7AA11" w:rsidR="00A936EB" w:rsidRPr="00CA60BF" w:rsidRDefault="00A936EB" w:rsidP="00A936EB">
      <w:pPr>
        <w:pStyle w:val="SingleTxtG"/>
        <w:ind w:firstLine="567"/>
      </w:pPr>
      <w:r>
        <w:lastRenderedPageBreak/>
        <w:t>1.</w:t>
      </w:r>
      <w:r>
        <w:tab/>
      </w:r>
      <w:r w:rsidRPr="00CA60BF">
        <w:rPr>
          <w:i/>
          <w:iCs/>
        </w:rPr>
        <w:t>утверждает</w:t>
      </w:r>
      <w:r>
        <w:t xml:space="preserve"> доклад Комитета по осуществлению о его деятельности, содержащийся в документе ECE/MP.EIA/2020/4</w:t>
      </w:r>
      <w:r w:rsidR="00C56C0D">
        <w:t>–</w:t>
      </w:r>
      <w:r>
        <w:t>ECE/MP.EIA/SEA/2020/4;</w:t>
      </w:r>
    </w:p>
    <w:p w14:paraId="7D17DB31" w14:textId="77777777" w:rsidR="00A936EB" w:rsidRPr="00CA60BF" w:rsidRDefault="00A936EB" w:rsidP="00A936EB">
      <w:pPr>
        <w:pStyle w:val="SingleTxtG"/>
        <w:ind w:firstLine="567"/>
      </w:pPr>
      <w:r>
        <w:t>2.</w:t>
      </w:r>
      <w:r>
        <w:tab/>
      </w:r>
      <w:r w:rsidRPr="00CA60BF">
        <w:rPr>
          <w:i/>
          <w:iCs/>
        </w:rPr>
        <w:t>приветствует</w:t>
      </w:r>
      <w:r>
        <w:t xml:space="preserve"> доклады Комитета о работе его сессий в период после третьей сессии Совещания Сторон Конвенции, действующего в качестве Совещания Сторон Протокола (Минск, 13–16 июня 2017 года);</w:t>
      </w:r>
    </w:p>
    <w:p w14:paraId="1740E894" w14:textId="77777777" w:rsidR="00A936EB" w:rsidRPr="00CA60BF" w:rsidRDefault="00A936EB" w:rsidP="00A936EB">
      <w:pPr>
        <w:pStyle w:val="SingleTxtG"/>
        <w:ind w:firstLine="567"/>
      </w:pPr>
      <w:r>
        <w:t>3.</w:t>
      </w:r>
      <w:r>
        <w:tab/>
      </w:r>
      <w:r w:rsidRPr="00CA60BF">
        <w:rPr>
          <w:i/>
          <w:iCs/>
        </w:rPr>
        <w:t>просит</w:t>
      </w:r>
      <w:r>
        <w:t xml:space="preserve"> Комитет по осуществлению:</w:t>
      </w:r>
    </w:p>
    <w:p w14:paraId="30274052" w14:textId="77777777" w:rsidR="00A936EB" w:rsidRPr="00CA60BF" w:rsidRDefault="00A936EB" w:rsidP="00C56C0D">
      <w:pPr>
        <w:pStyle w:val="SingleTxtG"/>
      </w:pPr>
      <w:r>
        <w:tab/>
        <w:t>a)</w:t>
      </w:r>
      <w:r>
        <w:tab/>
        <w:t>продолжать следить за осуществлением и применением Протокола;</w:t>
      </w:r>
    </w:p>
    <w:p w14:paraId="6CDB595C" w14:textId="77777777" w:rsidR="00A936EB" w:rsidRPr="009A6C63" w:rsidRDefault="00A936EB" w:rsidP="00C56C0D">
      <w:pPr>
        <w:pStyle w:val="SingleTxtG"/>
      </w:pPr>
      <w:r>
        <w:tab/>
        <w:t>b)</w:t>
      </w:r>
      <w:r>
        <w:tab/>
        <w:t>поощрять и поддерживать соблюдение Протокола, в том числе, при необходимости, путем предоставления помощи в этой связи;</w:t>
      </w:r>
    </w:p>
    <w:p w14:paraId="36001AE1" w14:textId="77777777" w:rsidR="00A936EB" w:rsidRPr="00CA60BF" w:rsidRDefault="00A936EB" w:rsidP="00A936EB">
      <w:pPr>
        <w:pStyle w:val="SingleTxtG"/>
        <w:ind w:firstLine="567"/>
      </w:pPr>
      <w:r>
        <w:t>4.</w:t>
      </w:r>
      <w:r>
        <w:tab/>
      </w:r>
      <w:r w:rsidRPr="00CA60BF">
        <w:rPr>
          <w:i/>
          <w:iCs/>
        </w:rPr>
        <w:t>приветствует</w:t>
      </w:r>
      <w:r>
        <w:t xml:space="preserve"> рассмотрение Комитетом конкретных вопросов соблюдения, выявленных в ходе второго обзора осуществления Протокола</w:t>
      </w:r>
      <w:r w:rsidRPr="00B32C37">
        <w:rPr>
          <w:sz w:val="18"/>
          <w:vertAlign w:val="superscript"/>
          <w:lang w:eastAsia="fr-FR"/>
        </w:rPr>
        <w:footnoteReference w:id="11"/>
      </w:r>
      <w:r>
        <w:t xml:space="preserve"> в отношении Италии и Сербии, по итогам которого:</w:t>
      </w:r>
    </w:p>
    <w:p w14:paraId="3D13F857" w14:textId="401859D4" w:rsidR="00A936EB" w:rsidRPr="00CA60BF" w:rsidRDefault="00B32C37" w:rsidP="00B32C37">
      <w:pPr>
        <w:pStyle w:val="SingleTxtG"/>
      </w:pPr>
      <w:r>
        <w:tab/>
      </w:r>
      <w:r w:rsidR="00A936EB">
        <w:t>a)</w:t>
      </w:r>
      <w:r w:rsidR="00A936EB">
        <w:tab/>
        <w:t>в случае Италии Комитет заявил, что он удовлетворен представленными Стороной разъяснениями;</w:t>
      </w:r>
    </w:p>
    <w:p w14:paraId="422AE9D6" w14:textId="47A9BF43" w:rsidR="00A936EB" w:rsidRPr="00CA60BF" w:rsidRDefault="00B32C37" w:rsidP="00B32C37">
      <w:pPr>
        <w:pStyle w:val="SingleTxtG"/>
      </w:pPr>
      <w:r>
        <w:tab/>
      </w:r>
      <w:r w:rsidR="00A936EB">
        <w:t>b)</w:t>
      </w:r>
      <w:r w:rsidR="00A936EB">
        <w:tab/>
        <w:t>в случае Сербии потребуется дальнейшее их рассмотрение Комитетом на его предстоящих сессиях в связи с отсутствием ответа от соответствующей Стороны;</w:t>
      </w:r>
    </w:p>
    <w:p w14:paraId="0359947B" w14:textId="77777777" w:rsidR="00A936EB" w:rsidRPr="00CA60BF" w:rsidRDefault="00A936EB" w:rsidP="00A936EB">
      <w:pPr>
        <w:pStyle w:val="SingleTxtG"/>
        <w:ind w:firstLine="567"/>
      </w:pPr>
      <w:r>
        <w:t>5.</w:t>
      </w:r>
      <w:r>
        <w:tab/>
      </w:r>
      <w:r w:rsidRPr="00CA60BF">
        <w:rPr>
          <w:i/>
          <w:iCs/>
        </w:rPr>
        <w:t>приветствует также</w:t>
      </w:r>
      <w:r>
        <w:t xml:space="preserve"> рассмотрение Комитетом конкретных вопросов соблюдения, которые были выявлены в ходе первого обзора осуществления Протокола</w:t>
      </w:r>
      <w:r w:rsidRPr="00B32C37">
        <w:rPr>
          <w:sz w:val="18"/>
          <w:vertAlign w:val="superscript"/>
        </w:rPr>
        <w:footnoteReference w:id="12"/>
      </w:r>
      <w:r>
        <w:t xml:space="preserve"> в отношении Европейского союза и которые нуждаются в дальнейшем рассмотрении Комитетом на его предстоящих сессиях;</w:t>
      </w:r>
    </w:p>
    <w:p w14:paraId="1EA1EF14" w14:textId="77777777" w:rsidR="00A936EB" w:rsidRPr="00CA60BF" w:rsidRDefault="00A936EB" w:rsidP="00A936EB">
      <w:pPr>
        <w:pStyle w:val="SingleTxtG"/>
        <w:ind w:firstLine="567"/>
      </w:pPr>
      <w:r>
        <w:t>6.</w:t>
      </w:r>
      <w:r>
        <w:tab/>
      </w:r>
      <w:r w:rsidRPr="00CA60BF">
        <w:rPr>
          <w:i/>
          <w:iCs/>
        </w:rPr>
        <w:t>приветствует далее</w:t>
      </w:r>
      <w:r>
        <w:t xml:space="preserve"> рассмотрение Комитетом информации, полученной из других источников, включая общественность, в отношении Польши, Сербии и Украины, по итогам которого Комитет заявил о том, что он удовлетворен разъяснениями, представленными Украиной, в случае Сербии Комитетом была предложена соответствующая инициатива, а в случае Польши потребуется дальнейший сбор информации на его предстоящих сессиях; </w:t>
      </w:r>
    </w:p>
    <w:p w14:paraId="455D952D" w14:textId="77777777" w:rsidR="00A936EB" w:rsidRPr="00CA60BF" w:rsidRDefault="00A936EB" w:rsidP="00A936EB">
      <w:pPr>
        <w:pStyle w:val="SingleTxtG"/>
        <w:ind w:firstLine="567"/>
      </w:pPr>
      <w:r>
        <w:t>7.</w:t>
      </w:r>
      <w:r>
        <w:tab/>
      </w:r>
      <w:r w:rsidRPr="00CA60BF">
        <w:rPr>
          <w:i/>
          <w:iCs/>
        </w:rPr>
        <w:t>отмечает</w:t>
      </w:r>
      <w:r>
        <w:t xml:space="preserve"> усилия, предпринятые к настоящему времени Комитетом по проведению обзора эффективности и действенности своих методов и практики работы с целью решения проблемы роста числа и сложности вопросов соблюдения, передаваемых на рассмотрение Комитета; и предлагает Комитету продолжить эту работу на его последующих сессиях; </w:t>
      </w:r>
    </w:p>
    <w:p w14:paraId="3230C10E" w14:textId="77777777" w:rsidR="00A936EB" w:rsidRPr="00CA60BF" w:rsidRDefault="00A936EB" w:rsidP="00A936EB">
      <w:pPr>
        <w:pStyle w:val="SingleTxtG"/>
        <w:ind w:firstLine="567"/>
      </w:pPr>
      <w:r>
        <w:t>8.</w:t>
      </w:r>
      <w:r>
        <w:tab/>
      </w:r>
      <w:r w:rsidRPr="00CA60BF">
        <w:rPr>
          <w:i/>
          <w:iCs/>
        </w:rPr>
        <w:t>с сожалением отмечает</w:t>
      </w:r>
      <w:r>
        <w:t xml:space="preserve">, что работа Комитета затрудняется поздним представлением и ненадлежащим качеством ответов ряда соответствующих Сторон, а в некоторых случаях также их отказом от предоставления ответа и сотрудничества; </w:t>
      </w:r>
    </w:p>
    <w:p w14:paraId="136B0A88" w14:textId="77777777" w:rsidR="00A936EB" w:rsidRPr="00CA60BF" w:rsidRDefault="00A936EB" w:rsidP="00A936EB">
      <w:pPr>
        <w:pStyle w:val="SingleTxtG"/>
        <w:ind w:firstLine="567"/>
      </w:pPr>
      <w:r>
        <w:t>9.</w:t>
      </w:r>
      <w:r>
        <w:tab/>
      </w:r>
      <w:r w:rsidRPr="00CA60BF">
        <w:rPr>
          <w:i/>
          <w:iCs/>
        </w:rPr>
        <w:t>настоятельно призывает</w:t>
      </w:r>
      <w:r>
        <w:t xml:space="preserve"> Стороны добросовестно оказывать Комитету содействие в его работе путем своевременного предоставления ему запрашиваемой информации надлежащего качества;</w:t>
      </w:r>
    </w:p>
    <w:p w14:paraId="0C7FD216" w14:textId="77777777" w:rsidR="00A936EB" w:rsidRPr="00CA60BF" w:rsidRDefault="00A936EB" w:rsidP="00A936EB">
      <w:pPr>
        <w:pStyle w:val="SingleTxtG"/>
        <w:ind w:firstLine="567"/>
      </w:pPr>
      <w:r>
        <w:t>10.</w:t>
      </w:r>
      <w:r>
        <w:tab/>
      </w:r>
      <w:r w:rsidRPr="00CA60BF">
        <w:rPr>
          <w:i/>
          <w:iCs/>
        </w:rPr>
        <w:t>призывает</w:t>
      </w:r>
      <w:r>
        <w:t xml:space="preserve"> Стороны выносить вопросы, касающиеся их собственного соблюдения, на рассмотрение Комитета;</w:t>
      </w:r>
    </w:p>
    <w:p w14:paraId="1EAB3ED5" w14:textId="51127F11" w:rsidR="00A936EB" w:rsidRPr="00CA60BF" w:rsidRDefault="00A936EB" w:rsidP="00A936EB">
      <w:pPr>
        <w:pStyle w:val="SingleTxtG"/>
        <w:ind w:firstLine="567"/>
        <w:rPr>
          <w:iCs/>
        </w:rPr>
      </w:pPr>
      <w:r>
        <w:t>11.</w:t>
      </w:r>
      <w:r>
        <w:tab/>
      </w:r>
      <w:r w:rsidRPr="00CA60BF">
        <w:rPr>
          <w:i/>
          <w:iCs/>
        </w:rPr>
        <w:t>просит</w:t>
      </w:r>
      <w:r>
        <w:t xml:space="preserve"> Комитет по осуществлению в случае необходимости и по мере возможности оказывать Сторонам помощь в приведении их законодательства в соответствие с Конвенцией и Протоколом, в том числе путем сотрудничества с секретариатом в контексте технической помощи, предоставляемой секретариатом в соответствии с планом работы на 2021–2023 годы, принятым в решении VIII/2–IV/2</w:t>
      </w:r>
      <w:r w:rsidRPr="00B32C37">
        <w:rPr>
          <w:iCs/>
          <w:sz w:val="18"/>
          <w:vertAlign w:val="superscript"/>
          <w:lang w:eastAsia="fr-FR"/>
        </w:rPr>
        <w:footnoteReference w:id="13"/>
      </w:r>
      <w:r w:rsidR="00B32C37">
        <w:t>;</w:t>
      </w:r>
    </w:p>
    <w:p w14:paraId="2A9624A2" w14:textId="2CEC787F" w:rsidR="00A936EB" w:rsidRPr="00CA60BF" w:rsidRDefault="00A936EB" w:rsidP="00A936EB">
      <w:pPr>
        <w:pStyle w:val="SingleTxtG"/>
        <w:ind w:firstLine="567"/>
      </w:pPr>
      <w:r>
        <w:t>12.</w:t>
      </w:r>
      <w:r>
        <w:tab/>
      </w:r>
      <w:r w:rsidRPr="00CA60BF">
        <w:rPr>
          <w:i/>
          <w:iCs/>
        </w:rPr>
        <w:t>призывает</w:t>
      </w:r>
      <w:r>
        <w:t xml:space="preserve"> Стороны учитывать в своей будущей работе рекомендации по дальнейшему повышению эффективности осуществления и соблюдения Протокола, в</w:t>
      </w:r>
      <w:r w:rsidR="00B32C37">
        <w:t> </w:t>
      </w:r>
      <w:r>
        <w:t xml:space="preserve">том числе путем укрепления национального законодательства, в частности на основе </w:t>
      </w:r>
      <w:r>
        <w:lastRenderedPageBreak/>
        <w:t>анализа общих вопросов соблюдения, вытекающих из обзоров осуществления, указанных в его решениях II/1</w:t>
      </w:r>
      <w:r w:rsidRPr="00B32C37">
        <w:rPr>
          <w:sz w:val="18"/>
          <w:vertAlign w:val="superscript"/>
          <w:lang w:eastAsia="fr-FR"/>
        </w:rPr>
        <w:footnoteReference w:id="14"/>
      </w:r>
      <w:r>
        <w:t>, III/1</w:t>
      </w:r>
      <w:r w:rsidRPr="00B32C37">
        <w:rPr>
          <w:sz w:val="18"/>
          <w:vertAlign w:val="superscript"/>
          <w:lang w:eastAsia="fr-FR"/>
        </w:rPr>
        <w:footnoteReference w:id="15"/>
      </w:r>
      <w:r>
        <w:t xml:space="preserve"> и IV/5, а также </w:t>
      </w:r>
      <w:r w:rsidRPr="00B32C37">
        <w:rPr>
          <w:i/>
          <w:iCs/>
        </w:rPr>
        <w:t>Рекомендаций по надлежащей практике участия общественности в стратегической экологической оценке</w:t>
      </w:r>
      <w:r w:rsidRPr="00B32C37">
        <w:rPr>
          <w:sz w:val="18"/>
          <w:vertAlign w:val="superscript"/>
          <w:lang w:eastAsia="fr-FR"/>
        </w:rPr>
        <w:footnoteReference w:id="16"/>
      </w:r>
      <w:r>
        <w:t>, одобренных Сторонами в решении II/8</w:t>
      </w:r>
      <w:r w:rsidRPr="00B32C37">
        <w:rPr>
          <w:sz w:val="18"/>
          <w:vertAlign w:val="superscript"/>
          <w:lang w:eastAsia="fr-FR"/>
        </w:rPr>
        <w:footnoteReference w:id="17"/>
      </w:r>
      <w:r w:rsidR="00B32C37">
        <w:t>;</w:t>
      </w:r>
    </w:p>
    <w:p w14:paraId="5D08179E" w14:textId="77777777" w:rsidR="00A936EB" w:rsidRPr="00CA60BF" w:rsidRDefault="00A936EB" w:rsidP="00A936EB">
      <w:pPr>
        <w:pStyle w:val="SingleTxtG"/>
        <w:ind w:firstLine="567"/>
      </w:pPr>
      <w:r>
        <w:t>13.</w:t>
      </w:r>
      <w:r>
        <w:tab/>
      </w:r>
      <w:r w:rsidRPr="00CA60BF">
        <w:rPr>
          <w:i/>
          <w:iCs/>
        </w:rPr>
        <w:t>принимает</w:t>
      </w:r>
      <w:r>
        <w:t xml:space="preserve"> поправку к рабочим правилам Комитета, содержащуюся в приложении к решению VIII/4</w:t>
      </w:r>
      <w:r w:rsidRPr="00B32C37">
        <w:rPr>
          <w:sz w:val="18"/>
          <w:vertAlign w:val="superscript"/>
          <w:lang w:eastAsia="fr-FR"/>
        </w:rPr>
        <w:footnoteReference w:id="18"/>
      </w:r>
      <w:r>
        <w:t xml:space="preserve"> Совещания Сторон Конвенции;</w:t>
      </w:r>
    </w:p>
    <w:p w14:paraId="07D48172" w14:textId="728D95F5" w:rsidR="00A936EB" w:rsidRDefault="00B32C37" w:rsidP="00A936EB">
      <w:pPr>
        <w:pStyle w:val="SingleTxtG"/>
      </w:pPr>
      <w:r>
        <w:tab/>
      </w:r>
      <w:r w:rsidR="00A936EB">
        <w:t>14.</w:t>
      </w:r>
      <w:r w:rsidR="00A936EB">
        <w:tab/>
      </w:r>
      <w:r w:rsidR="00A936EB" w:rsidRPr="00CA60BF">
        <w:rPr>
          <w:i/>
          <w:iCs/>
        </w:rPr>
        <w:t>постановляет</w:t>
      </w:r>
      <w:r w:rsidR="00A936EB">
        <w:t xml:space="preserve"> продолжить обзор и дальнейшую доработку структуры и функций Комитета, а также его рабочих правил на пятой сессии в свете опыта, накопленного Комитетом в период между сессиями, и в целях повышения согласованности и уменьшения дублирования между этими двумя сводами правил, а</w:t>
      </w:r>
      <w:r>
        <w:t> </w:t>
      </w:r>
      <w:r w:rsidR="00A936EB">
        <w:t>также более активного использования видеоконференций и других средств интерактивной и электронной связи в качестве эффективных инструментов управления рабочей нагрузкой Комитета; и просит Комитет подготовить для пятой сессии Совещания Сторон любые предложения, которые он сочтет необходимыми.</w:t>
      </w:r>
    </w:p>
    <w:p w14:paraId="4E4A24CE" w14:textId="77777777" w:rsidR="00C56C0D" w:rsidRDefault="00C56C0D" w:rsidP="00C56C0D">
      <w:pPr>
        <w:pStyle w:val="SingleTxtG"/>
        <w:sectPr w:rsidR="00C56C0D" w:rsidSect="00A936E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titlePg/>
          <w:docGrid w:linePitch="360"/>
        </w:sectPr>
      </w:pPr>
    </w:p>
    <w:p w14:paraId="0D72DFDC" w14:textId="77777777" w:rsidR="00C56C0D" w:rsidRPr="00CA60BF" w:rsidRDefault="00C56C0D" w:rsidP="00C56C0D">
      <w:pPr>
        <w:pStyle w:val="HChG"/>
      </w:pPr>
      <w:r>
        <w:lastRenderedPageBreak/>
        <w:tab/>
      </w:r>
      <w:r>
        <w:tab/>
      </w:r>
      <w:r>
        <w:rPr>
          <w:bCs/>
        </w:rPr>
        <w:t>Решение IV/5</w:t>
      </w:r>
    </w:p>
    <w:p w14:paraId="0B02B96A" w14:textId="77777777" w:rsidR="00C56C0D" w:rsidRPr="00CA60BF" w:rsidRDefault="00C56C0D" w:rsidP="00C56C0D">
      <w:pPr>
        <w:pStyle w:val="HChG"/>
        <w:rPr>
          <w:rFonts w:eastAsia="Calibri"/>
        </w:rPr>
      </w:pPr>
      <w:r>
        <w:tab/>
      </w:r>
      <w:r>
        <w:tab/>
      </w:r>
      <w:r>
        <w:rPr>
          <w:bCs/>
        </w:rPr>
        <w:t>Представление отчетности и обзор осуществления Протокола</w:t>
      </w:r>
    </w:p>
    <w:p w14:paraId="028FDDB8" w14:textId="21988904" w:rsidR="00C56C0D" w:rsidRPr="00CA60BF" w:rsidRDefault="00C56C0D" w:rsidP="00C56C0D">
      <w:pPr>
        <w:pStyle w:val="SingleTxtG"/>
        <w:ind w:firstLine="567"/>
        <w:rPr>
          <w:rFonts w:eastAsia="Calibri"/>
          <w:i/>
          <w:iCs/>
        </w:rPr>
      </w:pPr>
      <w:bookmarkStart w:id="3" w:name="ici"/>
      <w:bookmarkEnd w:id="3"/>
      <w:r>
        <w:rPr>
          <w:i/>
          <w:iCs/>
        </w:rPr>
        <w:t>Совещание Сторон Протокола,</w:t>
      </w:r>
    </w:p>
    <w:p w14:paraId="643996E3" w14:textId="0F83B4CB" w:rsidR="00C56C0D" w:rsidRPr="00CA60BF" w:rsidRDefault="00C56C0D" w:rsidP="00C56C0D">
      <w:pPr>
        <w:pStyle w:val="SingleTxtG"/>
        <w:ind w:firstLine="567"/>
        <w:rPr>
          <w:rFonts w:eastAsia="Calibri"/>
        </w:rPr>
      </w:pPr>
      <w:r w:rsidRPr="00CA60BF">
        <w:rPr>
          <w:i/>
          <w:iCs/>
        </w:rPr>
        <w:t>ссылаясь</w:t>
      </w:r>
      <w:r>
        <w:t xml:space="preserve"> на решение V/7–I/7</w:t>
      </w:r>
      <w:r w:rsidRPr="00B32C37">
        <w:rPr>
          <w:rFonts w:eastAsia="Calibri"/>
          <w:sz w:val="18"/>
          <w:vertAlign w:val="superscript"/>
          <w:lang w:eastAsia="fr-FR"/>
        </w:rPr>
        <w:footnoteReference w:id="19"/>
      </w:r>
      <w:r>
        <w:t xml:space="preserve"> Совещания Сторон Конвенции об оценке воздействия на окружающую среду в трансграничном контексте и Совещания Сторон Конвенции, действующего в качестве </w:t>
      </w:r>
      <w:bookmarkStart w:id="4" w:name="_Hlk70345485"/>
      <w:r>
        <w:t>совещания Сторон Протокола по стратегической экологической оценке</w:t>
      </w:r>
      <w:bookmarkEnd w:id="4"/>
      <w:r>
        <w:t xml:space="preserve"> (Совещание Сторон Протокола), а также решения II/1</w:t>
      </w:r>
      <w:r w:rsidRPr="00B32C37">
        <w:rPr>
          <w:rFonts w:eastAsia="Calibri"/>
          <w:sz w:val="18"/>
          <w:vertAlign w:val="superscript"/>
          <w:lang w:eastAsia="fr-FR"/>
        </w:rPr>
        <w:footnoteReference w:id="20"/>
      </w:r>
      <w:r>
        <w:t xml:space="preserve"> и III/1</w:t>
      </w:r>
      <w:r w:rsidRPr="00B32C37">
        <w:rPr>
          <w:rFonts w:eastAsia="Calibri"/>
          <w:sz w:val="18"/>
          <w:vertAlign w:val="superscript"/>
          <w:lang w:eastAsia="fr-FR"/>
        </w:rPr>
        <w:footnoteReference w:id="21"/>
      </w:r>
      <w:r>
        <w:t xml:space="preserve"> Совещания Сторон Протокола о представлении отчетности и обзоре осуществления,</w:t>
      </w:r>
    </w:p>
    <w:p w14:paraId="105E6168" w14:textId="0A9C1AEE" w:rsidR="00C56C0D" w:rsidRPr="00CA60BF" w:rsidRDefault="00C56C0D" w:rsidP="00C56C0D">
      <w:pPr>
        <w:pStyle w:val="SingleTxtG"/>
        <w:ind w:firstLine="567"/>
        <w:rPr>
          <w:rFonts w:eastAsia="Calibri"/>
        </w:rPr>
      </w:pPr>
      <w:r w:rsidRPr="00CA60BF">
        <w:rPr>
          <w:i/>
          <w:iCs/>
        </w:rPr>
        <w:t>ссылаясь также</w:t>
      </w:r>
      <w:r>
        <w:t xml:space="preserve"> на пункт 4 статьи 14 Протокола о регулярном рассмотрении осуществления Протокола,</w:t>
      </w:r>
    </w:p>
    <w:p w14:paraId="0FCB7C38" w14:textId="21C1C958" w:rsidR="00C56C0D" w:rsidRPr="00CA60BF" w:rsidRDefault="00C56C0D" w:rsidP="00C56C0D">
      <w:pPr>
        <w:pStyle w:val="SingleTxtG"/>
        <w:ind w:firstLine="567"/>
        <w:rPr>
          <w:rFonts w:eastAsia="Calibri"/>
        </w:rPr>
      </w:pPr>
      <w:r w:rsidRPr="00CA60BF">
        <w:rPr>
          <w:i/>
          <w:iCs/>
        </w:rPr>
        <w:t>ссылаясь далее</w:t>
      </w:r>
      <w:r>
        <w:t xml:space="preserve"> на пункт 7 статьи 14 Протокола, касающийся отчетности Сторон о мерах, принятых ими в целях осуществления Протокола, и пункт 4 статьи 13 Протокола, касающийся отчетности Сторон о применении ими статьи 13 о политике и законодательстве,</w:t>
      </w:r>
    </w:p>
    <w:p w14:paraId="0C6934FB" w14:textId="2256073E" w:rsidR="00C56C0D" w:rsidRPr="00CA60BF" w:rsidRDefault="00C56C0D" w:rsidP="00C56C0D">
      <w:pPr>
        <w:pStyle w:val="SingleTxtG"/>
        <w:ind w:firstLine="567"/>
        <w:rPr>
          <w:rFonts w:eastAsia="Calibri"/>
        </w:rPr>
      </w:pPr>
      <w:r w:rsidRPr="00CA60BF">
        <w:rPr>
          <w:i/>
          <w:iCs/>
        </w:rPr>
        <w:t>признавая</w:t>
      </w:r>
      <w:r>
        <w:t>, что регулярное представление отчетности каждой Стороной обеспечивает поступление важной информации, которая способствует обзору соблюдения положений Протокола и тем самым вносит вклад в работу Комитета по осуществлению,</w:t>
      </w:r>
    </w:p>
    <w:p w14:paraId="3B224359" w14:textId="596099EF" w:rsidR="00C56C0D" w:rsidRPr="00CA60BF" w:rsidRDefault="00C56C0D" w:rsidP="00C56C0D">
      <w:pPr>
        <w:pStyle w:val="SingleTxtG"/>
        <w:ind w:firstLine="567"/>
        <w:rPr>
          <w:rFonts w:eastAsia="Calibri"/>
        </w:rPr>
      </w:pPr>
      <w:r w:rsidRPr="00CA60BF">
        <w:rPr>
          <w:i/>
          <w:iCs/>
        </w:rPr>
        <w:t>признавая также</w:t>
      </w:r>
      <w:r>
        <w:t>, что отчетность Сторон дает полезную информацию другим странам, расположенным как в регионе Европейской экономической комиссии Организации Объединенных Наций (ЕЭК), так и за его пределами, что содействует их усилиям по осуществлению Протокола и присоединению к нему,</w:t>
      </w:r>
    </w:p>
    <w:p w14:paraId="2C7E6FB8" w14:textId="69FE3971" w:rsidR="00C56C0D" w:rsidRPr="00CA60BF" w:rsidRDefault="00C56C0D" w:rsidP="00C56C0D">
      <w:pPr>
        <w:pStyle w:val="SingleTxtG"/>
        <w:ind w:firstLine="567"/>
        <w:rPr>
          <w:rFonts w:eastAsia="Calibri"/>
        </w:rPr>
      </w:pPr>
      <w:r w:rsidRPr="00CA60BF">
        <w:rPr>
          <w:i/>
          <w:iCs/>
        </w:rPr>
        <w:t>проведя</w:t>
      </w:r>
      <w:r>
        <w:t xml:space="preserve"> </w:t>
      </w:r>
      <w:r w:rsidRPr="00926859">
        <w:rPr>
          <w:i/>
          <w:iCs/>
        </w:rPr>
        <w:t>анализ</w:t>
      </w:r>
      <w:r>
        <w:t xml:space="preserve"> докладов, представленных Сторонами в ответ на вопросник об осуществлении Протокола в период 2016–2018 годов,</w:t>
      </w:r>
    </w:p>
    <w:p w14:paraId="0990BD24" w14:textId="58EE992A" w:rsidR="00C56C0D" w:rsidRPr="00CA60BF" w:rsidRDefault="00C56C0D" w:rsidP="00C56C0D">
      <w:pPr>
        <w:pStyle w:val="SingleTxtG"/>
        <w:ind w:firstLine="567"/>
        <w:rPr>
          <w:rFonts w:eastAsia="Calibri"/>
        </w:rPr>
      </w:pPr>
      <w:r w:rsidRPr="00CA60BF">
        <w:rPr>
          <w:i/>
          <w:iCs/>
        </w:rPr>
        <w:t>решительно подчеркивая</w:t>
      </w:r>
      <w:r>
        <w:t xml:space="preserve"> важное значение своевременности и высокого качества национальной отчетности,</w:t>
      </w:r>
    </w:p>
    <w:p w14:paraId="10B4B2A5" w14:textId="3B4B3497" w:rsidR="00C56C0D" w:rsidRPr="00CA60BF" w:rsidRDefault="00C56C0D" w:rsidP="00C56C0D">
      <w:pPr>
        <w:pStyle w:val="SingleTxtG"/>
        <w:ind w:firstLine="567"/>
      </w:pPr>
      <w:r w:rsidRPr="00CA60BF">
        <w:rPr>
          <w:i/>
          <w:iCs/>
        </w:rPr>
        <w:t>выражая обеспокоенность</w:t>
      </w:r>
      <w:r>
        <w:t xml:space="preserve"> тем, что на вопросник с опозданием ответили следующие 15 государств-участников, которые являлись Сторонами Протокола в рассматриваемый период: Босния и Герцеговина, Германия,</w:t>
      </w:r>
      <w:r w:rsidR="00E443A8" w:rsidRPr="00E443A8">
        <w:t xml:space="preserve"> </w:t>
      </w:r>
      <w:r w:rsidR="00E443A8">
        <w:t xml:space="preserve">Дания, Испания, </w:t>
      </w:r>
      <w:r>
        <w:t xml:space="preserve">Италия, </w:t>
      </w:r>
      <w:r w:rsidR="00E443A8">
        <w:t xml:space="preserve">Кипр, </w:t>
      </w:r>
      <w:r>
        <w:t xml:space="preserve">Латвия, Люксембург, Нидерланды, </w:t>
      </w:r>
      <w:r w:rsidR="00E443A8">
        <w:t xml:space="preserve">Португалия, </w:t>
      </w:r>
      <w:r>
        <w:t>Северная Македония, Сербия, Словения, Украина</w:t>
      </w:r>
      <w:r w:rsidR="00E443A8" w:rsidRPr="00E443A8">
        <w:t xml:space="preserve"> </w:t>
      </w:r>
      <w:r w:rsidR="00E443A8">
        <w:t>и Черногория</w:t>
      </w:r>
      <w:r>
        <w:t>,</w:t>
      </w:r>
      <w:bookmarkStart w:id="5" w:name="_Hlk31812073"/>
      <w:bookmarkEnd w:id="5"/>
    </w:p>
    <w:p w14:paraId="7F362FFD" w14:textId="4F2D67FC" w:rsidR="00C56C0D" w:rsidRPr="00CA60BF" w:rsidRDefault="00C56C0D" w:rsidP="00C56C0D">
      <w:pPr>
        <w:pStyle w:val="SingleTxtG"/>
        <w:ind w:firstLine="567"/>
        <w:rPr>
          <w:rFonts w:eastAsia="Calibri"/>
        </w:rPr>
      </w:pPr>
      <w:r w:rsidRPr="00CA60BF">
        <w:rPr>
          <w:i/>
          <w:iCs/>
        </w:rPr>
        <w:t>высоко оценивая</w:t>
      </w:r>
      <w:r>
        <w:t xml:space="preserve"> тот факт, что Республика Молдова, не являвшаяся Стороной Протокола в рассматриваемый период, а также Грузия и Казахстан, не являющиеся Сторонами Протокола, тем не менее ответили на вопросник,</w:t>
      </w:r>
    </w:p>
    <w:p w14:paraId="5CDC0B1F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1.</w:t>
      </w:r>
      <w:r>
        <w:tab/>
      </w:r>
      <w:r w:rsidRPr="00CA60BF">
        <w:rPr>
          <w:i/>
          <w:iCs/>
        </w:rPr>
        <w:t>приветствует</w:t>
      </w:r>
      <w:r>
        <w:t xml:space="preserve"> доклады Сторон об осуществлении ими Протокола в период 2016–2018 годов, которые были размещены на веб-сайте договора;</w:t>
      </w:r>
    </w:p>
    <w:p w14:paraId="00A39B2D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2.</w:t>
      </w:r>
      <w:r>
        <w:tab/>
      </w:r>
      <w:r w:rsidRPr="00CA60BF">
        <w:rPr>
          <w:i/>
          <w:iCs/>
        </w:rPr>
        <w:t>одобряет</w:t>
      </w:r>
      <w:r>
        <w:t xml:space="preserve"> третий обзор осуществления Протокола, содержащийся в документе ECE/MP.EIA/SEA/2020/8, и просит секретариат организовать его опубликование в электронном виде на всех трех официальных языках ЕЭК;</w:t>
      </w:r>
      <w:bookmarkStart w:id="6" w:name="_Hlk35612004"/>
      <w:bookmarkEnd w:id="6"/>
    </w:p>
    <w:p w14:paraId="1F84CAF1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3.</w:t>
      </w:r>
      <w:r>
        <w:tab/>
      </w:r>
      <w:r w:rsidRPr="00CA60BF">
        <w:rPr>
          <w:i/>
          <w:iCs/>
        </w:rPr>
        <w:t>принимает к сведению</w:t>
      </w:r>
      <w:r>
        <w:t xml:space="preserve"> выводы, содержащиеся в третьем обзоре осуществления Протокола, в том числе следующие возможные слабые места или недостатки, а также области, нуждающиеся в дальнейшем усовершенствовании деятельности по осуществлению Протокола Сторонами:</w:t>
      </w:r>
    </w:p>
    <w:p w14:paraId="446A3EDE" w14:textId="77777777" w:rsidR="00C56C0D" w:rsidRPr="00CA60BF" w:rsidRDefault="00C56C0D" w:rsidP="00C56C0D">
      <w:pPr>
        <w:pStyle w:val="SingleTxtG"/>
        <w:ind w:firstLine="567"/>
        <w:rPr>
          <w:rFonts w:eastAsia="Times"/>
        </w:rPr>
      </w:pPr>
      <w:r>
        <w:lastRenderedPageBreak/>
        <w:t>a)</w:t>
      </w:r>
      <w:r>
        <w:tab/>
        <w:t>существуют различные подходы к толкованию термина «определяют основу для выдачи в будущем разрешений на реализацию», содержащегося в пункте 2 статьи 4 Протокола, при этом большинство Сторон не имеют четкого определения этого термина в своем внутреннем законодательстве; Стороны также сталкиваются с трудностями при толковании положений пункта 4 статьи 4, в частности терминов «небольших территорий на местном уровне» и «незначительных изменений»;</w:t>
      </w:r>
    </w:p>
    <w:p w14:paraId="3AFA9C49" w14:textId="77777777" w:rsidR="00C56C0D" w:rsidRPr="00CA60BF" w:rsidRDefault="00C56C0D" w:rsidP="00C56C0D">
      <w:pPr>
        <w:pStyle w:val="SingleTxtG"/>
        <w:ind w:firstLine="567"/>
        <w:rPr>
          <w:rFonts w:eastAsia="Times"/>
        </w:rPr>
      </w:pPr>
      <w:r>
        <w:t>b)</w:t>
      </w:r>
      <w:r>
        <w:tab/>
        <w:t>законодательство и практика Сторон по-прежнему существенно различаются в плане возможностей, предоставляемых затрагиваемой общественности для участия в предварительной оценке и определении сферы охвата в соответствии с пунктом 3 статьи 5 и пунктом 3 статьи 6 Протокола;</w:t>
      </w:r>
    </w:p>
    <w:p w14:paraId="3B4A5F35" w14:textId="77777777" w:rsidR="00C56C0D" w:rsidRPr="00CA60BF" w:rsidRDefault="00C56C0D" w:rsidP="00C56C0D">
      <w:pPr>
        <w:pStyle w:val="SingleTxtG"/>
        <w:ind w:firstLine="567"/>
        <w:rPr>
          <w:rFonts w:eastAsia="Times"/>
        </w:rPr>
      </w:pPr>
      <w:bookmarkStart w:id="7" w:name="_Hlk17104193"/>
      <w:r>
        <w:t>с)</w:t>
      </w:r>
      <w:r>
        <w:tab/>
        <w:t xml:space="preserve">некоторые Стороны, как представляется, испытывают трудности с надлежащим учетом связанных со здоровьем аспектов и воздействий на здоровье в рамках стратегических экологических оценок. Стороны, возможно, пожелают ознакомиться с посвященным аспектам здоровья разделом </w:t>
      </w:r>
      <w:r>
        <w:rPr>
          <w:i/>
          <w:iCs/>
        </w:rPr>
        <w:t>Руководства по ресурсам в поддержку применения Протокола ЕЭК ООН по стратегической экологической оценке</w:t>
      </w:r>
      <w:r w:rsidRPr="00B32C37">
        <w:rPr>
          <w:rFonts w:eastAsia="Times"/>
          <w:sz w:val="18"/>
          <w:vertAlign w:val="superscript"/>
          <w:lang w:eastAsia="fr-FR"/>
        </w:rPr>
        <w:footnoteReference w:id="22"/>
      </w:r>
      <w:r>
        <w:t xml:space="preserve"> для получения дополнительной информации по этому вопросу;</w:t>
      </w:r>
      <w:bookmarkStart w:id="8" w:name="_Hlk18072819"/>
      <w:bookmarkEnd w:id="8"/>
    </w:p>
    <w:p w14:paraId="2F33410F" w14:textId="77777777" w:rsidR="00C56C0D" w:rsidRPr="00CA60BF" w:rsidRDefault="00C56C0D" w:rsidP="00C56C0D">
      <w:pPr>
        <w:pStyle w:val="SingleTxtG"/>
        <w:ind w:firstLine="567"/>
      </w:pPr>
      <w:r>
        <w:t>d)</w:t>
      </w:r>
      <w:r>
        <w:tab/>
        <w:t>некоторые консультации осложняются трудностями, обусловленными различной практикой Сторон в области перевода документации при проведении трансграничных консультаций, в частности в плане качества, сроков и ресурсов, необходимых для выполнения этого перевода, а также в плане включения перевода в графики проведения консультаций и участия общественности;</w:t>
      </w:r>
    </w:p>
    <w:bookmarkEnd w:id="7"/>
    <w:p w14:paraId="5C5396E4" w14:textId="77777777" w:rsidR="00C56C0D" w:rsidRPr="00CA60BF" w:rsidRDefault="00C56C0D" w:rsidP="00C56C0D">
      <w:pPr>
        <w:pStyle w:val="SingleTxtG"/>
        <w:ind w:firstLine="567"/>
      </w:pPr>
      <w:r>
        <w:t>e)</w:t>
      </w:r>
      <w:r>
        <w:tab/>
        <w:t>заключение дополнительных двусторонних соглашений или других договоренностей может быть полезным для содействия проведению трансграничных консультаций между Сторонами, в частности в целях повышения эффективности и устранения различий между применяемой Сторонами практикой осуществления, включая языковые вопросы, сроки, участие общественности, толкование различных терминов и организацию трансграничных консультаций;</w:t>
      </w:r>
    </w:p>
    <w:p w14:paraId="0DD09CBF" w14:textId="77777777" w:rsidR="00C56C0D" w:rsidRPr="00CA60BF" w:rsidRDefault="00C56C0D" w:rsidP="00C56C0D">
      <w:pPr>
        <w:pStyle w:val="SingleTxtG"/>
        <w:ind w:firstLine="567"/>
      </w:pPr>
      <w:r>
        <w:t>f)</w:t>
      </w:r>
      <w:r>
        <w:tab/>
        <w:t>Стороны сообщают о широком разнообразии практики и опыта осуществления, и эту информацию можно было бы использовать в целях активизации осуществления и практического применения Протокола. Поскольку ни одна из Сторон не изъявила желания представить примеры практического опыта, было бы целесообразно рассмотреть вопрос о возможных способах содействия ЕЭК подготовке таких материалов;</w:t>
      </w:r>
    </w:p>
    <w:p w14:paraId="1719FECA" w14:textId="77777777" w:rsidR="00C56C0D" w:rsidRPr="00CA60BF" w:rsidRDefault="00C56C0D" w:rsidP="00C56C0D">
      <w:pPr>
        <w:pStyle w:val="SingleTxtG"/>
        <w:ind w:firstLine="567"/>
      </w:pPr>
      <w:r>
        <w:t>g)</w:t>
      </w:r>
      <w:r>
        <w:tab/>
        <w:t>многие Стороны систематически не выполняют своего обязательства по своевременному представлению докладов (в соответствии с пунктом 7 статьи 14);</w:t>
      </w:r>
    </w:p>
    <w:p w14:paraId="5B505616" w14:textId="77777777" w:rsidR="00C56C0D" w:rsidRPr="00CA60BF" w:rsidRDefault="00C56C0D" w:rsidP="00C56C0D">
      <w:pPr>
        <w:pStyle w:val="SingleTxtG"/>
        <w:ind w:firstLine="567"/>
        <w:rPr>
          <w:rFonts w:eastAsia="Times"/>
        </w:rPr>
      </w:pPr>
      <w:r>
        <w:t>h)</w:t>
      </w:r>
      <w:r>
        <w:tab/>
        <w:t xml:space="preserve">относительно мало Сторон используют </w:t>
      </w:r>
      <w:r w:rsidRPr="006F42A6">
        <w:rPr>
          <w:i/>
          <w:iCs/>
        </w:rPr>
        <w:t>Руководство по ресурсам</w:t>
      </w:r>
      <w:r>
        <w:t xml:space="preserve">, но причины этого неясны. Несколько Сторон обратились с просьбой о переводе текущего варианта </w:t>
      </w:r>
      <w:r w:rsidRPr="006F42A6">
        <w:rPr>
          <w:i/>
          <w:iCs/>
        </w:rPr>
        <w:t>Руководства по ресурсам</w:t>
      </w:r>
      <w:r>
        <w:t xml:space="preserve"> на их национальные языки;</w:t>
      </w:r>
    </w:p>
    <w:p w14:paraId="34036781" w14:textId="77777777" w:rsidR="00C56C0D" w:rsidRPr="00CA60BF" w:rsidRDefault="00C56C0D" w:rsidP="00C56C0D">
      <w:pPr>
        <w:pStyle w:val="SingleTxtG"/>
        <w:ind w:firstLine="567"/>
      </w:pPr>
      <w:r>
        <w:t>i)</w:t>
      </w:r>
      <w:r>
        <w:tab/>
        <w:t>одним из направлений совершенствования работы по осуществлению Протокола могло бы стать обеспечение качества докладов о воздействии на окружающую среду. Возможно, следует рекомендовать поощрять применение различных подходов к контролю качества;</w:t>
      </w:r>
    </w:p>
    <w:p w14:paraId="01A68DB8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4.</w:t>
      </w:r>
      <w:r>
        <w:tab/>
      </w:r>
      <w:r w:rsidRPr="00CA60BF">
        <w:rPr>
          <w:i/>
          <w:iCs/>
        </w:rPr>
        <w:t>просит</w:t>
      </w:r>
      <w:r>
        <w:t xml:space="preserve"> секретариат обратить внимание Комитета по осуществлению на общие и конкретные вопросы соблюдения, указанные в третьем обзоре осуществления, и просит Комитет по осуществлению учитывать их в своей работе;</w:t>
      </w:r>
    </w:p>
    <w:p w14:paraId="6D9774C1" w14:textId="77777777" w:rsidR="00C56C0D" w:rsidRPr="00CA60BF" w:rsidRDefault="00C56C0D" w:rsidP="00C56C0D">
      <w:pPr>
        <w:pStyle w:val="SingleTxtG"/>
        <w:ind w:firstLine="567"/>
      </w:pPr>
      <w:r>
        <w:t>5.</w:t>
      </w:r>
      <w:r>
        <w:tab/>
      </w:r>
      <w:r w:rsidRPr="00CA60BF">
        <w:rPr>
          <w:i/>
          <w:iCs/>
        </w:rPr>
        <w:t xml:space="preserve">просит </w:t>
      </w:r>
      <w:r>
        <w:t xml:space="preserve">Комитет по осуществлению скорректировать вопросник для следующего раунда представления докладов об осуществлении Протокола Сторонами в период 2019–2021 годов с учетом предлагаемых усовершенствований вопросников по осуществлению Протокола и представить пересмотренный вариант на рассмотрение Рабочей группы по оценке воздействия на окружающую среду и </w:t>
      </w:r>
      <w:r>
        <w:lastRenderedPageBreak/>
        <w:t>стратегической экологической оценке и для последующего распространения секретариатом;</w:t>
      </w:r>
    </w:p>
    <w:p w14:paraId="6666F0B2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bookmarkStart w:id="9" w:name="_Hlk32336393"/>
      <w:r>
        <w:t>6.</w:t>
      </w:r>
      <w:r>
        <w:tab/>
      </w:r>
      <w:r w:rsidRPr="006F42A6">
        <w:rPr>
          <w:i/>
          <w:iCs/>
        </w:rPr>
        <w:t>просит также</w:t>
      </w:r>
      <w:r>
        <w:t xml:space="preserve"> Комитет по осуществлению подготовить в консультации с Европейским союзом, представленным Европейской комиссией, типовую форму доклада, которая соответствовала бы характеру и компетенциям Европейского союза;</w:t>
      </w:r>
      <w:bookmarkEnd w:id="9"/>
    </w:p>
    <w:p w14:paraId="162CC74A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7.</w:t>
      </w:r>
      <w:r>
        <w:tab/>
      </w:r>
      <w:r w:rsidRPr="006F42A6">
        <w:rPr>
          <w:i/>
          <w:iCs/>
        </w:rPr>
        <w:t>постановляет</w:t>
      </w:r>
      <w:r>
        <w:t>, что Стороны Протокола заполнят вопросник в качестве доклада об осуществлении ими Протокола в период 2019–2021 годов с учетом обязательств по представлению отчетности, вытекающих из пункта 7 статьи 14 и пункта 4 статьи 13 Протокола;</w:t>
      </w:r>
    </w:p>
    <w:p w14:paraId="4EE62791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8.</w:t>
      </w:r>
      <w:r>
        <w:tab/>
      </w:r>
      <w:r w:rsidRPr="006F42A6">
        <w:rPr>
          <w:i/>
          <w:iCs/>
        </w:rPr>
        <w:t>настоятельно призывает</w:t>
      </w:r>
      <w:r>
        <w:t xml:space="preserve"> Стороны представлять доклады до истечения крайнего срока, который будет согласован Рабочей группой; </w:t>
      </w:r>
    </w:p>
    <w:p w14:paraId="6E88BCAA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9.</w:t>
      </w:r>
      <w:r>
        <w:tab/>
      </w:r>
      <w:r w:rsidRPr="006F42A6">
        <w:rPr>
          <w:i/>
          <w:iCs/>
        </w:rPr>
        <w:t>просит</w:t>
      </w:r>
      <w:r>
        <w:t xml:space="preserve"> секретариат размещать на веб-сайте Конвенции национальные доклады на имеющихся языках;</w:t>
      </w:r>
    </w:p>
    <w:p w14:paraId="0EBAC18B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10.</w:t>
      </w:r>
      <w:r>
        <w:tab/>
      </w:r>
      <w:r w:rsidRPr="006F42A6">
        <w:rPr>
          <w:i/>
          <w:iCs/>
        </w:rPr>
        <w:t>просит также</w:t>
      </w:r>
      <w:r>
        <w:t xml:space="preserve"> секретариат размещать на веб-сайте Конвенции перечни практических примеров стратегической экологической оценки на национальном и трансграничном уровне, включенных в ответы на вопросник, если Стороны не возражают против такой практики;</w:t>
      </w:r>
    </w:p>
    <w:p w14:paraId="2D9FA7AC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11.</w:t>
      </w:r>
      <w:r>
        <w:tab/>
      </w:r>
      <w:r w:rsidRPr="006F42A6">
        <w:rPr>
          <w:i/>
          <w:iCs/>
        </w:rPr>
        <w:t>постановляет</w:t>
      </w:r>
      <w:r>
        <w:t>, что проект четвертого обзора осуществления Протокола в период 2019–2021 годов, основанный на докладах Сторон, будет представлен на пятой сессии Совещания Сторон Протокола и что в плане работы будут отражены элементы, необходимые для подготовки проекта четвертого обзора;</w:t>
      </w:r>
    </w:p>
    <w:p w14:paraId="60F03179" w14:textId="77777777" w:rsidR="00C56C0D" w:rsidRPr="00CA60BF" w:rsidRDefault="00C56C0D" w:rsidP="00C56C0D">
      <w:pPr>
        <w:pStyle w:val="SingleTxtG"/>
        <w:ind w:firstLine="567"/>
        <w:rPr>
          <w:rFonts w:eastAsia="Calibri"/>
        </w:rPr>
      </w:pPr>
      <w:r>
        <w:t>12.</w:t>
      </w:r>
      <w:r>
        <w:tab/>
      </w:r>
      <w:r w:rsidRPr="006F42A6">
        <w:rPr>
          <w:i/>
          <w:iCs/>
        </w:rPr>
        <w:t xml:space="preserve">просит </w:t>
      </w:r>
      <w:r>
        <w:t>секретариат разместить проект четвертого обзора осуществления Протокола на веб-сайте договора;</w:t>
      </w:r>
    </w:p>
    <w:p w14:paraId="69EAB467" w14:textId="79A6CD70" w:rsidR="00A936EB" w:rsidRDefault="00C56C0D" w:rsidP="00C56C0D">
      <w:pPr>
        <w:pStyle w:val="SingleTxtG"/>
        <w:ind w:firstLine="567"/>
      </w:pPr>
      <w:r>
        <w:t>13.</w:t>
      </w:r>
      <w:r>
        <w:tab/>
      </w:r>
      <w:r w:rsidRPr="006F42A6">
        <w:rPr>
          <w:i/>
          <w:iCs/>
        </w:rPr>
        <w:t>просит также</w:t>
      </w:r>
      <w:r>
        <w:t xml:space="preserve"> секретариат предусмотреть после утверждения четвертого обзора осуществления последующее его опубликование в электронном виде на всех трех официальных языках ЕЭК.</w:t>
      </w:r>
    </w:p>
    <w:p w14:paraId="2CC7188B" w14:textId="7AC68DFC" w:rsidR="00A936EB" w:rsidRPr="00C56C0D" w:rsidRDefault="00C56C0D" w:rsidP="00C56C0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36EB" w:rsidRPr="00C56C0D" w:rsidSect="00A936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E6D6" w14:textId="77777777" w:rsidR="00203A55" w:rsidRPr="00A312BC" w:rsidRDefault="00203A55" w:rsidP="00A312BC"/>
  </w:endnote>
  <w:endnote w:type="continuationSeparator" w:id="0">
    <w:p w14:paraId="79133BF6" w14:textId="77777777" w:rsidR="00203A55" w:rsidRPr="00A312BC" w:rsidRDefault="00203A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54E6" w14:textId="33651526" w:rsidR="00A936EB" w:rsidRPr="00A936EB" w:rsidRDefault="00A936EB">
    <w:pPr>
      <w:pStyle w:val="a8"/>
    </w:pPr>
    <w:r w:rsidRPr="00A936EB">
      <w:rPr>
        <w:b/>
        <w:sz w:val="18"/>
      </w:rPr>
      <w:fldChar w:fldCharType="begin"/>
    </w:r>
    <w:r w:rsidRPr="00A936EB">
      <w:rPr>
        <w:b/>
        <w:sz w:val="18"/>
      </w:rPr>
      <w:instrText xml:space="preserve"> PAGE  \* MERGEFORMAT </w:instrText>
    </w:r>
    <w:r w:rsidRPr="00A936EB">
      <w:rPr>
        <w:b/>
        <w:sz w:val="18"/>
      </w:rPr>
      <w:fldChar w:fldCharType="separate"/>
    </w:r>
    <w:r w:rsidRPr="00A936EB">
      <w:rPr>
        <w:b/>
        <w:noProof/>
        <w:sz w:val="18"/>
      </w:rPr>
      <w:t>2</w:t>
    </w:r>
    <w:r w:rsidRPr="00A936EB">
      <w:rPr>
        <w:b/>
        <w:sz w:val="18"/>
      </w:rPr>
      <w:fldChar w:fldCharType="end"/>
    </w:r>
    <w:r>
      <w:rPr>
        <w:b/>
        <w:sz w:val="18"/>
      </w:rPr>
      <w:tab/>
    </w:r>
    <w:r>
      <w:t>GE.21-01863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F970" w14:textId="1D2A072A" w:rsidR="00A936EB" w:rsidRPr="00A936EB" w:rsidRDefault="00A936EB" w:rsidP="00A936EB">
    <w:pPr>
      <w:pStyle w:val="a8"/>
      <w:tabs>
        <w:tab w:val="clear" w:pos="9639"/>
        <w:tab w:val="right" w:pos="9638"/>
      </w:tabs>
      <w:rPr>
        <w:b/>
        <w:sz w:val="18"/>
      </w:rPr>
    </w:pPr>
    <w:r>
      <w:t>GE.21-01863</w:t>
    </w:r>
    <w:r>
      <w:tab/>
    </w:r>
    <w:r w:rsidRPr="00A936EB">
      <w:rPr>
        <w:b/>
        <w:sz w:val="18"/>
      </w:rPr>
      <w:fldChar w:fldCharType="begin"/>
    </w:r>
    <w:r w:rsidRPr="00A936EB">
      <w:rPr>
        <w:b/>
        <w:sz w:val="18"/>
      </w:rPr>
      <w:instrText xml:space="preserve"> PAGE  \* MERGEFORMAT </w:instrText>
    </w:r>
    <w:r w:rsidRPr="00A936EB">
      <w:rPr>
        <w:b/>
        <w:sz w:val="18"/>
      </w:rPr>
      <w:fldChar w:fldCharType="separate"/>
    </w:r>
    <w:r w:rsidRPr="00A936EB">
      <w:rPr>
        <w:b/>
        <w:noProof/>
        <w:sz w:val="18"/>
      </w:rPr>
      <w:t>3</w:t>
    </w:r>
    <w:r w:rsidRPr="00A936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11A2" w14:textId="239F97AC" w:rsidR="00042B72" w:rsidRPr="00A936EB" w:rsidRDefault="00A936EB" w:rsidP="00A936E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51C7DE" wp14:editId="75FE46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01863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3E509D" wp14:editId="6A64B4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241">
      <w:t xml:space="preserve">  090421  2</w:t>
    </w:r>
    <w:r w:rsidR="002D1110">
      <w:rPr>
        <w:lang w:val="en-US"/>
      </w:rPr>
      <w:t>7</w:t>
    </w:r>
    <w:r w:rsidR="00B64241">
      <w:t>0421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7DC2" w14:textId="77777777" w:rsidR="00E443A8" w:rsidRPr="00A936EB" w:rsidRDefault="00E443A8">
    <w:pPr>
      <w:pStyle w:val="a8"/>
    </w:pPr>
    <w:r w:rsidRPr="00A936EB">
      <w:rPr>
        <w:b/>
        <w:sz w:val="18"/>
      </w:rPr>
      <w:fldChar w:fldCharType="begin"/>
    </w:r>
    <w:r w:rsidRPr="00A936EB">
      <w:rPr>
        <w:b/>
        <w:sz w:val="18"/>
      </w:rPr>
      <w:instrText xml:space="preserve"> PAGE  \* MERGEFORMAT </w:instrText>
    </w:r>
    <w:r w:rsidRPr="00A936EB">
      <w:rPr>
        <w:b/>
        <w:sz w:val="18"/>
      </w:rPr>
      <w:fldChar w:fldCharType="separate"/>
    </w:r>
    <w:r w:rsidRPr="00A936EB">
      <w:rPr>
        <w:b/>
        <w:noProof/>
        <w:sz w:val="18"/>
      </w:rPr>
      <w:t>2</w:t>
    </w:r>
    <w:r w:rsidRPr="00A936EB">
      <w:rPr>
        <w:b/>
        <w:sz w:val="18"/>
      </w:rPr>
      <w:fldChar w:fldCharType="end"/>
    </w:r>
    <w:r>
      <w:rPr>
        <w:b/>
        <w:sz w:val="18"/>
      </w:rPr>
      <w:tab/>
    </w:r>
    <w:r>
      <w:t>GE.21-01863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CA3C" w14:textId="77777777" w:rsidR="00E443A8" w:rsidRPr="00A936EB" w:rsidRDefault="00E443A8" w:rsidP="00A936EB">
    <w:pPr>
      <w:pStyle w:val="a8"/>
      <w:tabs>
        <w:tab w:val="clear" w:pos="9639"/>
        <w:tab w:val="right" w:pos="9638"/>
      </w:tabs>
      <w:rPr>
        <w:b/>
        <w:sz w:val="18"/>
      </w:rPr>
    </w:pPr>
    <w:r>
      <w:t>GE.21-01863</w:t>
    </w:r>
    <w:r>
      <w:tab/>
    </w:r>
    <w:r w:rsidRPr="00A936EB">
      <w:rPr>
        <w:b/>
        <w:sz w:val="18"/>
      </w:rPr>
      <w:fldChar w:fldCharType="begin"/>
    </w:r>
    <w:r w:rsidRPr="00A936EB">
      <w:rPr>
        <w:b/>
        <w:sz w:val="18"/>
      </w:rPr>
      <w:instrText xml:space="preserve"> PAGE  \* MERGEFORMAT </w:instrText>
    </w:r>
    <w:r w:rsidRPr="00A936EB">
      <w:rPr>
        <w:b/>
        <w:sz w:val="18"/>
      </w:rPr>
      <w:fldChar w:fldCharType="separate"/>
    </w:r>
    <w:r w:rsidRPr="00A936EB">
      <w:rPr>
        <w:b/>
        <w:noProof/>
        <w:sz w:val="18"/>
      </w:rPr>
      <w:t>3</w:t>
    </w:r>
    <w:r w:rsidRPr="00A936EB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67C1" w14:textId="010B17B1" w:rsidR="00B32C37" w:rsidRPr="00B32C37" w:rsidRDefault="00E443A8" w:rsidP="00E443A8">
    <w:pPr>
      <w:pStyle w:val="a8"/>
      <w:tabs>
        <w:tab w:val="clear" w:pos="9639"/>
        <w:tab w:val="right" w:pos="9638"/>
      </w:tabs>
    </w:pPr>
    <w:r>
      <w:t>GE.21-01863</w:t>
    </w:r>
    <w:r>
      <w:tab/>
    </w:r>
    <w:r w:rsidRPr="00A936EB">
      <w:rPr>
        <w:b/>
        <w:sz w:val="18"/>
      </w:rPr>
      <w:fldChar w:fldCharType="begin"/>
    </w:r>
    <w:r w:rsidRPr="00A936EB">
      <w:rPr>
        <w:b/>
        <w:sz w:val="18"/>
      </w:rPr>
      <w:instrText xml:space="preserve"> PAGE  \* MERGEFORMAT </w:instrText>
    </w:r>
    <w:r w:rsidRPr="00A936EB">
      <w:rPr>
        <w:b/>
        <w:sz w:val="18"/>
      </w:rPr>
      <w:fldChar w:fldCharType="separate"/>
    </w:r>
    <w:r>
      <w:rPr>
        <w:b/>
        <w:sz w:val="18"/>
      </w:rPr>
      <w:t>3</w:t>
    </w:r>
    <w:r w:rsidRPr="00A936E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34B9" w14:textId="77777777" w:rsidR="00203A55" w:rsidRPr="001075E9" w:rsidRDefault="00203A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9209C5" w14:textId="77777777" w:rsidR="00203A55" w:rsidRDefault="00203A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829DF7" w14:textId="77777777" w:rsidR="00C56C0D" w:rsidRPr="00A936EB" w:rsidRDefault="00C56C0D" w:rsidP="00C56C0D">
      <w:pPr>
        <w:pStyle w:val="ad"/>
        <w:rPr>
          <w:lang w:val="en-US"/>
        </w:rPr>
      </w:pPr>
      <w: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 xml:space="preserve"> </w:t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ECE/MP.EIA/SEA/2.</w:t>
      </w:r>
      <w:bookmarkStart w:id="0" w:name="_Hlk51339475"/>
      <w:bookmarkEnd w:id="0"/>
    </w:p>
  </w:footnote>
  <w:footnote w:id="2">
    <w:p w14:paraId="339AAA76" w14:textId="77777777" w:rsidR="00C56C0D" w:rsidRPr="00A936EB" w:rsidRDefault="00C56C0D" w:rsidP="00C56C0D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ECE/MP.EIA/20/Add.2–ECE/MP.EIA/SEA/4/Add.2.</w:t>
      </w:r>
    </w:p>
  </w:footnote>
  <w:footnote w:id="3">
    <w:p w14:paraId="78FE4593" w14:textId="77777777" w:rsidR="00C56C0D" w:rsidRPr="00A936EB" w:rsidRDefault="00C56C0D" w:rsidP="00C56C0D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 xml:space="preserve"> </w:t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ECE/MP.EIA/23/Add.3–ECE/MP.EIA/SEA/7/Add.3.</w:t>
      </w:r>
      <w:bookmarkStart w:id="1" w:name="_Hlk51339865"/>
      <w:bookmarkEnd w:id="1"/>
    </w:p>
  </w:footnote>
  <w:footnote w:id="4">
    <w:p w14:paraId="3C205323" w14:textId="77777777" w:rsidR="00C56C0D" w:rsidRPr="00A936EB" w:rsidRDefault="00C56C0D" w:rsidP="00C56C0D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ECE/MP.EIA/6.</w:t>
      </w:r>
      <w:bookmarkStart w:id="2" w:name="_Hlk51340135"/>
      <w:bookmarkEnd w:id="2"/>
    </w:p>
  </w:footnote>
  <w:footnote w:id="5">
    <w:p w14:paraId="72BA6D06" w14:textId="77777777" w:rsidR="00C56C0D" w:rsidRPr="00A936EB" w:rsidRDefault="00C56C0D" w:rsidP="00C56C0D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 xml:space="preserve">. ECE/MP.EIA/20/Add.1–ECE/MP.EIA/SEA/4/Add.1. </w:t>
      </w:r>
    </w:p>
  </w:footnote>
  <w:footnote w:id="6">
    <w:p w14:paraId="719D08C2" w14:textId="77777777" w:rsidR="00A936EB" w:rsidRPr="00A936EB" w:rsidRDefault="00A936EB" w:rsidP="00A936EB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ECE/MP.EIA/10.</w:t>
      </w:r>
    </w:p>
  </w:footnote>
  <w:footnote w:id="7">
    <w:p w14:paraId="3065F62F" w14:textId="77777777" w:rsidR="00A936EB" w:rsidRPr="00A936EB" w:rsidRDefault="00A936EB" w:rsidP="00A936EB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ECE/MP.EIA/15.</w:t>
      </w:r>
    </w:p>
  </w:footnote>
  <w:footnote w:id="8">
    <w:p w14:paraId="52A23EB7" w14:textId="77777777" w:rsidR="00A936EB" w:rsidRPr="00A936EB" w:rsidRDefault="00A936EB" w:rsidP="00A936EB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ECE/MP.EIA/20/Add.1–ECE/MP.EIA/SEA/4/Add.1.</w:t>
      </w:r>
    </w:p>
  </w:footnote>
  <w:footnote w:id="9">
    <w:p w14:paraId="354CE3EC" w14:textId="77777777" w:rsidR="00A936EB" w:rsidRPr="00A936EB" w:rsidRDefault="00A936EB" w:rsidP="00A936EB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ECE/MP.EIA/SEA/2020/8.</w:t>
      </w:r>
    </w:p>
  </w:footnote>
  <w:footnote w:id="10">
    <w:p w14:paraId="61D0AEB9" w14:textId="77777777" w:rsidR="00A936EB" w:rsidRPr="00A936EB" w:rsidRDefault="00A936EB" w:rsidP="00A936EB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ECE/MP.EIA/SEA/2020/7.</w:t>
      </w:r>
    </w:p>
  </w:footnote>
  <w:footnote w:id="11">
    <w:p w14:paraId="1DCBCED1" w14:textId="77777777" w:rsidR="00A936EB" w:rsidRPr="00CA60BF" w:rsidRDefault="00A936EB" w:rsidP="00A936EB">
      <w:pPr>
        <w:pStyle w:val="ad"/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>
        <w:tab/>
        <w:t>ECE/MP.EIA/SEA/2017/9, принятый Совещанием Сторон Протокола решением III/1.</w:t>
      </w:r>
    </w:p>
  </w:footnote>
  <w:footnote w:id="12">
    <w:p w14:paraId="2EC9F913" w14:textId="77777777" w:rsidR="00A936EB" w:rsidRPr="00A936EB" w:rsidRDefault="00A936EB" w:rsidP="00A936EB">
      <w:pPr>
        <w:pStyle w:val="ad"/>
        <w:rPr>
          <w:lang w:val="en-US"/>
        </w:rPr>
      </w:pPr>
      <w:r w:rsidRPr="00DF39DF"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 xml:space="preserve"> </w:t>
      </w:r>
      <w:r w:rsidRPr="00CA60BF">
        <w:rPr>
          <w:lang w:val="en-US"/>
        </w:rPr>
        <w:tab/>
        <w:t>ECE/MP.EIA/SEA/2014/3.</w:t>
      </w:r>
    </w:p>
  </w:footnote>
  <w:footnote w:id="13">
    <w:p w14:paraId="15651CE1" w14:textId="77777777" w:rsidR="00A936EB" w:rsidRPr="001408A9" w:rsidRDefault="00A936EB" w:rsidP="00A936EB">
      <w:pPr>
        <w:pStyle w:val="ad"/>
        <w:rPr>
          <w:lang w:val="es-ES"/>
        </w:rPr>
      </w:pPr>
      <w:r w:rsidRPr="00C0299A">
        <w:rPr>
          <w:lang w:val="es-ES"/>
        </w:rPr>
        <w:tab/>
      </w:r>
      <w:r w:rsidRPr="00B32C37">
        <w:rPr>
          <w:rStyle w:val="aa"/>
        </w:rPr>
        <w:footnoteRef/>
      </w:r>
      <w:r w:rsidRPr="001408A9">
        <w:rPr>
          <w:lang w:val="es-ES"/>
        </w:rPr>
        <w:t xml:space="preserve"> </w:t>
      </w:r>
      <w:r w:rsidRPr="001408A9">
        <w:rPr>
          <w:lang w:val="es-ES"/>
        </w:rPr>
        <w:tab/>
        <w:t>ECE/MP.EIA/30/Add.1−ECE/MP.EIA/SEA/13/Add.1.</w:t>
      </w:r>
    </w:p>
  </w:footnote>
  <w:footnote w:id="14">
    <w:p w14:paraId="6311A872" w14:textId="77777777" w:rsidR="00A936EB" w:rsidRPr="00A936EB" w:rsidRDefault="00A936EB" w:rsidP="00A936EB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 xml:space="preserve"> </w:t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ECE/MP.EIA/20/Add.2–ECE/MP.EIA/SEA/4/Add.2.</w:t>
      </w:r>
    </w:p>
  </w:footnote>
  <w:footnote w:id="15">
    <w:p w14:paraId="37780CE9" w14:textId="77777777" w:rsidR="00A936EB" w:rsidRPr="00A936EB" w:rsidRDefault="00A936EB" w:rsidP="00A936EB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 xml:space="preserve"> </w:t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ECE/MP.EIA/23/Add.3–ECE/MP.EIA/SEA/7/Add.3.</w:t>
      </w:r>
    </w:p>
  </w:footnote>
  <w:footnote w:id="16">
    <w:p w14:paraId="139404EA" w14:textId="77777777" w:rsidR="00A936EB" w:rsidRPr="00CA60BF" w:rsidRDefault="00A936EB" w:rsidP="00A936EB">
      <w:pPr>
        <w:pStyle w:val="ad"/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>
        <w:tab/>
        <w:t>Издание Организации Объединенных Наций, в продаже под номером R.15.II.E.7.</w:t>
      </w:r>
    </w:p>
  </w:footnote>
  <w:footnote w:id="17">
    <w:p w14:paraId="308D3650" w14:textId="77777777" w:rsidR="00A936EB" w:rsidRPr="00A936EB" w:rsidRDefault="00A936EB" w:rsidP="00A936EB">
      <w:pPr>
        <w:pStyle w:val="ad"/>
        <w:rPr>
          <w:lang w:val="en-US"/>
        </w:rPr>
      </w:pPr>
      <w: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 xml:space="preserve"> </w:t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ECE/MP.EIA/20/Add.2–ECE/MP.EIA/SEA/4/Add.2.</w:t>
      </w:r>
    </w:p>
  </w:footnote>
  <w:footnote w:id="18">
    <w:p w14:paraId="34696278" w14:textId="77777777" w:rsidR="00A936EB" w:rsidRPr="002C7B50" w:rsidRDefault="00A936EB" w:rsidP="00A936EB">
      <w:pPr>
        <w:pStyle w:val="ad"/>
        <w:rPr>
          <w:lang w:val="es-ES"/>
        </w:rPr>
      </w:pPr>
      <w:r w:rsidRPr="004D6133">
        <w:rPr>
          <w:lang w:val="es-ES_tradnl"/>
        </w:rPr>
        <w:tab/>
      </w:r>
      <w:r w:rsidRPr="00B32C37">
        <w:rPr>
          <w:rStyle w:val="aa"/>
        </w:rPr>
        <w:footnoteRef/>
      </w:r>
      <w:r w:rsidRPr="002C7B50">
        <w:rPr>
          <w:lang w:val="es-ES"/>
        </w:rPr>
        <w:t xml:space="preserve"> </w:t>
      </w:r>
      <w:r w:rsidRPr="002C7B50">
        <w:rPr>
          <w:lang w:val="es-ES"/>
        </w:rPr>
        <w:tab/>
        <w:t>ECE/MP.EIA/30/Add.2−ECE/MP.EIA/SEA/13/Add.2.</w:t>
      </w:r>
    </w:p>
  </w:footnote>
  <w:footnote w:id="19">
    <w:p w14:paraId="0F2443C4" w14:textId="77777777" w:rsidR="00C56C0D" w:rsidRPr="00C56C0D" w:rsidRDefault="00C56C0D" w:rsidP="00C56C0D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ECE/MP.EIA/SEA/2.</w:t>
      </w:r>
    </w:p>
  </w:footnote>
  <w:footnote w:id="20">
    <w:p w14:paraId="7D487643" w14:textId="77777777" w:rsidR="00C56C0D" w:rsidRPr="00C56C0D" w:rsidRDefault="00C56C0D" w:rsidP="00C56C0D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ECE/MP.EIA/20/Add.2–ECE/MP.EIA/SEA/4/Add.2.</w:t>
      </w:r>
    </w:p>
  </w:footnote>
  <w:footnote w:id="21">
    <w:p w14:paraId="5FEDF428" w14:textId="77777777" w:rsidR="00C56C0D" w:rsidRPr="00C56C0D" w:rsidRDefault="00C56C0D" w:rsidP="00C56C0D">
      <w:pPr>
        <w:pStyle w:val="ad"/>
        <w:rPr>
          <w:lang w:val="en-US"/>
        </w:rPr>
      </w:pPr>
      <w:r w:rsidRPr="00CA60BF">
        <w:rPr>
          <w:lang w:val="en-US"/>
        </w:rPr>
        <w:tab/>
      </w:r>
      <w:r w:rsidRPr="00B32C37">
        <w:rPr>
          <w:rStyle w:val="aa"/>
        </w:rPr>
        <w:footnoteRef/>
      </w:r>
      <w:r w:rsidRPr="00CA60BF">
        <w:rPr>
          <w:lang w:val="en-US"/>
        </w:rPr>
        <w:tab/>
      </w:r>
      <w:r>
        <w:t>См</w:t>
      </w:r>
      <w:r w:rsidRPr="00CA60BF">
        <w:rPr>
          <w:lang w:val="en-US"/>
        </w:rPr>
        <w:t>. ECE/MP.EIA/23/Add.3–ECE/MP.EIA/SEA/7/Add.3.</w:t>
      </w:r>
    </w:p>
  </w:footnote>
  <w:footnote w:id="22">
    <w:p w14:paraId="46BC7A46" w14:textId="77777777" w:rsidR="00C56C0D" w:rsidRPr="00CA60BF" w:rsidRDefault="00C56C0D" w:rsidP="00C56C0D">
      <w:pPr>
        <w:pStyle w:val="ad"/>
      </w:pPr>
      <w:r w:rsidRPr="00CA60BF">
        <w:rPr>
          <w:lang w:val="en-US"/>
        </w:rPr>
        <w:tab/>
      </w:r>
      <w:r w:rsidRPr="00B32C37">
        <w:rPr>
          <w:vertAlign w:val="superscript"/>
        </w:rPr>
        <w:footnoteRef/>
      </w:r>
      <w:r>
        <w:tab/>
        <w:t>Издание Организации Объединенных Наций, ECE/MP.EIA/17.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CB37" w14:textId="411E9AAC" w:rsidR="00A936EB" w:rsidRPr="00A936EB" w:rsidRDefault="003E10DA">
    <w:pPr>
      <w:pStyle w:val="a5"/>
    </w:pPr>
    <w:fldSimple w:instr=" TITLE  \* MERGEFORMAT ">
      <w:r w:rsidR="004653D8">
        <w:t>ECE/MP.EIA/30/Add.3</w:t>
      </w:r>
    </w:fldSimple>
    <w:r w:rsidR="00A936EB">
      <w:br/>
    </w:r>
    <w:fldSimple w:instr=" KEYWORDS  \* MERGEFORMAT ">
      <w:r w:rsidR="004653D8">
        <w:t>ECE/MP.EIA/SEA/13/Add.3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8534" w14:textId="500ACEDA" w:rsidR="00A936EB" w:rsidRPr="00A936EB" w:rsidRDefault="003E10DA" w:rsidP="00A936EB">
    <w:pPr>
      <w:pStyle w:val="a5"/>
      <w:jc w:val="right"/>
    </w:pPr>
    <w:fldSimple w:instr=" TITLE  \* MERGEFORMAT ">
      <w:r w:rsidR="004653D8">
        <w:t>ECE/MP.EIA/30/Add.3</w:t>
      </w:r>
    </w:fldSimple>
    <w:r w:rsidR="00A936EB">
      <w:br/>
    </w:r>
    <w:fldSimple w:instr=" KEYWORDS  \* MERGEFORMAT ">
      <w:r w:rsidR="004653D8">
        <w:t>ECE/MP.EIA/SEA/13/Add.3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8EC5" w14:textId="01D12B39" w:rsidR="00E443A8" w:rsidRPr="00A936EB" w:rsidRDefault="003E10DA">
    <w:pPr>
      <w:pStyle w:val="a5"/>
    </w:pPr>
    <w:fldSimple w:instr=" TITLE  \* MERGEFORMAT ">
      <w:r w:rsidR="004653D8">
        <w:t>ECE/MP.EIA/30/Add.3</w:t>
      </w:r>
    </w:fldSimple>
    <w:r w:rsidR="00E443A8">
      <w:br/>
    </w:r>
    <w:fldSimple w:instr=" KEYWORDS  \* MERGEFORMAT ">
      <w:r w:rsidR="004653D8">
        <w:t>ECE/MP.EIA/SEA/13/Add.3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2C98" w14:textId="1613F824" w:rsidR="00E443A8" w:rsidRPr="00A936EB" w:rsidRDefault="003E10DA" w:rsidP="00A936EB">
    <w:pPr>
      <w:pStyle w:val="a5"/>
      <w:jc w:val="right"/>
    </w:pPr>
    <w:fldSimple w:instr=" TITLE  \* MERGEFORMAT ">
      <w:r w:rsidR="004653D8">
        <w:t>ECE/MP.EIA/30/Add.3</w:t>
      </w:r>
    </w:fldSimple>
    <w:r w:rsidR="00E443A8">
      <w:br/>
    </w:r>
    <w:fldSimple w:instr=" KEYWORDS  \* MERGEFORMAT ">
      <w:r w:rsidR="004653D8">
        <w:t>ECE/MP.EIA/SEA/13/Add.3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9F2B" w14:textId="736A75E4" w:rsidR="00B32C37" w:rsidRDefault="004653D8" w:rsidP="00E443A8">
    <w:pPr>
      <w:pStyle w:val="a5"/>
      <w:jc w:val="right"/>
    </w:pPr>
    <w:r>
      <w:fldChar w:fldCharType="begin"/>
    </w:r>
    <w:r>
      <w:instrText xml:space="preserve"> TITLE  \* MERGEFORM</w:instrText>
    </w:r>
    <w:r>
      <w:instrText xml:space="preserve">AT </w:instrText>
    </w:r>
    <w:r>
      <w:fldChar w:fldCharType="separate"/>
    </w:r>
    <w:r>
      <w:t>ECE/MP.EIA/30/Add.3</w:t>
    </w:r>
    <w:r>
      <w:fldChar w:fldCharType="end"/>
    </w:r>
    <w:r w:rsidR="00E443A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ECE/MP.EIA/SEA/13/Add.3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D657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5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3A55"/>
    <w:rsid w:val="00242C9F"/>
    <w:rsid w:val="00255343"/>
    <w:rsid w:val="0027151D"/>
    <w:rsid w:val="002A2EFC"/>
    <w:rsid w:val="002B0106"/>
    <w:rsid w:val="002B74B1"/>
    <w:rsid w:val="002C0E18"/>
    <w:rsid w:val="002D1110"/>
    <w:rsid w:val="002D5AAC"/>
    <w:rsid w:val="002E5067"/>
    <w:rsid w:val="002F399D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0DA"/>
    <w:rsid w:val="00407B78"/>
    <w:rsid w:val="00424203"/>
    <w:rsid w:val="00452493"/>
    <w:rsid w:val="00453318"/>
    <w:rsid w:val="00454AF2"/>
    <w:rsid w:val="00454E07"/>
    <w:rsid w:val="004653D8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25D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859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36EB"/>
    <w:rsid w:val="00AB4B51"/>
    <w:rsid w:val="00B10CC7"/>
    <w:rsid w:val="00B32C37"/>
    <w:rsid w:val="00B36DF7"/>
    <w:rsid w:val="00B539E7"/>
    <w:rsid w:val="00B62458"/>
    <w:rsid w:val="00B64241"/>
    <w:rsid w:val="00BC18B2"/>
    <w:rsid w:val="00BD33EE"/>
    <w:rsid w:val="00BE1CC7"/>
    <w:rsid w:val="00C106D6"/>
    <w:rsid w:val="00C119AE"/>
    <w:rsid w:val="00C56C0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3A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9AA22"/>
  <w15:docId w15:val="{C9AA83C0-1F6D-40A0-8526-DDCBCE13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ntextf Знак,Footnote text Знак,fn Знак,Schriftart: 9 pt Знак,Schriftart: 10 pt Знак,Schriftart: 8 pt Знак,WB-Fußnotentext Знак,o Знак,Podrozdział Знак,Schriftart: 8 p Знак,Char Знак,Tekst przypisu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936E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936EB"/>
    <w:rPr>
      <w:b/>
      <w:sz w:val="24"/>
      <w:lang w:val="ru-RU" w:eastAsia="ru-RU"/>
    </w:rPr>
  </w:style>
  <w:style w:type="numbering" w:customStyle="1" w:styleId="1ai1">
    <w:name w:val="1 / a / i1"/>
    <w:basedOn w:val="a2"/>
    <w:next w:val="1ai"/>
    <w:semiHidden/>
    <w:rsid w:val="00A936EB"/>
    <w:pPr>
      <w:numPr>
        <w:numId w:val="22"/>
      </w:numPr>
    </w:pPr>
  </w:style>
  <w:style w:type="numbering" w:styleId="1ai">
    <w:name w:val="Outline List 1"/>
    <w:basedOn w:val="a2"/>
    <w:semiHidden/>
    <w:unhideWhenUsed/>
    <w:rsid w:val="00A936EB"/>
  </w:style>
  <w:style w:type="character" w:customStyle="1" w:styleId="SingleTxtGChar">
    <w:name w:val="_ Single Txt_G Char"/>
    <w:link w:val="SingleTxtG"/>
    <w:rsid w:val="00A936E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4" ma:contentTypeDescription="Create a new document." ma:contentTypeScope="" ma:versionID="f0c03c5628846417021adc0d19f78fd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81a24dde98626d1d660fde7121c7e818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</documentManagement>
</p:properties>
</file>

<file path=customXml/itemProps1.xml><?xml version="1.0" encoding="utf-8"?>
<ds:datastoreItem xmlns:ds="http://schemas.openxmlformats.org/officeDocument/2006/customXml" ds:itemID="{44473C77-4D7A-4944-BB25-B4EB550EC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E9F9A-E25F-43E1-9EB3-1F935813F6D8}"/>
</file>

<file path=customXml/itemProps3.xml><?xml version="1.0" encoding="utf-8"?>
<ds:datastoreItem xmlns:ds="http://schemas.openxmlformats.org/officeDocument/2006/customXml" ds:itemID="{D8D7C476-E469-4C6F-A146-367B2D6D3D3C}"/>
</file>

<file path=customXml/itemProps4.xml><?xml version="1.0" encoding="utf-8"?>
<ds:datastoreItem xmlns:ds="http://schemas.openxmlformats.org/officeDocument/2006/customXml" ds:itemID="{1CCF5A91-1559-493C-9832-E487E47C3F6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1923</Words>
  <Characters>13273</Characters>
  <Application>Microsoft Office Word</Application>
  <DocSecurity>0</DocSecurity>
  <Lines>256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ECE/MP.EIA/30/Add.3</vt:lpstr>
      <vt:lpstr>A/</vt:lpstr>
      <vt:lpstr>A/</vt:lpstr>
    </vt:vector>
  </TitlesOfParts>
  <Company>DCM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ECE/MP.EIA/30/Add.3</dc:title>
  <dc:creator>Marina KOROTKOVA</dc:creator>
  <cp:keywords>ECE/MP.EIA/SEA/13/Add.3</cp:keywords>
  <cp:lastModifiedBy>Marina KOROTKOVA</cp:lastModifiedBy>
  <cp:revision>3</cp:revision>
  <cp:lastPrinted>2021-04-27T07:40:00Z</cp:lastPrinted>
  <dcterms:created xsi:type="dcterms:W3CDTF">2021-04-27T07:40:00Z</dcterms:created>
  <dcterms:modified xsi:type="dcterms:W3CDTF">2021-04-27T07:41:00Z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0x010100B302F79B5BE87D40B73359BB004DC9B5</vt:lpwstr>
  </property>
</Properties>
</file>