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40A1F" w:rsidRPr="00FF658F" w14:paraId="0E54B902" w14:textId="77777777" w:rsidTr="004E324D">
        <w:trPr>
          <w:cantSplit/>
          <w:trHeight w:hRule="exact" w:val="851"/>
        </w:trPr>
        <w:tc>
          <w:tcPr>
            <w:tcW w:w="1276" w:type="dxa"/>
            <w:tcBorders>
              <w:bottom w:val="single" w:sz="4" w:space="0" w:color="auto"/>
            </w:tcBorders>
            <w:vAlign w:val="bottom"/>
          </w:tcPr>
          <w:p w14:paraId="5C477BA5" w14:textId="77777777" w:rsidR="00A40A1F" w:rsidRPr="00FF658F" w:rsidRDefault="00A40A1F" w:rsidP="00EC42E9">
            <w:pPr>
              <w:rPr>
                <w:lang w:eastAsia="en-GB"/>
              </w:rPr>
            </w:pPr>
          </w:p>
        </w:tc>
        <w:tc>
          <w:tcPr>
            <w:tcW w:w="8363" w:type="dxa"/>
            <w:gridSpan w:val="2"/>
            <w:vAlign w:val="bottom"/>
          </w:tcPr>
          <w:p w14:paraId="3D5F5BE2" w14:textId="1B51AFA5" w:rsidR="00A40A1F" w:rsidRPr="00FF658F" w:rsidRDefault="00A40A1F" w:rsidP="00EC42E9">
            <w:pPr>
              <w:jc w:val="right"/>
            </w:pPr>
            <w:r w:rsidRPr="003C435B">
              <w:rPr>
                <w:b/>
                <w:sz w:val="40"/>
                <w:szCs w:val="40"/>
              </w:rPr>
              <w:t>INF.</w:t>
            </w:r>
            <w:r w:rsidR="00120EC8">
              <w:rPr>
                <w:b/>
                <w:sz w:val="40"/>
                <w:szCs w:val="40"/>
              </w:rPr>
              <w:t>18</w:t>
            </w:r>
          </w:p>
        </w:tc>
      </w:tr>
      <w:tr w:rsidR="00A40A1F" w:rsidRPr="00FF658F" w14:paraId="66FE703F" w14:textId="77777777" w:rsidTr="00227E3F">
        <w:trPr>
          <w:cantSplit/>
          <w:trHeight w:hRule="exact" w:val="3697"/>
        </w:trPr>
        <w:tc>
          <w:tcPr>
            <w:tcW w:w="6804" w:type="dxa"/>
            <w:gridSpan w:val="2"/>
            <w:tcBorders>
              <w:top w:val="single" w:sz="4" w:space="0" w:color="auto"/>
              <w:bottom w:val="single" w:sz="12" w:space="0" w:color="auto"/>
            </w:tcBorders>
          </w:tcPr>
          <w:p w14:paraId="634A3547" w14:textId="77777777" w:rsidR="00A40A1F" w:rsidRPr="002E7DCB" w:rsidRDefault="00A40A1F" w:rsidP="00EC42E9">
            <w:pPr>
              <w:spacing w:before="120"/>
              <w:rPr>
                <w:b/>
                <w:sz w:val="28"/>
                <w:szCs w:val="28"/>
              </w:rPr>
            </w:pPr>
            <w:r>
              <w:rPr>
                <w:b/>
                <w:bCs/>
                <w:sz w:val="28"/>
                <w:szCs w:val="28"/>
              </w:rPr>
              <w:t>Economic Commission for Europe</w:t>
            </w:r>
          </w:p>
          <w:p w14:paraId="30EABD6F" w14:textId="77777777" w:rsidR="00A40A1F" w:rsidRPr="002E7DCB" w:rsidRDefault="00A40A1F" w:rsidP="00EC42E9">
            <w:pPr>
              <w:spacing w:before="120"/>
              <w:rPr>
                <w:sz w:val="28"/>
                <w:szCs w:val="28"/>
              </w:rPr>
            </w:pPr>
            <w:r>
              <w:rPr>
                <w:sz w:val="28"/>
                <w:szCs w:val="28"/>
              </w:rPr>
              <w:t>Inland Transport Committee</w:t>
            </w:r>
          </w:p>
          <w:p w14:paraId="38722098" w14:textId="77777777" w:rsidR="00A40A1F" w:rsidRPr="002E7DCB" w:rsidRDefault="00A40A1F" w:rsidP="00EC42E9">
            <w:pPr>
              <w:spacing w:before="120"/>
              <w:rPr>
                <w:b/>
                <w:sz w:val="24"/>
                <w:szCs w:val="24"/>
              </w:rPr>
            </w:pPr>
            <w:r>
              <w:rPr>
                <w:b/>
                <w:sz w:val="24"/>
                <w:szCs w:val="24"/>
              </w:rPr>
              <w:t>Working Party on the Transport of Dangerous Goods</w:t>
            </w:r>
          </w:p>
          <w:p w14:paraId="0D5935D2" w14:textId="77777777" w:rsidR="00A40A1F" w:rsidRPr="00FF658F" w:rsidRDefault="00A40A1F" w:rsidP="00EC42E9">
            <w:pPr>
              <w:spacing w:before="120"/>
              <w:rPr>
                <w:b/>
              </w:rPr>
            </w:pPr>
            <w:r>
              <w:rPr>
                <w:b/>
              </w:rPr>
              <w:t>Joint Meeting of Experts on the Regulations annexed to the</w:t>
            </w:r>
          </w:p>
          <w:p w14:paraId="32728185" w14:textId="77777777" w:rsidR="00A40A1F" w:rsidRPr="00FF658F" w:rsidRDefault="00A40A1F" w:rsidP="00EC42E9">
            <w:pPr>
              <w:rPr>
                <w:b/>
              </w:rPr>
            </w:pPr>
            <w:r>
              <w:rPr>
                <w:b/>
              </w:rPr>
              <w:t>European Agreement concerning the International Carriage</w:t>
            </w:r>
          </w:p>
          <w:p w14:paraId="6DDFA90D" w14:textId="77777777" w:rsidR="00A40A1F" w:rsidRPr="002E7DCB" w:rsidRDefault="00A40A1F" w:rsidP="00EC42E9">
            <w:pPr>
              <w:rPr>
                <w:b/>
              </w:rPr>
            </w:pPr>
            <w:r>
              <w:rPr>
                <w:b/>
              </w:rPr>
              <w:t>of Dangerous Goods by Inland Waterways (ADN)</w:t>
            </w:r>
          </w:p>
          <w:p w14:paraId="38653A7B" w14:textId="5FE8B340" w:rsidR="00A40A1F" w:rsidRPr="00FF658F" w:rsidRDefault="00A40A1F" w:rsidP="00EC42E9">
            <w:pPr>
              <w:spacing w:before="120"/>
              <w:rPr>
                <w:b/>
              </w:rPr>
            </w:pPr>
            <w:r>
              <w:rPr>
                <w:b/>
              </w:rPr>
              <w:t>Thirty-</w:t>
            </w:r>
            <w:r w:rsidR="00480098">
              <w:rPr>
                <w:b/>
              </w:rPr>
              <w:t>eighth</w:t>
            </w:r>
            <w:r>
              <w:rPr>
                <w:b/>
              </w:rPr>
              <w:t xml:space="preserve"> session</w:t>
            </w:r>
          </w:p>
          <w:p w14:paraId="1E8143BF" w14:textId="4BE10B81" w:rsidR="00A40A1F" w:rsidRPr="002E7DCB" w:rsidRDefault="00A40A1F" w:rsidP="00EC42E9">
            <w:r>
              <w:t xml:space="preserve">Geneva, </w:t>
            </w:r>
            <w:r w:rsidR="00584416">
              <w:t>23-</w:t>
            </w:r>
            <w:r>
              <w:t>2</w:t>
            </w:r>
            <w:r w:rsidR="00AB0EDA">
              <w:t>7</w:t>
            </w:r>
            <w:r>
              <w:t xml:space="preserve"> </w:t>
            </w:r>
            <w:r w:rsidR="00584416">
              <w:t>August</w:t>
            </w:r>
            <w:r>
              <w:t xml:space="preserve"> 20</w:t>
            </w:r>
            <w:r w:rsidR="00AB0EDA">
              <w:t>2</w:t>
            </w:r>
            <w:r w:rsidR="00584416">
              <w:t>1</w:t>
            </w:r>
          </w:p>
          <w:p w14:paraId="6010BFAA" w14:textId="5AC05178" w:rsidR="00A40A1F" w:rsidRDefault="00227E3F" w:rsidP="00EC42E9">
            <w:r>
              <w:t xml:space="preserve">Item </w:t>
            </w:r>
            <w:r w:rsidR="00584416">
              <w:t xml:space="preserve">3 (b) </w:t>
            </w:r>
            <w:r w:rsidR="00A40A1F">
              <w:t>of the provisional agenda</w:t>
            </w:r>
          </w:p>
          <w:p w14:paraId="7D95CF52" w14:textId="77777777" w:rsidR="00227E3F" w:rsidRPr="000072D5" w:rsidRDefault="00227E3F" w:rsidP="004D11CC">
            <w:pPr>
              <w:ind w:left="0" w:firstLine="0"/>
              <w:jc w:val="left"/>
              <w:rPr>
                <w:b/>
                <w:bCs/>
              </w:rPr>
            </w:pPr>
            <w:r w:rsidRPr="000072D5">
              <w:rPr>
                <w:b/>
                <w:bCs/>
              </w:rPr>
              <w:t xml:space="preserve">Implementation of the European Agreement concerning the </w:t>
            </w:r>
            <w:r w:rsidR="004D11CC" w:rsidRPr="000072D5">
              <w:rPr>
                <w:b/>
                <w:bCs/>
              </w:rPr>
              <w:t>International</w:t>
            </w:r>
            <w:r w:rsidR="004D11CC" w:rsidRPr="000072D5">
              <w:rPr>
                <w:b/>
                <w:bCs/>
              </w:rPr>
              <w:br/>
            </w:r>
            <w:r w:rsidRPr="000072D5">
              <w:rPr>
                <w:b/>
                <w:bCs/>
              </w:rPr>
              <w:t>Carriage of Dangerous Goods by Inland Waterways (ADN):</w:t>
            </w:r>
          </w:p>
          <w:p w14:paraId="773F7293" w14:textId="77777777" w:rsidR="00A40A1F" w:rsidRPr="00227E3F" w:rsidRDefault="000072D5" w:rsidP="00227E3F">
            <w:pPr>
              <w:rPr>
                <w:b/>
                <w:bCs/>
              </w:rPr>
            </w:pPr>
            <w:r>
              <w:rPr>
                <w:b/>
                <w:bCs/>
              </w:rPr>
              <w:t>m</w:t>
            </w:r>
            <w:r w:rsidR="00227E3F" w:rsidRPr="00227E3F">
              <w:rPr>
                <w:b/>
                <w:bCs/>
              </w:rPr>
              <w:t>atters rela</w:t>
            </w:r>
            <w:r>
              <w:rPr>
                <w:b/>
                <w:bCs/>
              </w:rPr>
              <w:t>ted to classification societies</w:t>
            </w:r>
          </w:p>
        </w:tc>
        <w:tc>
          <w:tcPr>
            <w:tcW w:w="2835" w:type="dxa"/>
            <w:tcBorders>
              <w:top w:val="single" w:sz="4" w:space="0" w:color="auto"/>
              <w:bottom w:val="single" w:sz="12" w:space="0" w:color="auto"/>
            </w:tcBorders>
          </w:tcPr>
          <w:p w14:paraId="581B5FEC" w14:textId="77777777" w:rsidR="00A40A1F" w:rsidRPr="00FF658F" w:rsidRDefault="00A40A1F" w:rsidP="00EC42E9">
            <w:pPr>
              <w:spacing w:before="120"/>
              <w:rPr>
                <w:lang w:eastAsia="en-GB"/>
              </w:rPr>
            </w:pPr>
          </w:p>
          <w:p w14:paraId="2D3BB794" w14:textId="399650DF" w:rsidR="00A40A1F" w:rsidRPr="00FF658F" w:rsidRDefault="00584416" w:rsidP="00EC42E9">
            <w:pPr>
              <w:spacing w:before="120"/>
              <w:ind w:left="1695"/>
            </w:pPr>
            <w:r>
              <w:t>25</w:t>
            </w:r>
            <w:r w:rsidR="00A40A1F">
              <w:t xml:space="preserve"> </w:t>
            </w:r>
            <w:r>
              <w:t>August 2021</w:t>
            </w:r>
          </w:p>
        </w:tc>
      </w:tr>
    </w:tbl>
    <w:p w14:paraId="4A2505AA" w14:textId="0D6EA5CB" w:rsidR="00BA008F" w:rsidRDefault="00AF4CC9" w:rsidP="00480098">
      <w:pPr>
        <w:pStyle w:val="HChG"/>
      </w:pPr>
      <w:r>
        <w:tab/>
      </w:r>
      <w:r>
        <w:tab/>
      </w:r>
      <w:r w:rsidR="00584416" w:rsidRPr="00584416">
        <w:t xml:space="preserve">Use of consistent terminology on </w:t>
      </w:r>
      <w:r w:rsidR="00584416">
        <w:t>intact</w:t>
      </w:r>
      <w:r w:rsidR="00584416" w:rsidRPr="00584416">
        <w:t xml:space="preserve"> stability calculations at 9.3.1.1</w:t>
      </w:r>
      <w:r w:rsidR="00584416">
        <w:t>4</w:t>
      </w:r>
      <w:r w:rsidR="00584416" w:rsidRPr="00584416">
        <w:t>.2, 9.3.2.</w:t>
      </w:r>
      <w:r w:rsidR="00584416" w:rsidRPr="00480098">
        <w:t>14</w:t>
      </w:r>
      <w:r w:rsidR="00584416" w:rsidRPr="00584416">
        <w:t>.2 and 9.3.3.1</w:t>
      </w:r>
      <w:r w:rsidR="00584416">
        <w:t>4</w:t>
      </w:r>
      <w:r w:rsidR="00584416" w:rsidRPr="00584416">
        <w:t>.2</w:t>
      </w:r>
      <w:r w:rsidR="00492E17">
        <w:t>, (a) and (b)</w:t>
      </w:r>
    </w:p>
    <w:p w14:paraId="0957305D" w14:textId="210770BB" w:rsidR="004D11CC" w:rsidRPr="004D11CC" w:rsidRDefault="004D11CC" w:rsidP="00480098">
      <w:pPr>
        <w:pStyle w:val="H1G"/>
      </w:pPr>
      <w:r>
        <w:rPr>
          <w:lang w:val="en-US"/>
        </w:rPr>
        <w:tab/>
      </w:r>
      <w:r>
        <w:rPr>
          <w:lang w:val="en-US"/>
        </w:rPr>
        <w:tab/>
      </w:r>
      <w:bookmarkStart w:id="0" w:name="_Hlk80769098"/>
      <w:r w:rsidRPr="00ED44FE">
        <w:rPr>
          <w:lang w:val="en-US"/>
        </w:rPr>
        <w:t xml:space="preserve">Transmitted by </w:t>
      </w:r>
      <w:r>
        <w:rPr>
          <w:lang w:val="en-US"/>
        </w:rPr>
        <w:t xml:space="preserve">the </w:t>
      </w:r>
      <w:r w:rsidR="00AB0EDA">
        <w:rPr>
          <w:lang w:val="en-US"/>
        </w:rPr>
        <w:t>G</w:t>
      </w:r>
      <w:r>
        <w:rPr>
          <w:lang w:val="en-US"/>
        </w:rPr>
        <w:t xml:space="preserve">roup of </w:t>
      </w:r>
      <w:r w:rsidRPr="00AA4488">
        <w:t xml:space="preserve">ADN Recommended </w:t>
      </w:r>
      <w:r w:rsidRPr="00480098">
        <w:t>Classification</w:t>
      </w:r>
      <w:r w:rsidRPr="00AA4488">
        <w:t xml:space="preserve"> Societies</w:t>
      </w:r>
      <w:bookmarkEnd w:id="0"/>
    </w:p>
    <w:p w14:paraId="04B326FB" w14:textId="1391F9BD" w:rsidR="00AB0EDA" w:rsidRPr="00480098" w:rsidRDefault="00480098" w:rsidP="00480098">
      <w:pPr>
        <w:pStyle w:val="SingleTxtG"/>
        <w:tabs>
          <w:tab w:val="left" w:pos="1701"/>
        </w:tabs>
        <w:ind w:firstLine="0"/>
      </w:pPr>
      <w:r>
        <w:t>1.</w:t>
      </w:r>
      <w:r>
        <w:tab/>
      </w:r>
      <w:r w:rsidR="00584416" w:rsidRPr="00480098">
        <w:t>The Group o</w:t>
      </w:r>
      <w:r w:rsidR="00272290" w:rsidRPr="00480098">
        <w:t>f</w:t>
      </w:r>
      <w:r w:rsidR="00584416" w:rsidRPr="00480098">
        <w:t xml:space="preserve"> AD</w:t>
      </w:r>
      <w:r w:rsidR="00F80C83" w:rsidRPr="00480098">
        <w:t>N</w:t>
      </w:r>
      <w:r w:rsidR="00584416" w:rsidRPr="00480098">
        <w:t xml:space="preserve"> Recommended Classification Societies would like to draw the ADN Safety Committees attention to different terminology applied for the stability requirements regarding “watertight” and “weathertight” openings of the vessels construction for intact stability calculations mentioned in 9.3.1.14.2, 9.3.2.14.2 and 9.3.1.14.2</w:t>
      </w:r>
      <w:r w:rsidR="00166D5A" w:rsidRPr="00480098">
        <w:t>, (a) and (b)</w:t>
      </w:r>
      <w:r w:rsidR="00584416" w:rsidRPr="00480098">
        <w:t>.</w:t>
      </w:r>
    </w:p>
    <w:p w14:paraId="0CA185A5" w14:textId="045206B4" w:rsidR="00584416" w:rsidRPr="00480098" w:rsidRDefault="00480098" w:rsidP="00480098">
      <w:pPr>
        <w:pStyle w:val="SingleTxtG"/>
        <w:tabs>
          <w:tab w:val="left" w:pos="1701"/>
        </w:tabs>
        <w:ind w:firstLine="0"/>
      </w:pPr>
      <w:r>
        <w:t>2.</w:t>
      </w:r>
      <w:r>
        <w:tab/>
      </w:r>
      <w:r w:rsidR="00584416" w:rsidRPr="00480098">
        <w:t>Definitions of the relevant terms are part of the ADN framework. “Watertight means a structural component or device so fitted as to prevent any ingress of water. Weathertight means a structural component or device so fitted that in normal conditions it allows only a negligible quantity of water to penetrate.”</w:t>
      </w:r>
    </w:p>
    <w:p w14:paraId="23152472" w14:textId="4C705DC0" w:rsidR="00584416" w:rsidRPr="00480098" w:rsidRDefault="00480098" w:rsidP="00480098">
      <w:pPr>
        <w:pStyle w:val="SingleTxtG"/>
        <w:tabs>
          <w:tab w:val="left" w:pos="1701"/>
        </w:tabs>
        <w:ind w:firstLine="0"/>
      </w:pPr>
      <w:r>
        <w:t>3.</w:t>
      </w:r>
      <w:r>
        <w:tab/>
      </w:r>
      <w:r w:rsidR="00584416" w:rsidRPr="00480098">
        <w:t xml:space="preserve">The provisions regarding </w:t>
      </w:r>
      <w:r w:rsidR="00166D5A" w:rsidRPr="00480098">
        <w:t>intact</w:t>
      </w:r>
      <w:r w:rsidR="00584416" w:rsidRPr="00480098">
        <w:t xml:space="preserve"> stability are repeated for several vessel types and apparently at 9.3.</w:t>
      </w:r>
      <w:r w:rsidR="00166D5A" w:rsidRPr="00480098">
        <w:t>x</w:t>
      </w:r>
      <w:r w:rsidR="00584416" w:rsidRPr="00480098">
        <w:t xml:space="preserve">.14.2 </w:t>
      </w:r>
      <w:r w:rsidR="000A1BCE" w:rsidRPr="00480098">
        <w:t xml:space="preserve">(a) and (b) </w:t>
      </w:r>
      <w:r w:rsidR="00584416" w:rsidRPr="00480098">
        <w:t>the wrong term</w:t>
      </w:r>
      <w:r w:rsidR="000A1BCE" w:rsidRPr="00480098">
        <w:t xml:space="preserve"> “</w:t>
      </w:r>
      <w:bookmarkStart w:id="1" w:name="_Hlk80770158"/>
      <w:r w:rsidR="000A1BCE" w:rsidRPr="00480098">
        <w:t>non-watertight</w:t>
      </w:r>
      <w:bookmarkEnd w:id="1"/>
      <w:r w:rsidR="000A1BCE" w:rsidRPr="00480098">
        <w:t>”, instead of “non-weathertight”</w:t>
      </w:r>
      <w:r w:rsidR="00584416" w:rsidRPr="00480098">
        <w:t xml:space="preserve"> is </w:t>
      </w:r>
      <w:r w:rsidR="00166D5A" w:rsidRPr="00480098">
        <w:t>two</w:t>
      </w:r>
      <w:r w:rsidR="00584416" w:rsidRPr="00480098">
        <w:t xml:space="preserve"> time</w:t>
      </w:r>
      <w:r w:rsidR="00166D5A" w:rsidRPr="00480098">
        <w:t>s</w:t>
      </w:r>
      <w:r w:rsidR="00584416" w:rsidRPr="00480098">
        <w:t xml:space="preserve"> applied, and only in the English version. In the French and German versions, the </w:t>
      </w:r>
      <w:r w:rsidR="00166D5A" w:rsidRPr="00480098">
        <w:t xml:space="preserve">correct </w:t>
      </w:r>
      <w:r w:rsidR="00584416" w:rsidRPr="00480098">
        <w:t>terminology</w:t>
      </w:r>
      <w:r w:rsidR="00166D5A" w:rsidRPr="00480098">
        <w:t xml:space="preserve"> “non-weathertight”</w:t>
      </w:r>
      <w:r w:rsidR="00584416" w:rsidRPr="00480098">
        <w:t xml:space="preserve"> is applied.</w:t>
      </w:r>
    </w:p>
    <w:p w14:paraId="6AB01DD3" w14:textId="77777777" w:rsidR="00584416" w:rsidRPr="00166D5A" w:rsidRDefault="00584416" w:rsidP="00584416">
      <w:pPr>
        <w:pStyle w:val="SingleTxtG"/>
        <w:ind w:left="1494" w:firstLine="0"/>
        <w:rPr>
          <w:i/>
          <w:iCs/>
        </w:rPr>
      </w:pPr>
      <w:r w:rsidRPr="00166D5A">
        <w:rPr>
          <w:i/>
          <w:iCs/>
        </w:rPr>
        <w:t>For vessels with cargo tanks of more than 0.70 B in width, proof shall be furnished that the following stability requirements have been complied with:</w:t>
      </w:r>
    </w:p>
    <w:p w14:paraId="01752A68" w14:textId="4ECA0FD0" w:rsidR="00584416" w:rsidRPr="00166D5A" w:rsidRDefault="00584416" w:rsidP="00584416">
      <w:pPr>
        <w:pStyle w:val="SingleTxtG"/>
        <w:ind w:left="1494" w:firstLine="0"/>
        <w:rPr>
          <w:i/>
          <w:iCs/>
        </w:rPr>
      </w:pPr>
      <w:r w:rsidRPr="00166D5A">
        <w:rPr>
          <w:i/>
          <w:iCs/>
        </w:rPr>
        <w:t>(a)</w:t>
      </w:r>
      <w:r w:rsidRPr="00166D5A">
        <w:rPr>
          <w:i/>
          <w:iCs/>
        </w:rPr>
        <w:tab/>
        <w:t xml:space="preserve">In the positive area of the righting lever curve up to immersion of the first </w:t>
      </w:r>
      <w:r w:rsidRPr="000A1BCE">
        <w:rPr>
          <w:b/>
          <w:bCs/>
          <w:i/>
          <w:iCs/>
          <w:strike/>
        </w:rPr>
        <w:t>non-watertight</w:t>
      </w:r>
      <w:r w:rsidRPr="00166D5A">
        <w:rPr>
          <w:i/>
          <w:iCs/>
        </w:rPr>
        <w:t xml:space="preserve"> </w:t>
      </w:r>
      <w:r w:rsidR="000A1BCE" w:rsidRPr="000A1BCE">
        <w:rPr>
          <w:i/>
          <w:iCs/>
        </w:rPr>
        <w:t>non-w</w:t>
      </w:r>
      <w:r w:rsidR="000A1BCE">
        <w:rPr>
          <w:i/>
          <w:iCs/>
        </w:rPr>
        <w:t>eather</w:t>
      </w:r>
      <w:r w:rsidR="000A1BCE" w:rsidRPr="000A1BCE">
        <w:rPr>
          <w:i/>
          <w:iCs/>
        </w:rPr>
        <w:t>tight</w:t>
      </w:r>
      <w:r w:rsidR="000A1BCE">
        <w:rPr>
          <w:i/>
          <w:iCs/>
        </w:rPr>
        <w:t xml:space="preserve"> o</w:t>
      </w:r>
      <w:r w:rsidRPr="00166D5A">
        <w:rPr>
          <w:i/>
          <w:iCs/>
        </w:rPr>
        <w:t xml:space="preserve">pening there shall be a righting lever (GZ) of not less than 0.10 </w:t>
      </w:r>
      <w:proofErr w:type="gramStart"/>
      <w:r w:rsidRPr="00166D5A">
        <w:rPr>
          <w:i/>
          <w:iCs/>
        </w:rPr>
        <w:t>m;</w:t>
      </w:r>
      <w:proofErr w:type="gramEnd"/>
    </w:p>
    <w:p w14:paraId="06E889D6" w14:textId="6B4C031F" w:rsidR="00584416" w:rsidRPr="00166D5A" w:rsidRDefault="00584416" w:rsidP="00584416">
      <w:pPr>
        <w:pStyle w:val="SingleTxtG"/>
        <w:ind w:left="1494" w:firstLine="0"/>
        <w:rPr>
          <w:i/>
          <w:iCs/>
        </w:rPr>
      </w:pPr>
      <w:r w:rsidRPr="00166D5A">
        <w:rPr>
          <w:i/>
          <w:iCs/>
        </w:rPr>
        <w:t>(b)</w:t>
      </w:r>
      <w:r w:rsidRPr="00166D5A">
        <w:rPr>
          <w:i/>
          <w:iCs/>
        </w:rPr>
        <w:tab/>
        <w:t xml:space="preserve">The surface of the positive area of the righting lever curve up to immersion of the first </w:t>
      </w:r>
      <w:r w:rsidRPr="000A1BCE">
        <w:rPr>
          <w:b/>
          <w:bCs/>
          <w:i/>
          <w:iCs/>
          <w:strike/>
        </w:rPr>
        <w:t>non-watertight</w:t>
      </w:r>
      <w:r w:rsidRPr="00166D5A">
        <w:rPr>
          <w:i/>
          <w:iCs/>
        </w:rPr>
        <w:t xml:space="preserve"> </w:t>
      </w:r>
      <w:r w:rsidR="000A1BCE" w:rsidRPr="000A1BCE">
        <w:rPr>
          <w:i/>
          <w:iCs/>
        </w:rPr>
        <w:t>non-w</w:t>
      </w:r>
      <w:r w:rsidR="000A1BCE">
        <w:rPr>
          <w:i/>
          <w:iCs/>
        </w:rPr>
        <w:t>eather</w:t>
      </w:r>
      <w:r w:rsidR="000A1BCE" w:rsidRPr="000A1BCE">
        <w:rPr>
          <w:i/>
          <w:iCs/>
        </w:rPr>
        <w:t>tight</w:t>
      </w:r>
      <w:r w:rsidR="000A1BCE" w:rsidRPr="00166D5A">
        <w:rPr>
          <w:i/>
          <w:iCs/>
        </w:rPr>
        <w:t xml:space="preserve"> </w:t>
      </w:r>
      <w:r w:rsidRPr="00166D5A">
        <w:rPr>
          <w:i/>
          <w:iCs/>
        </w:rPr>
        <w:t xml:space="preserve">opening and in any event up to an angle of heel &lt; 27° shall not be less than 0.024 </w:t>
      </w:r>
      <w:proofErr w:type="spellStart"/>
      <w:proofErr w:type="gramStart"/>
      <w:r w:rsidRPr="00166D5A">
        <w:rPr>
          <w:i/>
          <w:iCs/>
        </w:rPr>
        <w:t>m.rad</w:t>
      </w:r>
      <w:proofErr w:type="spellEnd"/>
      <w:r w:rsidRPr="00166D5A">
        <w:rPr>
          <w:i/>
          <w:iCs/>
        </w:rPr>
        <w:t>;</w:t>
      </w:r>
      <w:proofErr w:type="gramEnd"/>
    </w:p>
    <w:p w14:paraId="29952F53" w14:textId="1D51EA2A" w:rsidR="002C3C33" w:rsidRDefault="00480098" w:rsidP="00480098">
      <w:pPr>
        <w:pStyle w:val="SingleTxtG"/>
        <w:tabs>
          <w:tab w:val="left" w:pos="1701"/>
        </w:tabs>
        <w:ind w:firstLine="0"/>
      </w:pPr>
      <w:r>
        <w:t>4.</w:t>
      </w:r>
      <w:r>
        <w:tab/>
      </w:r>
      <w:r w:rsidR="002C3C33">
        <w:t xml:space="preserve">The </w:t>
      </w:r>
      <w:r w:rsidR="002C3C33" w:rsidRPr="00480098">
        <w:t>Annex</w:t>
      </w:r>
      <w:r w:rsidR="00492E17">
        <w:t xml:space="preserve"> 1</w:t>
      </w:r>
      <w:r w:rsidR="002C3C33">
        <w:t xml:space="preserve"> to this document reflects the</w:t>
      </w:r>
      <w:r w:rsidR="00166D5A">
        <w:t xml:space="preserve"> inconsistencies in wording in article 9.3.x.14.2 (a) and (b)</w:t>
      </w:r>
      <w:r w:rsidR="00272290">
        <w:t xml:space="preserve"> in the present version of ADN 2021</w:t>
      </w:r>
      <w:r w:rsidR="00166D5A">
        <w:t>.</w:t>
      </w:r>
    </w:p>
    <w:p w14:paraId="53C2848C" w14:textId="5DC2D5FE" w:rsidR="00166D5A" w:rsidRDefault="00166D5A" w:rsidP="00166D5A">
      <w:pPr>
        <w:pStyle w:val="SingleTxtG"/>
        <w:ind w:firstLine="0"/>
        <w:rPr>
          <w:b/>
          <w:bCs/>
          <w:sz w:val="24"/>
          <w:szCs w:val="24"/>
          <w:lang w:val="en-US"/>
        </w:rPr>
      </w:pPr>
      <w:r>
        <w:rPr>
          <w:b/>
          <w:bCs/>
          <w:sz w:val="24"/>
          <w:szCs w:val="24"/>
          <w:lang w:val="en-US"/>
        </w:rPr>
        <w:t>Proposal</w:t>
      </w:r>
    </w:p>
    <w:p w14:paraId="433F61BE" w14:textId="067898F4" w:rsidR="00166D5A" w:rsidRDefault="00480098" w:rsidP="00480098">
      <w:pPr>
        <w:pStyle w:val="SingleTxtG"/>
        <w:tabs>
          <w:tab w:val="left" w:pos="1701"/>
        </w:tabs>
        <w:ind w:firstLine="0"/>
      </w:pPr>
      <w:r>
        <w:t>5.</w:t>
      </w:r>
      <w:r>
        <w:tab/>
      </w:r>
      <w:r w:rsidR="00166D5A">
        <w:t xml:space="preserve">The </w:t>
      </w:r>
      <w:r w:rsidR="00166D5A" w:rsidRPr="00480098">
        <w:t>Safety</w:t>
      </w:r>
      <w:r w:rsidR="00166D5A">
        <w:t xml:space="preserve"> Committee is invited to update the English version of 9.3.</w:t>
      </w:r>
      <w:r w:rsidR="00492E17">
        <w:t>x</w:t>
      </w:r>
      <w:r w:rsidR="00166D5A">
        <w:t>.1</w:t>
      </w:r>
      <w:r w:rsidR="00492E17">
        <w:t>4</w:t>
      </w:r>
      <w:r w:rsidR="00166D5A">
        <w:t xml:space="preserve">.2, </w:t>
      </w:r>
      <w:r w:rsidR="00492E17">
        <w:t>(a) and (b)</w:t>
      </w:r>
      <w:r w:rsidR="00166D5A">
        <w:t xml:space="preserve"> and replace </w:t>
      </w:r>
      <w:r w:rsidR="00F80C83">
        <w:t>two times</w:t>
      </w:r>
      <w:r w:rsidR="00166D5A">
        <w:t xml:space="preserve"> the term “non-watertight” by the term “non-weathertight”.</w:t>
      </w:r>
    </w:p>
    <w:p w14:paraId="4E4157AB" w14:textId="77777777" w:rsidR="00492E17" w:rsidRDefault="00492E17" w:rsidP="00492E17">
      <w:pPr>
        <w:pStyle w:val="SingleTxtG"/>
        <w:ind w:left="1494" w:firstLine="0"/>
      </w:pPr>
    </w:p>
    <w:p w14:paraId="41F6A194" w14:textId="77777777" w:rsidR="00492E17" w:rsidRDefault="00492E17" w:rsidP="00166D5A">
      <w:pPr>
        <w:pStyle w:val="SingleTxtG"/>
        <w:ind w:left="1494" w:firstLine="0"/>
        <w:jc w:val="center"/>
        <w:rPr>
          <w:u w:val="single"/>
        </w:rPr>
        <w:sectPr w:rsidR="00492E17" w:rsidSect="00492E17">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985" w:left="1134" w:header="1134" w:footer="1701" w:gutter="0"/>
          <w:cols w:space="708"/>
          <w:titlePg/>
          <w:docGrid w:linePitch="360"/>
        </w:sectPr>
      </w:pPr>
    </w:p>
    <w:p w14:paraId="64156408" w14:textId="2983D7B2" w:rsidR="00166D5A" w:rsidRPr="00492E17" w:rsidRDefault="00166D5A" w:rsidP="00166D5A">
      <w:pPr>
        <w:pStyle w:val="SingleTxtG"/>
        <w:ind w:left="1494" w:firstLine="0"/>
        <w:jc w:val="center"/>
        <w:rPr>
          <w:sz w:val="22"/>
          <w:szCs w:val="22"/>
          <w:u w:val="single"/>
        </w:rPr>
      </w:pPr>
      <w:r w:rsidRPr="00492E17">
        <w:rPr>
          <w:sz w:val="22"/>
          <w:szCs w:val="22"/>
          <w:u w:val="single"/>
        </w:rPr>
        <w:lastRenderedPageBreak/>
        <w:t>ANNEX 1</w:t>
      </w:r>
    </w:p>
    <w:p w14:paraId="0A8534DC" w14:textId="245B9102" w:rsidR="00492E17" w:rsidRPr="00492E17" w:rsidRDefault="00492E17" w:rsidP="00492E17">
      <w:pPr>
        <w:pStyle w:val="SingleTxtG"/>
        <w:ind w:left="1494" w:firstLine="0"/>
        <w:jc w:val="center"/>
        <w:rPr>
          <w:sz w:val="22"/>
          <w:szCs w:val="22"/>
          <w:u w:val="single"/>
        </w:rPr>
      </w:pPr>
      <w:r>
        <w:rPr>
          <w:sz w:val="22"/>
          <w:szCs w:val="22"/>
          <w:u w:val="single"/>
        </w:rPr>
        <w:t>AD</w:t>
      </w:r>
      <w:r w:rsidR="00F80C83">
        <w:rPr>
          <w:sz w:val="22"/>
          <w:szCs w:val="22"/>
          <w:u w:val="single"/>
        </w:rPr>
        <w:t>N</w:t>
      </w:r>
      <w:r>
        <w:rPr>
          <w:sz w:val="22"/>
          <w:szCs w:val="22"/>
          <w:u w:val="single"/>
        </w:rPr>
        <w:t xml:space="preserve"> 2021</w:t>
      </w:r>
      <w:r w:rsidRPr="00492E17">
        <w:rPr>
          <w:sz w:val="22"/>
          <w:szCs w:val="22"/>
          <w:u w:val="single"/>
        </w:rPr>
        <w:t xml:space="preserve"> - Comparison of language versions</w:t>
      </w:r>
    </w:p>
    <w:p w14:paraId="4E481058" w14:textId="77777777" w:rsidR="00492E17" w:rsidRDefault="00492E17" w:rsidP="00492E17">
      <w:pPr>
        <w:pStyle w:val="SingleTxtG"/>
        <w:numPr>
          <w:ilvl w:val="0"/>
          <w:numId w:val="30"/>
        </w:numPr>
      </w:pPr>
      <w:r>
        <w:t xml:space="preserve">Consistent wording highlighted in </w:t>
      </w:r>
      <w:r w:rsidRPr="00492E17">
        <w:rPr>
          <w:highlight w:val="green"/>
        </w:rPr>
        <w:t>green</w:t>
      </w:r>
    </w:p>
    <w:p w14:paraId="2712191C" w14:textId="50A54B46" w:rsidR="00492E17" w:rsidRDefault="00492E17" w:rsidP="00E95C5D">
      <w:pPr>
        <w:pStyle w:val="SingleTxtG"/>
        <w:numPr>
          <w:ilvl w:val="0"/>
          <w:numId w:val="30"/>
        </w:numPr>
      </w:pPr>
      <w:r>
        <w:t xml:space="preserve">Inconsistent wording highlighted in </w:t>
      </w:r>
      <w:r w:rsidRPr="00492E17">
        <w:rPr>
          <w:highlight w:val="yellow"/>
        </w:rPr>
        <w:t>yellow</w:t>
      </w:r>
      <w:r>
        <w:t xml:space="preserve"> (EN version only, DE and FR versions are consistent within itself as well as between languages)</w:t>
      </w:r>
    </w:p>
    <w:tbl>
      <w:tblPr>
        <w:tblStyle w:val="TableGrid"/>
        <w:tblW w:w="0" w:type="auto"/>
        <w:tblInd w:w="0" w:type="dxa"/>
        <w:tblLook w:val="04A0" w:firstRow="1" w:lastRow="0" w:firstColumn="1" w:lastColumn="0" w:noHBand="0" w:noVBand="1"/>
      </w:tblPr>
      <w:tblGrid>
        <w:gridCol w:w="1017"/>
        <w:gridCol w:w="3418"/>
        <w:gridCol w:w="530"/>
        <w:gridCol w:w="3856"/>
        <w:gridCol w:w="534"/>
        <w:gridCol w:w="3787"/>
      </w:tblGrid>
      <w:tr w:rsidR="00492E17" w:rsidRPr="00492E17" w14:paraId="35A03C1D" w14:textId="77777777" w:rsidTr="00F22FF2">
        <w:trPr>
          <w:trHeight w:val="6381"/>
        </w:trPr>
        <w:tc>
          <w:tcPr>
            <w:tcW w:w="1004" w:type="dxa"/>
            <w:tcBorders>
              <w:top w:val="single" w:sz="4" w:space="0" w:color="auto"/>
              <w:left w:val="single" w:sz="4" w:space="0" w:color="auto"/>
              <w:bottom w:val="single" w:sz="4" w:space="0" w:color="auto"/>
              <w:right w:val="single" w:sz="4" w:space="0" w:color="auto"/>
            </w:tcBorders>
            <w:hideMark/>
          </w:tcPr>
          <w:p w14:paraId="1BA55E93" w14:textId="77777777" w:rsidR="00492E17" w:rsidRPr="00492E17" w:rsidRDefault="00492E17">
            <w:pPr>
              <w:rPr>
                <w:rFonts w:ascii="Times New Roman" w:hAnsi="Times New Roman" w:cs="Times New Roman"/>
                <w:sz w:val="20"/>
                <w:szCs w:val="20"/>
                <w:lang w:val="en-GB" w:eastAsia="en-US"/>
              </w:rPr>
            </w:pPr>
            <w:r w:rsidRPr="00492E17">
              <w:rPr>
                <w:rFonts w:ascii="Times New Roman" w:hAnsi="Times New Roman" w:cs="Times New Roman"/>
                <w:sz w:val="20"/>
                <w:szCs w:val="20"/>
                <w:lang w:val="en-GB"/>
              </w:rPr>
              <w:t>9.</w:t>
            </w:r>
            <w:proofErr w:type="gramStart"/>
            <w:r w:rsidRPr="00492E17">
              <w:rPr>
                <w:rFonts w:ascii="Times New Roman" w:hAnsi="Times New Roman" w:cs="Times New Roman"/>
                <w:sz w:val="20"/>
                <w:szCs w:val="20"/>
                <w:lang w:val="en-GB"/>
              </w:rPr>
              <w:t>3.x.</w:t>
            </w:r>
            <w:proofErr w:type="gramEnd"/>
            <w:r w:rsidRPr="00492E17">
              <w:rPr>
                <w:rFonts w:ascii="Times New Roman" w:hAnsi="Times New Roman" w:cs="Times New Roman"/>
                <w:sz w:val="20"/>
                <w:szCs w:val="20"/>
                <w:lang w:val="en-GB"/>
              </w:rPr>
              <w:t>14.2</w:t>
            </w:r>
          </w:p>
        </w:tc>
        <w:tc>
          <w:tcPr>
            <w:tcW w:w="3422" w:type="dxa"/>
            <w:tcBorders>
              <w:top w:val="single" w:sz="4" w:space="0" w:color="auto"/>
              <w:left w:val="single" w:sz="4" w:space="0" w:color="auto"/>
              <w:bottom w:val="single" w:sz="4" w:space="0" w:color="auto"/>
              <w:right w:val="single" w:sz="4" w:space="0" w:color="auto"/>
            </w:tcBorders>
            <w:hideMark/>
          </w:tcPr>
          <w:p w14:paraId="3229E779" w14:textId="489BD7D3" w:rsidR="00492E17" w:rsidRDefault="00492E17" w:rsidP="00492E17">
            <w:pPr>
              <w:ind w:left="13" w:hanging="13"/>
              <w:rPr>
                <w:rFonts w:ascii="Times New Roman" w:hAnsi="Times New Roman" w:cs="Times New Roman"/>
                <w:sz w:val="20"/>
                <w:szCs w:val="20"/>
                <w:lang w:val="en-GB"/>
              </w:rPr>
            </w:pPr>
            <w:r w:rsidRPr="00492E17">
              <w:rPr>
                <w:rFonts w:ascii="Times New Roman" w:hAnsi="Times New Roman" w:cs="Times New Roman"/>
                <w:sz w:val="20"/>
                <w:szCs w:val="20"/>
                <w:lang w:val="en-GB"/>
              </w:rPr>
              <w:t>For vessels with cargo tanks of more than 0.70 B in width, proof shall be furnished that the following stability requirements have been complied with:</w:t>
            </w:r>
          </w:p>
          <w:p w14:paraId="1DB39943" w14:textId="77777777" w:rsidR="00492E17" w:rsidRPr="00492E17" w:rsidRDefault="00492E17" w:rsidP="00492E17">
            <w:pPr>
              <w:ind w:left="13" w:hanging="13"/>
              <w:rPr>
                <w:rFonts w:ascii="Times New Roman" w:hAnsi="Times New Roman" w:cs="Times New Roman"/>
                <w:sz w:val="20"/>
                <w:szCs w:val="20"/>
                <w:lang w:val="en-GB"/>
              </w:rPr>
            </w:pPr>
          </w:p>
          <w:p w14:paraId="0CA1DE08" w14:textId="0E0B707E" w:rsidR="00492E17" w:rsidRDefault="00492E17" w:rsidP="00492E17">
            <w:pPr>
              <w:pStyle w:val="ListParagraph"/>
              <w:numPr>
                <w:ilvl w:val="0"/>
                <w:numId w:val="31"/>
              </w:numPr>
              <w:spacing w:after="0" w:line="240" w:lineRule="auto"/>
              <w:ind w:left="397"/>
              <w:rPr>
                <w:rFonts w:ascii="Times New Roman" w:hAnsi="Times New Roman" w:cs="Times New Roman"/>
                <w:sz w:val="20"/>
                <w:szCs w:val="20"/>
                <w:lang w:val="en-GB"/>
              </w:rPr>
            </w:pPr>
            <w:r w:rsidRPr="00492E17">
              <w:rPr>
                <w:rFonts w:ascii="Times New Roman" w:hAnsi="Times New Roman" w:cs="Times New Roman"/>
                <w:sz w:val="20"/>
                <w:szCs w:val="20"/>
                <w:lang w:val="en-GB"/>
              </w:rPr>
              <w:t xml:space="preserve">In the positive area of the righting lever curve up to immersion of the first </w:t>
            </w:r>
            <w:r w:rsidRPr="00492E17">
              <w:rPr>
                <w:rFonts w:ascii="Times New Roman" w:hAnsi="Times New Roman" w:cs="Times New Roman"/>
                <w:sz w:val="20"/>
                <w:szCs w:val="20"/>
                <w:highlight w:val="yellow"/>
                <w:lang w:val="en-GB"/>
              </w:rPr>
              <w:t>non-watertight</w:t>
            </w:r>
            <w:r w:rsidRPr="00492E17">
              <w:rPr>
                <w:rFonts w:ascii="Times New Roman" w:hAnsi="Times New Roman" w:cs="Times New Roman"/>
                <w:sz w:val="20"/>
                <w:szCs w:val="20"/>
                <w:lang w:val="en-GB"/>
              </w:rPr>
              <w:t xml:space="preserve"> opening there shall be a righting lever (GZ) of not less than 0.10 </w:t>
            </w:r>
            <w:proofErr w:type="gramStart"/>
            <w:r w:rsidRPr="00492E17">
              <w:rPr>
                <w:rFonts w:ascii="Times New Roman" w:hAnsi="Times New Roman" w:cs="Times New Roman"/>
                <w:sz w:val="20"/>
                <w:szCs w:val="20"/>
                <w:lang w:val="en-GB"/>
              </w:rPr>
              <w:t>m;</w:t>
            </w:r>
            <w:proofErr w:type="gramEnd"/>
          </w:p>
          <w:p w14:paraId="67E73A62" w14:textId="77777777" w:rsidR="00492E17" w:rsidRPr="00492E17" w:rsidRDefault="00492E17" w:rsidP="00492E17">
            <w:pPr>
              <w:pStyle w:val="ListParagraph"/>
              <w:spacing w:after="0" w:line="240" w:lineRule="auto"/>
              <w:ind w:left="397"/>
              <w:rPr>
                <w:rFonts w:ascii="Times New Roman" w:hAnsi="Times New Roman" w:cs="Times New Roman"/>
                <w:sz w:val="20"/>
                <w:szCs w:val="20"/>
                <w:lang w:val="en-GB"/>
              </w:rPr>
            </w:pPr>
          </w:p>
          <w:p w14:paraId="38CFA0EA" w14:textId="2CB7ACAD" w:rsidR="00492E17" w:rsidRDefault="00492E17" w:rsidP="00492E17">
            <w:pPr>
              <w:pStyle w:val="ListParagraph"/>
              <w:numPr>
                <w:ilvl w:val="0"/>
                <w:numId w:val="31"/>
              </w:numPr>
              <w:spacing w:after="0" w:line="240" w:lineRule="auto"/>
              <w:ind w:left="397"/>
              <w:rPr>
                <w:rFonts w:ascii="Times New Roman" w:hAnsi="Times New Roman" w:cs="Times New Roman"/>
                <w:sz w:val="20"/>
                <w:szCs w:val="20"/>
                <w:lang w:val="en-GB"/>
              </w:rPr>
            </w:pPr>
            <w:r w:rsidRPr="00492E17">
              <w:rPr>
                <w:rFonts w:ascii="Times New Roman" w:hAnsi="Times New Roman" w:cs="Times New Roman"/>
                <w:sz w:val="20"/>
                <w:szCs w:val="20"/>
                <w:lang w:val="en-GB"/>
              </w:rPr>
              <w:t xml:space="preserve">The surface of the positive area of the righting lever curve up to immersion of the first </w:t>
            </w:r>
            <w:r w:rsidRPr="00492E17">
              <w:rPr>
                <w:rFonts w:ascii="Times New Roman" w:hAnsi="Times New Roman" w:cs="Times New Roman"/>
                <w:sz w:val="20"/>
                <w:szCs w:val="20"/>
                <w:highlight w:val="yellow"/>
                <w:lang w:val="en-GB"/>
              </w:rPr>
              <w:t>non-watertight</w:t>
            </w:r>
            <w:r w:rsidRPr="00492E17">
              <w:rPr>
                <w:rFonts w:ascii="Times New Roman" w:hAnsi="Times New Roman" w:cs="Times New Roman"/>
                <w:sz w:val="20"/>
                <w:szCs w:val="20"/>
                <w:lang w:val="en-GB"/>
              </w:rPr>
              <w:t xml:space="preserve"> opening and in any event up to an angle of heel &lt; 27° shall not be less than 0.024 </w:t>
            </w:r>
            <w:proofErr w:type="spellStart"/>
            <w:proofErr w:type="gramStart"/>
            <w:r w:rsidRPr="00492E17">
              <w:rPr>
                <w:rFonts w:ascii="Times New Roman" w:hAnsi="Times New Roman" w:cs="Times New Roman"/>
                <w:sz w:val="20"/>
                <w:szCs w:val="20"/>
                <w:lang w:val="en-GB"/>
              </w:rPr>
              <w:t>m.rad</w:t>
            </w:r>
            <w:proofErr w:type="spellEnd"/>
            <w:r w:rsidRPr="00492E17">
              <w:rPr>
                <w:rFonts w:ascii="Times New Roman" w:hAnsi="Times New Roman" w:cs="Times New Roman"/>
                <w:sz w:val="20"/>
                <w:szCs w:val="20"/>
                <w:lang w:val="en-GB"/>
              </w:rPr>
              <w:t>;</w:t>
            </w:r>
            <w:proofErr w:type="gramEnd"/>
          </w:p>
          <w:p w14:paraId="1D6831FB" w14:textId="77777777" w:rsidR="00492E17" w:rsidRPr="00492E17" w:rsidRDefault="00492E17" w:rsidP="00492E17">
            <w:pPr>
              <w:ind w:left="0" w:firstLine="0"/>
              <w:rPr>
                <w:rFonts w:ascii="Times New Roman" w:hAnsi="Times New Roman" w:cs="Times New Roman"/>
                <w:sz w:val="20"/>
                <w:szCs w:val="20"/>
                <w:lang w:val="en-GB"/>
              </w:rPr>
            </w:pPr>
          </w:p>
          <w:p w14:paraId="105CF9D7" w14:textId="7045A70D" w:rsidR="00492E17" w:rsidRDefault="00492E17" w:rsidP="00492E17">
            <w:pPr>
              <w:pStyle w:val="ListParagraph"/>
              <w:numPr>
                <w:ilvl w:val="0"/>
                <w:numId w:val="31"/>
              </w:numPr>
              <w:spacing w:after="0" w:line="240" w:lineRule="auto"/>
              <w:ind w:left="397"/>
              <w:rPr>
                <w:rFonts w:ascii="Times New Roman" w:hAnsi="Times New Roman" w:cs="Times New Roman"/>
                <w:sz w:val="20"/>
                <w:szCs w:val="20"/>
                <w:lang w:val="en-GB"/>
              </w:rPr>
            </w:pPr>
            <w:r w:rsidRPr="00492E17">
              <w:rPr>
                <w:rFonts w:ascii="Times New Roman" w:hAnsi="Times New Roman" w:cs="Times New Roman"/>
                <w:sz w:val="20"/>
                <w:szCs w:val="20"/>
                <w:lang w:val="en-GB"/>
              </w:rPr>
              <w:t>The metacentric height (GM) shall be not less than 0.10 m.</w:t>
            </w:r>
          </w:p>
          <w:p w14:paraId="3B2689C5" w14:textId="77777777" w:rsidR="00492E17" w:rsidRPr="00492E17" w:rsidRDefault="00492E17" w:rsidP="00492E17">
            <w:pPr>
              <w:pStyle w:val="ListParagraph"/>
              <w:spacing w:after="0" w:line="240" w:lineRule="auto"/>
              <w:ind w:left="397"/>
              <w:rPr>
                <w:rFonts w:ascii="Times New Roman" w:hAnsi="Times New Roman" w:cs="Times New Roman"/>
                <w:sz w:val="20"/>
                <w:szCs w:val="20"/>
                <w:lang w:val="en-GB"/>
              </w:rPr>
            </w:pPr>
          </w:p>
          <w:p w14:paraId="59E975DC" w14:textId="77777777" w:rsidR="00492E17" w:rsidRPr="00492E17" w:rsidRDefault="00492E17" w:rsidP="00492E17">
            <w:pPr>
              <w:ind w:left="13" w:hanging="13"/>
              <w:rPr>
                <w:rFonts w:ascii="Times New Roman" w:hAnsi="Times New Roman" w:cs="Times New Roman"/>
                <w:sz w:val="20"/>
                <w:szCs w:val="20"/>
                <w:lang w:val="en-GB"/>
              </w:rPr>
            </w:pPr>
            <w:r w:rsidRPr="00492E17">
              <w:rPr>
                <w:rFonts w:ascii="Times New Roman" w:hAnsi="Times New Roman" w:cs="Times New Roman"/>
                <w:sz w:val="20"/>
                <w:szCs w:val="20"/>
                <w:lang w:val="en-GB"/>
              </w:rPr>
              <w:t>These conditions shall be met bearing in mind the influence of all free surfaces in tanks for all stages of loading and unloading.</w:t>
            </w:r>
          </w:p>
        </w:tc>
        <w:tc>
          <w:tcPr>
            <w:tcW w:w="531" w:type="dxa"/>
            <w:tcBorders>
              <w:top w:val="single" w:sz="4" w:space="0" w:color="auto"/>
              <w:left w:val="single" w:sz="4" w:space="0" w:color="auto"/>
              <w:bottom w:val="single" w:sz="4" w:space="0" w:color="auto"/>
              <w:right w:val="single" w:sz="4" w:space="0" w:color="auto"/>
            </w:tcBorders>
          </w:tcPr>
          <w:p w14:paraId="6C5B6112" w14:textId="77777777" w:rsidR="00492E17" w:rsidRPr="00492E17" w:rsidRDefault="00492E17">
            <w:pPr>
              <w:rPr>
                <w:rFonts w:ascii="Times New Roman" w:hAnsi="Times New Roman" w:cs="Times New Roman"/>
                <w:sz w:val="20"/>
                <w:szCs w:val="20"/>
                <w:lang w:val="en-GB"/>
              </w:rPr>
            </w:pPr>
          </w:p>
        </w:tc>
        <w:tc>
          <w:tcPr>
            <w:tcW w:w="3859" w:type="dxa"/>
            <w:tcBorders>
              <w:top w:val="single" w:sz="4" w:space="0" w:color="auto"/>
              <w:left w:val="single" w:sz="4" w:space="0" w:color="auto"/>
              <w:bottom w:val="single" w:sz="4" w:space="0" w:color="auto"/>
              <w:right w:val="single" w:sz="4" w:space="0" w:color="auto"/>
            </w:tcBorders>
            <w:hideMark/>
          </w:tcPr>
          <w:p w14:paraId="08A7DBD0" w14:textId="7206B312" w:rsidR="00492E17" w:rsidRDefault="00492E17" w:rsidP="00492E17">
            <w:pPr>
              <w:ind w:left="0" w:firstLine="0"/>
              <w:rPr>
                <w:rFonts w:ascii="Times New Roman" w:hAnsi="Times New Roman" w:cs="Times New Roman"/>
                <w:sz w:val="20"/>
                <w:szCs w:val="20"/>
              </w:rPr>
            </w:pPr>
            <w:r w:rsidRPr="00492E17">
              <w:rPr>
                <w:rFonts w:ascii="Times New Roman" w:hAnsi="Times New Roman" w:cs="Times New Roman"/>
                <w:sz w:val="20"/>
                <w:szCs w:val="20"/>
              </w:rPr>
              <w:t>Für Schiffe mit Tankbreiten von mehr als 0,70 B sind folgende Stabilitätsforderungen nachzuweisen:</w:t>
            </w:r>
          </w:p>
          <w:p w14:paraId="0610ABCF" w14:textId="77777777" w:rsidR="00492E17" w:rsidRPr="00492E17" w:rsidRDefault="00492E17" w:rsidP="00492E17">
            <w:pPr>
              <w:ind w:left="0" w:firstLine="0"/>
              <w:rPr>
                <w:rFonts w:ascii="Times New Roman" w:hAnsi="Times New Roman" w:cs="Times New Roman"/>
                <w:sz w:val="20"/>
                <w:szCs w:val="20"/>
              </w:rPr>
            </w:pPr>
          </w:p>
          <w:p w14:paraId="5D744C41" w14:textId="4429FC14" w:rsidR="00492E17" w:rsidRDefault="00492E17" w:rsidP="00492E17">
            <w:pPr>
              <w:ind w:left="0" w:firstLine="0"/>
              <w:rPr>
                <w:rFonts w:ascii="Times New Roman" w:hAnsi="Times New Roman" w:cs="Times New Roman"/>
                <w:sz w:val="20"/>
                <w:szCs w:val="20"/>
              </w:rPr>
            </w:pPr>
            <w:r>
              <w:rPr>
                <w:rFonts w:ascii="Times New Roman" w:hAnsi="Times New Roman" w:cs="Times New Roman"/>
                <w:sz w:val="20"/>
                <w:szCs w:val="20"/>
              </w:rPr>
              <w:t xml:space="preserve">a) </w:t>
            </w:r>
            <w:r w:rsidRPr="00492E17">
              <w:rPr>
                <w:rFonts w:ascii="Times New Roman" w:hAnsi="Times New Roman" w:cs="Times New Roman"/>
                <w:sz w:val="20"/>
                <w:szCs w:val="20"/>
              </w:rPr>
              <w:t xml:space="preserve">Innerhalb des positiven Bereiches der Hebelarmkurve bis zum Eintauchen der ersten </w:t>
            </w:r>
            <w:r w:rsidRPr="00492E17">
              <w:rPr>
                <w:rFonts w:ascii="Times New Roman" w:hAnsi="Times New Roman" w:cs="Times New Roman"/>
                <w:sz w:val="20"/>
                <w:szCs w:val="20"/>
                <w:highlight w:val="green"/>
              </w:rPr>
              <w:t>nicht wetterdicht</w:t>
            </w:r>
            <w:r w:rsidRPr="00492E17">
              <w:rPr>
                <w:rFonts w:ascii="Times New Roman" w:hAnsi="Times New Roman" w:cs="Times New Roman"/>
                <w:sz w:val="20"/>
                <w:szCs w:val="20"/>
              </w:rPr>
              <w:t xml:space="preserve"> verschlossenen Öffnung muss ein aufrichtender Hebelarm (GZ) von mindestens 0,10 m vorhanden sein.</w:t>
            </w:r>
          </w:p>
          <w:p w14:paraId="19B852FA" w14:textId="77777777" w:rsidR="00492E17" w:rsidRPr="00492E17" w:rsidRDefault="00492E17" w:rsidP="00492E17">
            <w:pPr>
              <w:ind w:left="0" w:firstLine="0"/>
              <w:rPr>
                <w:rFonts w:ascii="Times New Roman" w:hAnsi="Times New Roman" w:cs="Times New Roman"/>
                <w:sz w:val="20"/>
                <w:szCs w:val="20"/>
              </w:rPr>
            </w:pPr>
          </w:p>
          <w:p w14:paraId="37566E44" w14:textId="212C445C" w:rsidR="00492E17" w:rsidRDefault="00492E17" w:rsidP="00492E17">
            <w:pPr>
              <w:ind w:left="0" w:firstLine="0"/>
              <w:rPr>
                <w:rFonts w:ascii="Times New Roman" w:hAnsi="Times New Roman" w:cs="Times New Roman"/>
                <w:sz w:val="20"/>
                <w:szCs w:val="20"/>
              </w:rPr>
            </w:pPr>
            <w:r w:rsidRPr="00492E17">
              <w:rPr>
                <w:rFonts w:ascii="Times New Roman" w:hAnsi="Times New Roman" w:cs="Times New Roman"/>
                <w:sz w:val="20"/>
                <w:szCs w:val="20"/>
              </w:rPr>
              <w:t xml:space="preserve">b) Die Fläche des positiven Bereiches der Hebelarmkurve bis zum Eintauchen der ersten </w:t>
            </w:r>
            <w:r w:rsidRPr="00492E17">
              <w:rPr>
                <w:rFonts w:ascii="Times New Roman" w:hAnsi="Times New Roman" w:cs="Times New Roman"/>
                <w:sz w:val="20"/>
                <w:szCs w:val="20"/>
                <w:highlight w:val="green"/>
              </w:rPr>
              <w:t>nicht</w:t>
            </w:r>
            <w:r>
              <w:rPr>
                <w:rFonts w:ascii="Times New Roman" w:hAnsi="Times New Roman" w:cs="Times New Roman"/>
                <w:sz w:val="20"/>
                <w:szCs w:val="20"/>
                <w:highlight w:val="green"/>
              </w:rPr>
              <w:t xml:space="preserve"> </w:t>
            </w:r>
            <w:r w:rsidRPr="00492E17">
              <w:rPr>
                <w:rFonts w:ascii="Times New Roman" w:hAnsi="Times New Roman" w:cs="Times New Roman"/>
                <w:sz w:val="20"/>
                <w:szCs w:val="20"/>
                <w:highlight w:val="green"/>
              </w:rPr>
              <w:t>wetterdicht</w:t>
            </w:r>
            <w:r w:rsidRPr="00492E17">
              <w:rPr>
                <w:rFonts w:ascii="Times New Roman" w:hAnsi="Times New Roman" w:cs="Times New Roman"/>
                <w:sz w:val="20"/>
                <w:szCs w:val="20"/>
              </w:rPr>
              <w:t xml:space="preserve"> verschlossenen Öffnung,</w:t>
            </w:r>
            <w:r>
              <w:rPr>
                <w:rFonts w:ascii="Times New Roman" w:hAnsi="Times New Roman" w:cs="Times New Roman"/>
                <w:sz w:val="20"/>
                <w:szCs w:val="20"/>
              </w:rPr>
              <w:t xml:space="preserve"> </w:t>
            </w:r>
            <w:r w:rsidRPr="00492E17">
              <w:rPr>
                <w:rFonts w:ascii="Times New Roman" w:hAnsi="Times New Roman" w:cs="Times New Roman"/>
                <w:sz w:val="20"/>
                <w:szCs w:val="20"/>
              </w:rPr>
              <w:t xml:space="preserve">jedoch vor einem Neigungswinkel </w:t>
            </w:r>
            <w:r w:rsidRPr="00492E17">
              <w:rPr>
                <w:rFonts w:ascii="Times New Roman" w:hAnsi="Times New Roman" w:cs="Times New Roman"/>
                <w:sz w:val="20"/>
                <w:szCs w:val="20"/>
              </w:rPr>
              <w:sym w:font="Times New Roman" w:char="F0A3"/>
            </w:r>
            <w:r w:rsidRPr="00492E17">
              <w:rPr>
                <w:rFonts w:ascii="Times New Roman" w:hAnsi="Times New Roman" w:cs="Times New Roman"/>
                <w:sz w:val="20"/>
                <w:szCs w:val="20"/>
              </w:rPr>
              <w:t xml:space="preserve"> 27°, darf 0,024 </w:t>
            </w:r>
            <w:proofErr w:type="spellStart"/>
            <w:r w:rsidRPr="00492E17">
              <w:rPr>
                <w:rFonts w:ascii="Times New Roman" w:hAnsi="Times New Roman" w:cs="Times New Roman"/>
                <w:sz w:val="20"/>
                <w:szCs w:val="20"/>
              </w:rPr>
              <w:t>m.rad</w:t>
            </w:r>
            <w:proofErr w:type="spellEnd"/>
            <w:r w:rsidRPr="00492E17">
              <w:rPr>
                <w:rFonts w:ascii="Times New Roman" w:hAnsi="Times New Roman" w:cs="Times New Roman"/>
                <w:sz w:val="20"/>
                <w:szCs w:val="20"/>
              </w:rPr>
              <w:t xml:space="preserve"> nicht unterschreiten.</w:t>
            </w:r>
          </w:p>
          <w:p w14:paraId="3A4731B9" w14:textId="77777777" w:rsidR="00492E17" w:rsidRPr="00492E17" w:rsidRDefault="00492E17" w:rsidP="00492E17">
            <w:pPr>
              <w:ind w:left="0" w:firstLine="0"/>
              <w:rPr>
                <w:rFonts w:ascii="Times New Roman" w:hAnsi="Times New Roman" w:cs="Times New Roman"/>
                <w:sz w:val="20"/>
                <w:szCs w:val="20"/>
                <w:highlight w:val="green"/>
              </w:rPr>
            </w:pPr>
          </w:p>
          <w:p w14:paraId="09D102DE" w14:textId="508021B5" w:rsidR="00492E17" w:rsidRDefault="00492E17" w:rsidP="00492E17">
            <w:pPr>
              <w:ind w:left="249" w:hanging="249"/>
              <w:rPr>
                <w:rFonts w:ascii="Times New Roman" w:hAnsi="Times New Roman" w:cs="Times New Roman"/>
                <w:sz w:val="20"/>
                <w:szCs w:val="20"/>
              </w:rPr>
            </w:pPr>
            <w:r w:rsidRPr="00492E17">
              <w:rPr>
                <w:rFonts w:ascii="Times New Roman" w:hAnsi="Times New Roman" w:cs="Times New Roman"/>
                <w:sz w:val="20"/>
                <w:szCs w:val="20"/>
              </w:rPr>
              <w:t>c) Die metazentrische Höhe (MG) muss mindestens 0,10 m betragen.</w:t>
            </w:r>
          </w:p>
          <w:p w14:paraId="5E9A001B" w14:textId="77777777" w:rsidR="00492E17" w:rsidRPr="00492E17" w:rsidRDefault="00492E17" w:rsidP="00492E17">
            <w:pPr>
              <w:rPr>
                <w:rFonts w:ascii="Times New Roman" w:hAnsi="Times New Roman" w:cs="Times New Roman"/>
                <w:sz w:val="20"/>
                <w:szCs w:val="20"/>
              </w:rPr>
            </w:pPr>
          </w:p>
          <w:p w14:paraId="51906B9F" w14:textId="77955469" w:rsidR="00492E17" w:rsidRPr="00492E17" w:rsidRDefault="00492E17" w:rsidP="00492E17">
            <w:pPr>
              <w:ind w:left="13" w:hanging="13"/>
              <w:jc w:val="left"/>
              <w:rPr>
                <w:rFonts w:ascii="Times New Roman" w:hAnsi="Times New Roman" w:cs="Times New Roman"/>
                <w:sz w:val="20"/>
                <w:szCs w:val="20"/>
              </w:rPr>
            </w:pPr>
            <w:r w:rsidRPr="00492E17">
              <w:rPr>
                <w:rFonts w:ascii="Times New Roman" w:hAnsi="Times New Roman" w:cs="Times New Roman"/>
                <w:sz w:val="20"/>
                <w:szCs w:val="20"/>
              </w:rPr>
              <w:t>Diese Anforderungen müssen eingehalten werden unter Berücksichtigung des Einflusses aller</w:t>
            </w:r>
            <w:r>
              <w:rPr>
                <w:rFonts w:ascii="Times New Roman" w:hAnsi="Times New Roman" w:cs="Times New Roman"/>
                <w:sz w:val="20"/>
                <w:szCs w:val="20"/>
              </w:rPr>
              <w:t xml:space="preserve"> </w:t>
            </w:r>
            <w:r w:rsidRPr="00492E17">
              <w:rPr>
                <w:rFonts w:ascii="Times New Roman" w:hAnsi="Times New Roman" w:cs="Times New Roman"/>
                <w:sz w:val="20"/>
                <w:szCs w:val="20"/>
              </w:rPr>
              <w:t xml:space="preserve">freien Flüssigkeitsoberflächen in Tanks für alle Stadien des Be- und Entladens. </w:t>
            </w:r>
          </w:p>
        </w:tc>
        <w:tc>
          <w:tcPr>
            <w:tcW w:w="535" w:type="dxa"/>
            <w:tcBorders>
              <w:top w:val="single" w:sz="4" w:space="0" w:color="auto"/>
              <w:left w:val="single" w:sz="4" w:space="0" w:color="auto"/>
              <w:bottom w:val="single" w:sz="4" w:space="0" w:color="auto"/>
              <w:right w:val="single" w:sz="4" w:space="0" w:color="auto"/>
            </w:tcBorders>
          </w:tcPr>
          <w:p w14:paraId="2C7D8C9A" w14:textId="77777777" w:rsidR="00492E17" w:rsidRPr="00492E17" w:rsidRDefault="00492E17">
            <w:pPr>
              <w:rPr>
                <w:rFonts w:ascii="Times New Roman" w:hAnsi="Times New Roman" w:cs="Times New Roman"/>
                <w:sz w:val="20"/>
                <w:szCs w:val="20"/>
              </w:rPr>
            </w:pPr>
          </w:p>
        </w:tc>
        <w:tc>
          <w:tcPr>
            <w:tcW w:w="3791" w:type="dxa"/>
            <w:tcBorders>
              <w:top w:val="single" w:sz="4" w:space="0" w:color="auto"/>
              <w:left w:val="single" w:sz="4" w:space="0" w:color="auto"/>
              <w:bottom w:val="single" w:sz="4" w:space="0" w:color="auto"/>
              <w:right w:val="single" w:sz="4" w:space="0" w:color="auto"/>
            </w:tcBorders>
            <w:hideMark/>
          </w:tcPr>
          <w:p w14:paraId="5E1BA3C9" w14:textId="2A4432E0" w:rsidR="00492E17" w:rsidRDefault="00492E17" w:rsidP="00492E17">
            <w:pPr>
              <w:ind w:left="13" w:hanging="13"/>
              <w:rPr>
                <w:rFonts w:ascii="Times New Roman" w:hAnsi="Times New Roman" w:cs="Times New Roman"/>
                <w:sz w:val="20"/>
                <w:szCs w:val="20"/>
                <w:lang w:val="en-GB"/>
              </w:rPr>
            </w:pPr>
            <w:r w:rsidRPr="00492E17">
              <w:rPr>
                <w:rFonts w:ascii="Times New Roman" w:hAnsi="Times New Roman" w:cs="Times New Roman"/>
                <w:sz w:val="20"/>
                <w:szCs w:val="20"/>
                <w:lang w:val="en-GB"/>
              </w:rPr>
              <w:t xml:space="preserve">Pour les bateaux </w:t>
            </w:r>
            <w:proofErr w:type="spellStart"/>
            <w:r w:rsidRPr="00492E17">
              <w:rPr>
                <w:rFonts w:ascii="Times New Roman" w:hAnsi="Times New Roman" w:cs="Times New Roman"/>
                <w:sz w:val="20"/>
                <w:szCs w:val="20"/>
                <w:lang w:val="en-GB"/>
              </w:rPr>
              <w:t>dont</w:t>
            </w:r>
            <w:proofErr w:type="spellEnd"/>
            <w:r w:rsidRPr="00492E17">
              <w:rPr>
                <w:rFonts w:ascii="Times New Roman" w:hAnsi="Times New Roman" w:cs="Times New Roman"/>
                <w:sz w:val="20"/>
                <w:szCs w:val="20"/>
                <w:lang w:val="en-GB"/>
              </w:rPr>
              <w:t xml:space="preserve"> les </w:t>
            </w:r>
            <w:proofErr w:type="spellStart"/>
            <w:r w:rsidRPr="00492E17">
              <w:rPr>
                <w:rFonts w:ascii="Times New Roman" w:hAnsi="Times New Roman" w:cs="Times New Roman"/>
                <w:sz w:val="20"/>
                <w:szCs w:val="20"/>
                <w:lang w:val="en-GB"/>
              </w:rPr>
              <w:t>citernes</w:t>
            </w:r>
            <w:proofErr w:type="spellEnd"/>
            <w:r w:rsidRPr="00492E17">
              <w:rPr>
                <w:rFonts w:ascii="Times New Roman" w:hAnsi="Times New Roman" w:cs="Times New Roman"/>
                <w:sz w:val="20"/>
                <w:szCs w:val="20"/>
                <w:lang w:val="en-GB"/>
              </w:rPr>
              <w:t xml:space="preserve"> à </w:t>
            </w:r>
            <w:proofErr w:type="spellStart"/>
            <w:r w:rsidRPr="00492E17">
              <w:rPr>
                <w:rFonts w:ascii="Times New Roman" w:hAnsi="Times New Roman" w:cs="Times New Roman"/>
                <w:sz w:val="20"/>
                <w:szCs w:val="20"/>
                <w:lang w:val="en-GB"/>
              </w:rPr>
              <w:t>cargaison</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sont</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d'une</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largeur</w:t>
            </w:r>
            <w:proofErr w:type="spellEnd"/>
            <w:r w:rsidRPr="00492E17">
              <w:rPr>
                <w:rFonts w:ascii="Times New Roman" w:hAnsi="Times New Roman" w:cs="Times New Roman"/>
                <w:sz w:val="20"/>
                <w:szCs w:val="20"/>
                <w:lang w:val="en-GB"/>
              </w:rPr>
              <w:t xml:space="preserve"> supérieure à 0,70</w:t>
            </w:r>
            <w:r w:rsidR="00F80C83">
              <w:rPr>
                <w:rFonts w:ascii="Times New Roman" w:hAnsi="Times New Roman" w:cs="Times New Roman"/>
                <w:sz w:val="20"/>
                <w:szCs w:val="20"/>
                <w:lang w:val="en-GB"/>
              </w:rPr>
              <w:t xml:space="preserve"> </w:t>
            </w:r>
            <w:r w:rsidRPr="00492E17">
              <w:rPr>
                <w:rFonts w:ascii="Times New Roman" w:hAnsi="Times New Roman" w:cs="Times New Roman"/>
                <w:sz w:val="20"/>
                <w:szCs w:val="20"/>
                <w:lang w:val="en-GB"/>
              </w:rPr>
              <w:t>B, le respect</w:t>
            </w:r>
            <w:r>
              <w:rPr>
                <w:rFonts w:ascii="Times New Roman" w:hAnsi="Times New Roman" w:cs="Times New Roman"/>
                <w:sz w:val="20"/>
                <w:szCs w:val="20"/>
                <w:lang w:val="en-GB"/>
              </w:rPr>
              <w:t xml:space="preserve"> </w:t>
            </w:r>
            <w:r w:rsidRPr="00492E17">
              <w:rPr>
                <w:rFonts w:ascii="Times New Roman" w:hAnsi="Times New Roman" w:cs="Times New Roman"/>
                <w:sz w:val="20"/>
                <w:szCs w:val="20"/>
                <w:lang w:val="en-GB"/>
              </w:rPr>
              <w:t xml:space="preserve">des prescriptions de </w:t>
            </w:r>
            <w:proofErr w:type="spellStart"/>
            <w:r w:rsidRPr="00492E17">
              <w:rPr>
                <w:rFonts w:ascii="Times New Roman" w:hAnsi="Times New Roman" w:cs="Times New Roman"/>
                <w:sz w:val="20"/>
                <w:szCs w:val="20"/>
                <w:lang w:val="en-GB"/>
              </w:rPr>
              <w:t>stabilité</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suivantes</w:t>
            </w:r>
            <w:proofErr w:type="spellEnd"/>
            <w:r w:rsidRPr="00492E17">
              <w:rPr>
                <w:rFonts w:ascii="Times New Roman" w:hAnsi="Times New Roman" w:cs="Times New Roman"/>
                <w:sz w:val="20"/>
                <w:szCs w:val="20"/>
                <w:lang w:val="en-GB"/>
              </w:rPr>
              <w:t xml:space="preserve"> doit </w:t>
            </w:r>
            <w:proofErr w:type="spellStart"/>
            <w:r w:rsidRPr="00492E17">
              <w:rPr>
                <w:rFonts w:ascii="Times New Roman" w:hAnsi="Times New Roman" w:cs="Times New Roman"/>
                <w:sz w:val="20"/>
                <w:szCs w:val="20"/>
                <w:lang w:val="en-GB"/>
              </w:rPr>
              <w:t>être</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prouvé</w:t>
            </w:r>
            <w:proofErr w:type="spellEnd"/>
            <w:r w:rsidRPr="00492E17">
              <w:rPr>
                <w:rFonts w:ascii="Times New Roman" w:hAnsi="Times New Roman" w:cs="Times New Roman"/>
                <w:sz w:val="20"/>
                <w:szCs w:val="20"/>
                <w:lang w:val="en-GB"/>
              </w:rPr>
              <w:t>:</w:t>
            </w:r>
          </w:p>
          <w:p w14:paraId="3BC43A8B" w14:textId="77777777" w:rsidR="00492E17" w:rsidRPr="00492E17" w:rsidRDefault="00492E17" w:rsidP="00492E17">
            <w:pPr>
              <w:ind w:left="13" w:hanging="13"/>
              <w:rPr>
                <w:rFonts w:ascii="Times New Roman" w:hAnsi="Times New Roman" w:cs="Times New Roman"/>
                <w:sz w:val="20"/>
                <w:szCs w:val="20"/>
                <w:lang w:val="en-GB"/>
              </w:rPr>
            </w:pPr>
          </w:p>
          <w:p w14:paraId="65674A9B" w14:textId="62EAFA88" w:rsidR="00492E17" w:rsidRDefault="00492E17" w:rsidP="00492E17">
            <w:pPr>
              <w:pStyle w:val="ListParagraph"/>
              <w:numPr>
                <w:ilvl w:val="0"/>
                <w:numId w:val="32"/>
              </w:numPr>
              <w:spacing w:after="0" w:line="240" w:lineRule="auto"/>
              <w:ind w:left="404"/>
              <w:rPr>
                <w:rFonts w:ascii="Times New Roman" w:hAnsi="Times New Roman" w:cs="Times New Roman"/>
                <w:sz w:val="20"/>
                <w:szCs w:val="20"/>
                <w:lang w:val="en-GB"/>
              </w:rPr>
            </w:pPr>
            <w:r w:rsidRPr="00492E17">
              <w:rPr>
                <w:rFonts w:ascii="Times New Roman" w:hAnsi="Times New Roman" w:cs="Times New Roman"/>
                <w:sz w:val="20"/>
                <w:szCs w:val="20"/>
                <w:lang w:val="en-GB"/>
              </w:rPr>
              <w:t xml:space="preserve">Dans la zone positive de la </w:t>
            </w:r>
            <w:proofErr w:type="spellStart"/>
            <w:r w:rsidRPr="00492E17">
              <w:rPr>
                <w:rFonts w:ascii="Times New Roman" w:hAnsi="Times New Roman" w:cs="Times New Roman"/>
                <w:sz w:val="20"/>
                <w:szCs w:val="20"/>
                <w:lang w:val="en-GB"/>
              </w:rPr>
              <w:t>courbe</w:t>
            </w:r>
            <w:proofErr w:type="spellEnd"/>
            <w:r w:rsidRPr="00492E17">
              <w:rPr>
                <w:rFonts w:ascii="Times New Roman" w:hAnsi="Times New Roman" w:cs="Times New Roman"/>
                <w:sz w:val="20"/>
                <w:szCs w:val="20"/>
                <w:lang w:val="en-GB"/>
              </w:rPr>
              <w:t xml:space="preserve"> du bras de </w:t>
            </w:r>
            <w:proofErr w:type="spellStart"/>
            <w:r w:rsidRPr="00492E17">
              <w:rPr>
                <w:rFonts w:ascii="Times New Roman" w:hAnsi="Times New Roman" w:cs="Times New Roman"/>
                <w:sz w:val="20"/>
                <w:szCs w:val="20"/>
                <w:lang w:val="en-GB"/>
              </w:rPr>
              <w:t>redressement</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jusqu'à</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l'immersion</w:t>
            </w:r>
            <w:proofErr w:type="spellEnd"/>
            <w:r w:rsidRPr="00492E17">
              <w:rPr>
                <w:rFonts w:ascii="Times New Roman" w:hAnsi="Times New Roman" w:cs="Times New Roman"/>
                <w:sz w:val="20"/>
                <w:szCs w:val="20"/>
                <w:lang w:val="en-GB"/>
              </w:rPr>
              <w:t xml:space="preserve"> de la première </w:t>
            </w:r>
            <w:proofErr w:type="spellStart"/>
            <w:r w:rsidRPr="00492E17">
              <w:rPr>
                <w:rFonts w:ascii="Times New Roman" w:hAnsi="Times New Roman" w:cs="Times New Roman"/>
                <w:sz w:val="20"/>
                <w:szCs w:val="20"/>
                <w:lang w:val="en-GB"/>
              </w:rPr>
              <w:t>ouverture</w:t>
            </w:r>
            <w:proofErr w:type="spellEnd"/>
            <w:r w:rsidRPr="00492E17">
              <w:rPr>
                <w:rFonts w:ascii="Times New Roman" w:hAnsi="Times New Roman" w:cs="Times New Roman"/>
                <w:sz w:val="20"/>
                <w:szCs w:val="20"/>
                <w:lang w:val="en-GB"/>
              </w:rPr>
              <w:t xml:space="preserve"> </w:t>
            </w:r>
            <w:r w:rsidRPr="00492E17">
              <w:rPr>
                <w:rFonts w:ascii="Times New Roman" w:hAnsi="Times New Roman" w:cs="Times New Roman"/>
                <w:sz w:val="20"/>
                <w:szCs w:val="20"/>
                <w:highlight w:val="green"/>
                <w:lang w:val="en-GB"/>
              </w:rPr>
              <w:t xml:space="preserve">non </w:t>
            </w:r>
            <w:proofErr w:type="spellStart"/>
            <w:r w:rsidRPr="00492E17">
              <w:rPr>
                <w:rFonts w:ascii="Times New Roman" w:hAnsi="Times New Roman" w:cs="Times New Roman"/>
                <w:sz w:val="20"/>
                <w:szCs w:val="20"/>
                <w:highlight w:val="green"/>
                <w:lang w:val="en-GB"/>
              </w:rPr>
              <w:t>étanche</w:t>
            </w:r>
            <w:proofErr w:type="spellEnd"/>
            <w:r w:rsidRPr="00492E17">
              <w:rPr>
                <w:rFonts w:ascii="Times New Roman" w:hAnsi="Times New Roman" w:cs="Times New Roman"/>
                <w:sz w:val="20"/>
                <w:szCs w:val="20"/>
                <w:highlight w:val="green"/>
                <w:lang w:val="en-GB"/>
              </w:rPr>
              <w:t xml:space="preserve"> aux </w:t>
            </w:r>
            <w:proofErr w:type="spellStart"/>
            <w:r w:rsidRPr="00492E17">
              <w:rPr>
                <w:rFonts w:ascii="Times New Roman" w:hAnsi="Times New Roman" w:cs="Times New Roman"/>
                <w:sz w:val="20"/>
                <w:szCs w:val="20"/>
                <w:highlight w:val="green"/>
                <w:lang w:val="en-GB"/>
              </w:rPr>
              <w:t>intempéries</w:t>
            </w:r>
            <w:proofErr w:type="spellEnd"/>
            <w:r w:rsidRPr="00492E17">
              <w:rPr>
                <w:rFonts w:ascii="Times New Roman" w:hAnsi="Times New Roman" w:cs="Times New Roman"/>
                <w:sz w:val="20"/>
                <w:szCs w:val="20"/>
                <w:lang w:val="en-GB"/>
              </w:rPr>
              <w:t xml:space="preserve"> il doit y </w:t>
            </w:r>
            <w:proofErr w:type="spellStart"/>
            <w:r w:rsidRPr="00492E17">
              <w:rPr>
                <w:rFonts w:ascii="Times New Roman" w:hAnsi="Times New Roman" w:cs="Times New Roman"/>
                <w:sz w:val="20"/>
                <w:szCs w:val="20"/>
                <w:lang w:val="en-GB"/>
              </w:rPr>
              <w:t>avoir</w:t>
            </w:r>
            <w:proofErr w:type="spellEnd"/>
            <w:r w:rsidRPr="00492E17">
              <w:rPr>
                <w:rFonts w:ascii="Times New Roman" w:hAnsi="Times New Roman" w:cs="Times New Roman"/>
                <w:sz w:val="20"/>
                <w:szCs w:val="20"/>
                <w:lang w:val="en-GB"/>
              </w:rPr>
              <w:t xml:space="preserve"> un bras de </w:t>
            </w:r>
            <w:proofErr w:type="spellStart"/>
            <w:r w:rsidRPr="00492E17">
              <w:rPr>
                <w:rFonts w:ascii="Times New Roman" w:hAnsi="Times New Roman" w:cs="Times New Roman"/>
                <w:sz w:val="20"/>
                <w:szCs w:val="20"/>
                <w:lang w:val="en-GB"/>
              </w:rPr>
              <w:t>redressement</w:t>
            </w:r>
            <w:proofErr w:type="spellEnd"/>
            <w:r w:rsidRPr="00492E17">
              <w:rPr>
                <w:rFonts w:ascii="Times New Roman" w:hAnsi="Times New Roman" w:cs="Times New Roman"/>
                <w:sz w:val="20"/>
                <w:szCs w:val="20"/>
                <w:lang w:val="en-GB"/>
              </w:rPr>
              <w:t xml:space="preserve"> (GZ) </w:t>
            </w:r>
            <w:proofErr w:type="spellStart"/>
            <w:r w:rsidRPr="00492E17">
              <w:rPr>
                <w:rFonts w:ascii="Times New Roman" w:hAnsi="Times New Roman" w:cs="Times New Roman"/>
                <w:sz w:val="20"/>
                <w:szCs w:val="20"/>
                <w:lang w:val="en-GB"/>
              </w:rPr>
              <w:t>d'au</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moins</w:t>
            </w:r>
            <w:proofErr w:type="spellEnd"/>
            <w:r w:rsidRPr="00492E17">
              <w:rPr>
                <w:rFonts w:ascii="Times New Roman" w:hAnsi="Times New Roman" w:cs="Times New Roman"/>
                <w:sz w:val="20"/>
                <w:szCs w:val="20"/>
                <w:lang w:val="en-GB"/>
              </w:rPr>
              <w:t xml:space="preserve"> 0,10 </w:t>
            </w:r>
            <w:proofErr w:type="gramStart"/>
            <w:r w:rsidRPr="00492E17">
              <w:rPr>
                <w:rFonts w:ascii="Times New Roman" w:hAnsi="Times New Roman" w:cs="Times New Roman"/>
                <w:sz w:val="20"/>
                <w:szCs w:val="20"/>
                <w:lang w:val="en-GB"/>
              </w:rPr>
              <w:t>m;</w:t>
            </w:r>
            <w:proofErr w:type="gramEnd"/>
          </w:p>
          <w:p w14:paraId="6B9A225F" w14:textId="77777777" w:rsidR="00492E17" w:rsidRPr="00492E17" w:rsidRDefault="00492E17" w:rsidP="00492E17">
            <w:pPr>
              <w:pStyle w:val="ListParagraph"/>
              <w:spacing w:after="0" w:line="240" w:lineRule="auto"/>
              <w:ind w:left="404"/>
              <w:rPr>
                <w:rFonts w:ascii="Times New Roman" w:hAnsi="Times New Roman" w:cs="Times New Roman"/>
                <w:sz w:val="20"/>
                <w:szCs w:val="20"/>
                <w:lang w:val="en-GB"/>
              </w:rPr>
            </w:pPr>
          </w:p>
          <w:p w14:paraId="46A60E6D" w14:textId="13259717" w:rsidR="00492E17" w:rsidRDefault="00492E17" w:rsidP="00492E17">
            <w:pPr>
              <w:pStyle w:val="ListParagraph"/>
              <w:numPr>
                <w:ilvl w:val="0"/>
                <w:numId w:val="32"/>
              </w:numPr>
              <w:spacing w:after="0" w:line="240" w:lineRule="auto"/>
              <w:ind w:left="404"/>
              <w:rPr>
                <w:rFonts w:ascii="Times New Roman" w:hAnsi="Times New Roman" w:cs="Times New Roman"/>
                <w:sz w:val="20"/>
                <w:szCs w:val="20"/>
                <w:lang w:val="en-GB"/>
              </w:rPr>
            </w:pPr>
            <w:r w:rsidRPr="00492E17">
              <w:rPr>
                <w:rFonts w:ascii="Times New Roman" w:hAnsi="Times New Roman" w:cs="Times New Roman"/>
                <w:sz w:val="20"/>
                <w:szCs w:val="20"/>
                <w:lang w:val="en-GB"/>
              </w:rPr>
              <w:t xml:space="preserve">La surface de la zone positive de la </w:t>
            </w:r>
            <w:proofErr w:type="spellStart"/>
            <w:r w:rsidRPr="00492E17">
              <w:rPr>
                <w:rFonts w:ascii="Times New Roman" w:hAnsi="Times New Roman" w:cs="Times New Roman"/>
                <w:sz w:val="20"/>
                <w:szCs w:val="20"/>
                <w:lang w:val="en-GB"/>
              </w:rPr>
              <w:t>courbe</w:t>
            </w:r>
            <w:proofErr w:type="spellEnd"/>
            <w:r w:rsidRPr="00492E17">
              <w:rPr>
                <w:rFonts w:ascii="Times New Roman" w:hAnsi="Times New Roman" w:cs="Times New Roman"/>
                <w:sz w:val="20"/>
                <w:szCs w:val="20"/>
                <w:lang w:val="en-GB"/>
              </w:rPr>
              <w:t xml:space="preserve"> du bras de </w:t>
            </w:r>
            <w:proofErr w:type="spellStart"/>
            <w:r w:rsidRPr="00492E17">
              <w:rPr>
                <w:rFonts w:ascii="Times New Roman" w:hAnsi="Times New Roman" w:cs="Times New Roman"/>
                <w:sz w:val="20"/>
                <w:szCs w:val="20"/>
                <w:lang w:val="en-GB"/>
              </w:rPr>
              <w:t>redressement</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jusqu'à</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l'immersion</w:t>
            </w:r>
            <w:proofErr w:type="spellEnd"/>
            <w:r w:rsidRPr="00492E17">
              <w:rPr>
                <w:rFonts w:ascii="Times New Roman" w:hAnsi="Times New Roman" w:cs="Times New Roman"/>
                <w:sz w:val="20"/>
                <w:szCs w:val="20"/>
                <w:lang w:val="en-GB"/>
              </w:rPr>
              <w:t xml:space="preserve"> de la première </w:t>
            </w:r>
            <w:proofErr w:type="spellStart"/>
            <w:r w:rsidRPr="00492E17">
              <w:rPr>
                <w:rFonts w:ascii="Times New Roman" w:hAnsi="Times New Roman" w:cs="Times New Roman"/>
                <w:sz w:val="20"/>
                <w:szCs w:val="20"/>
                <w:lang w:val="en-GB"/>
              </w:rPr>
              <w:t>ouverture</w:t>
            </w:r>
            <w:proofErr w:type="spellEnd"/>
            <w:r w:rsidRPr="00492E17">
              <w:rPr>
                <w:rFonts w:ascii="Times New Roman" w:hAnsi="Times New Roman" w:cs="Times New Roman"/>
                <w:sz w:val="20"/>
                <w:szCs w:val="20"/>
                <w:lang w:val="en-GB"/>
              </w:rPr>
              <w:t xml:space="preserve"> </w:t>
            </w:r>
            <w:r w:rsidRPr="00492E17">
              <w:rPr>
                <w:rFonts w:ascii="Times New Roman" w:hAnsi="Times New Roman" w:cs="Times New Roman"/>
                <w:sz w:val="20"/>
                <w:szCs w:val="20"/>
                <w:highlight w:val="green"/>
                <w:lang w:val="en-GB"/>
              </w:rPr>
              <w:t xml:space="preserve">non </w:t>
            </w:r>
            <w:proofErr w:type="spellStart"/>
            <w:r w:rsidRPr="00492E17">
              <w:rPr>
                <w:rFonts w:ascii="Times New Roman" w:hAnsi="Times New Roman" w:cs="Times New Roman"/>
                <w:sz w:val="20"/>
                <w:szCs w:val="20"/>
                <w:highlight w:val="green"/>
                <w:lang w:val="en-GB"/>
              </w:rPr>
              <w:t>étanche</w:t>
            </w:r>
            <w:proofErr w:type="spellEnd"/>
            <w:r w:rsidRPr="00492E17">
              <w:rPr>
                <w:rFonts w:ascii="Times New Roman" w:hAnsi="Times New Roman" w:cs="Times New Roman"/>
                <w:sz w:val="20"/>
                <w:szCs w:val="20"/>
                <w:highlight w:val="green"/>
                <w:lang w:val="en-GB"/>
              </w:rPr>
              <w:t xml:space="preserve"> aux </w:t>
            </w:r>
            <w:proofErr w:type="spellStart"/>
            <w:r w:rsidRPr="00492E17">
              <w:rPr>
                <w:rFonts w:ascii="Times New Roman" w:hAnsi="Times New Roman" w:cs="Times New Roman"/>
                <w:sz w:val="20"/>
                <w:szCs w:val="20"/>
                <w:highlight w:val="green"/>
                <w:lang w:val="en-GB"/>
              </w:rPr>
              <w:t>intempéries</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toutefois</w:t>
            </w:r>
            <w:proofErr w:type="spellEnd"/>
            <w:r w:rsidRPr="00492E17">
              <w:rPr>
                <w:rFonts w:ascii="Times New Roman" w:hAnsi="Times New Roman" w:cs="Times New Roman"/>
                <w:sz w:val="20"/>
                <w:szCs w:val="20"/>
                <w:lang w:val="en-GB"/>
              </w:rPr>
              <w:t xml:space="preserve"> à un angle </w:t>
            </w:r>
            <w:proofErr w:type="spellStart"/>
            <w:r w:rsidRPr="00492E17">
              <w:rPr>
                <w:rFonts w:ascii="Times New Roman" w:hAnsi="Times New Roman" w:cs="Times New Roman"/>
                <w:sz w:val="20"/>
                <w:szCs w:val="20"/>
                <w:lang w:val="en-GB"/>
              </w:rPr>
              <w:t>d'inclinaison</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inférieur</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ou</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égal</w:t>
            </w:r>
            <w:proofErr w:type="spellEnd"/>
            <w:r w:rsidRPr="00492E17">
              <w:rPr>
                <w:rFonts w:ascii="Times New Roman" w:hAnsi="Times New Roman" w:cs="Times New Roman"/>
                <w:sz w:val="20"/>
                <w:szCs w:val="20"/>
                <w:lang w:val="en-GB"/>
              </w:rPr>
              <w:t xml:space="preserve"> a 27°, ne doit pas </w:t>
            </w:r>
            <w:proofErr w:type="spellStart"/>
            <w:r w:rsidRPr="00492E17">
              <w:rPr>
                <w:rFonts w:ascii="Times New Roman" w:hAnsi="Times New Roman" w:cs="Times New Roman"/>
                <w:sz w:val="20"/>
                <w:szCs w:val="20"/>
                <w:lang w:val="en-GB"/>
              </w:rPr>
              <w:t>être</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inférieure</w:t>
            </w:r>
            <w:proofErr w:type="spellEnd"/>
            <w:r w:rsidRPr="00492E17">
              <w:rPr>
                <w:rFonts w:ascii="Times New Roman" w:hAnsi="Times New Roman" w:cs="Times New Roman"/>
                <w:sz w:val="20"/>
                <w:szCs w:val="20"/>
                <w:lang w:val="en-GB"/>
              </w:rPr>
              <w:t xml:space="preserve"> à 0,024 </w:t>
            </w:r>
            <w:proofErr w:type="spellStart"/>
            <w:proofErr w:type="gramStart"/>
            <w:r w:rsidRPr="00492E17">
              <w:rPr>
                <w:rFonts w:ascii="Times New Roman" w:hAnsi="Times New Roman" w:cs="Times New Roman"/>
                <w:sz w:val="20"/>
                <w:szCs w:val="20"/>
                <w:lang w:val="en-GB"/>
              </w:rPr>
              <w:t>m.rad</w:t>
            </w:r>
            <w:proofErr w:type="spellEnd"/>
            <w:r w:rsidRPr="00492E17">
              <w:rPr>
                <w:rFonts w:ascii="Times New Roman" w:hAnsi="Times New Roman" w:cs="Times New Roman"/>
                <w:sz w:val="20"/>
                <w:szCs w:val="20"/>
                <w:lang w:val="en-GB"/>
              </w:rPr>
              <w:t>;</w:t>
            </w:r>
            <w:proofErr w:type="gramEnd"/>
          </w:p>
          <w:p w14:paraId="24221B82" w14:textId="77777777" w:rsidR="00492E17" w:rsidRPr="00492E17" w:rsidRDefault="00492E17" w:rsidP="00492E17">
            <w:pPr>
              <w:ind w:left="0" w:firstLine="0"/>
              <w:rPr>
                <w:rFonts w:ascii="Times New Roman" w:hAnsi="Times New Roman" w:cs="Times New Roman"/>
                <w:sz w:val="20"/>
                <w:szCs w:val="20"/>
                <w:lang w:val="en-GB"/>
              </w:rPr>
            </w:pPr>
          </w:p>
          <w:p w14:paraId="6B843793" w14:textId="55030677" w:rsidR="00492E17" w:rsidRDefault="00492E17" w:rsidP="00492E17">
            <w:pPr>
              <w:pStyle w:val="ListParagraph"/>
              <w:numPr>
                <w:ilvl w:val="0"/>
                <w:numId w:val="32"/>
              </w:numPr>
              <w:spacing w:after="0" w:line="240" w:lineRule="auto"/>
              <w:ind w:left="404"/>
              <w:rPr>
                <w:rFonts w:ascii="Times New Roman" w:hAnsi="Times New Roman" w:cs="Times New Roman"/>
                <w:sz w:val="20"/>
                <w:szCs w:val="20"/>
              </w:rPr>
            </w:pPr>
            <w:r w:rsidRPr="00492E17">
              <w:rPr>
                <w:rFonts w:ascii="Times New Roman" w:hAnsi="Times New Roman" w:cs="Times New Roman"/>
                <w:sz w:val="20"/>
                <w:szCs w:val="20"/>
              </w:rPr>
              <w:t xml:space="preserve">La </w:t>
            </w:r>
            <w:proofErr w:type="spellStart"/>
            <w:r w:rsidRPr="00492E17">
              <w:rPr>
                <w:rFonts w:ascii="Times New Roman" w:hAnsi="Times New Roman" w:cs="Times New Roman"/>
                <w:sz w:val="20"/>
                <w:szCs w:val="20"/>
              </w:rPr>
              <w:t>hauteur</w:t>
            </w:r>
            <w:proofErr w:type="spellEnd"/>
            <w:r w:rsidRPr="00492E17">
              <w:rPr>
                <w:rFonts w:ascii="Times New Roman" w:hAnsi="Times New Roman" w:cs="Times New Roman"/>
                <w:sz w:val="20"/>
                <w:szCs w:val="20"/>
              </w:rPr>
              <w:t xml:space="preserve"> </w:t>
            </w:r>
            <w:proofErr w:type="spellStart"/>
            <w:r w:rsidRPr="00492E17">
              <w:rPr>
                <w:rFonts w:ascii="Times New Roman" w:hAnsi="Times New Roman" w:cs="Times New Roman"/>
                <w:sz w:val="20"/>
                <w:szCs w:val="20"/>
              </w:rPr>
              <w:t>métacentrique</w:t>
            </w:r>
            <w:proofErr w:type="spellEnd"/>
            <w:r w:rsidRPr="00492E17">
              <w:rPr>
                <w:rFonts w:ascii="Times New Roman" w:hAnsi="Times New Roman" w:cs="Times New Roman"/>
                <w:sz w:val="20"/>
                <w:szCs w:val="20"/>
              </w:rPr>
              <w:t xml:space="preserve"> (MG) </w:t>
            </w:r>
            <w:proofErr w:type="spellStart"/>
            <w:r w:rsidRPr="00492E17">
              <w:rPr>
                <w:rFonts w:ascii="Times New Roman" w:hAnsi="Times New Roman" w:cs="Times New Roman"/>
                <w:sz w:val="20"/>
                <w:szCs w:val="20"/>
              </w:rPr>
              <w:t>doit</w:t>
            </w:r>
            <w:proofErr w:type="spellEnd"/>
            <w:r w:rsidRPr="00492E17">
              <w:rPr>
                <w:rFonts w:ascii="Times New Roman" w:hAnsi="Times New Roman" w:cs="Times New Roman"/>
                <w:sz w:val="20"/>
                <w:szCs w:val="20"/>
              </w:rPr>
              <w:t xml:space="preserve"> </w:t>
            </w:r>
            <w:proofErr w:type="spellStart"/>
            <w:r w:rsidRPr="00492E17">
              <w:rPr>
                <w:rFonts w:ascii="Times New Roman" w:hAnsi="Times New Roman" w:cs="Times New Roman"/>
                <w:sz w:val="20"/>
                <w:szCs w:val="20"/>
              </w:rPr>
              <w:t>être</w:t>
            </w:r>
            <w:proofErr w:type="spellEnd"/>
            <w:r w:rsidRPr="00492E17">
              <w:rPr>
                <w:rFonts w:ascii="Times New Roman" w:hAnsi="Times New Roman" w:cs="Times New Roman"/>
                <w:sz w:val="20"/>
                <w:szCs w:val="20"/>
              </w:rPr>
              <w:t xml:space="preserve"> au </w:t>
            </w:r>
            <w:proofErr w:type="spellStart"/>
            <w:r w:rsidRPr="00492E17">
              <w:rPr>
                <w:rFonts w:ascii="Times New Roman" w:hAnsi="Times New Roman" w:cs="Times New Roman"/>
                <w:sz w:val="20"/>
                <w:szCs w:val="20"/>
              </w:rPr>
              <w:t>minimum</w:t>
            </w:r>
            <w:proofErr w:type="spellEnd"/>
            <w:r w:rsidRPr="00492E17">
              <w:rPr>
                <w:rFonts w:ascii="Times New Roman" w:hAnsi="Times New Roman" w:cs="Times New Roman"/>
                <w:sz w:val="20"/>
                <w:szCs w:val="20"/>
              </w:rPr>
              <w:t xml:space="preserve"> de 0,10 m.</w:t>
            </w:r>
          </w:p>
          <w:p w14:paraId="701BEA54" w14:textId="77777777" w:rsidR="00492E17" w:rsidRPr="00492E17" w:rsidRDefault="00492E17" w:rsidP="00492E17">
            <w:pPr>
              <w:pStyle w:val="ListParagraph"/>
              <w:spacing w:after="0" w:line="240" w:lineRule="auto"/>
              <w:ind w:left="404"/>
              <w:rPr>
                <w:rFonts w:ascii="Times New Roman" w:hAnsi="Times New Roman" w:cs="Times New Roman"/>
                <w:sz w:val="20"/>
                <w:szCs w:val="20"/>
              </w:rPr>
            </w:pPr>
          </w:p>
          <w:p w14:paraId="4A54E349" w14:textId="77777777" w:rsidR="00492E17" w:rsidRPr="00492E17" w:rsidRDefault="00492E17" w:rsidP="00492E17">
            <w:pPr>
              <w:ind w:left="13" w:hanging="13"/>
              <w:rPr>
                <w:rFonts w:ascii="Times New Roman" w:hAnsi="Times New Roman" w:cs="Times New Roman"/>
                <w:sz w:val="20"/>
                <w:szCs w:val="20"/>
                <w:lang w:val="en-GB"/>
              </w:rPr>
            </w:pPr>
            <w:proofErr w:type="spellStart"/>
            <w:r w:rsidRPr="00492E17">
              <w:rPr>
                <w:rFonts w:ascii="Times New Roman" w:hAnsi="Times New Roman" w:cs="Times New Roman"/>
                <w:sz w:val="20"/>
                <w:szCs w:val="20"/>
                <w:lang w:val="en-GB"/>
              </w:rPr>
              <w:t>Ces</w:t>
            </w:r>
            <w:proofErr w:type="spellEnd"/>
            <w:r w:rsidRPr="00492E17">
              <w:rPr>
                <w:rFonts w:ascii="Times New Roman" w:hAnsi="Times New Roman" w:cs="Times New Roman"/>
                <w:sz w:val="20"/>
                <w:szCs w:val="20"/>
                <w:lang w:val="en-GB"/>
              </w:rPr>
              <w:t xml:space="preserve"> conditions </w:t>
            </w:r>
            <w:proofErr w:type="spellStart"/>
            <w:r w:rsidRPr="00492E17">
              <w:rPr>
                <w:rFonts w:ascii="Times New Roman" w:hAnsi="Times New Roman" w:cs="Times New Roman"/>
                <w:sz w:val="20"/>
                <w:szCs w:val="20"/>
                <w:lang w:val="en-GB"/>
              </w:rPr>
              <w:t>doivent</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être</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remplies</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compte</w:t>
            </w:r>
            <w:proofErr w:type="spellEnd"/>
            <w:r w:rsidRPr="00492E17">
              <w:rPr>
                <w:rFonts w:ascii="Times New Roman" w:hAnsi="Times New Roman" w:cs="Times New Roman"/>
                <w:sz w:val="20"/>
                <w:szCs w:val="20"/>
                <w:lang w:val="en-GB"/>
              </w:rPr>
              <w:t xml:space="preserve"> </w:t>
            </w:r>
            <w:proofErr w:type="spellStart"/>
            <w:r w:rsidRPr="00492E17">
              <w:rPr>
                <w:rFonts w:ascii="Times New Roman" w:hAnsi="Times New Roman" w:cs="Times New Roman"/>
                <w:sz w:val="20"/>
                <w:szCs w:val="20"/>
                <w:lang w:val="en-GB"/>
              </w:rPr>
              <w:t>tenu</w:t>
            </w:r>
            <w:proofErr w:type="spellEnd"/>
            <w:r w:rsidRPr="00492E17">
              <w:rPr>
                <w:rFonts w:ascii="Times New Roman" w:hAnsi="Times New Roman" w:cs="Times New Roman"/>
                <w:sz w:val="20"/>
                <w:szCs w:val="20"/>
                <w:lang w:val="en-GB"/>
              </w:rPr>
              <w:t xml:space="preserve"> de </w:t>
            </w:r>
            <w:proofErr w:type="spellStart"/>
            <w:r w:rsidRPr="00492E17">
              <w:rPr>
                <w:rFonts w:ascii="Times New Roman" w:hAnsi="Times New Roman" w:cs="Times New Roman"/>
                <w:sz w:val="20"/>
                <w:szCs w:val="20"/>
                <w:lang w:val="en-GB"/>
              </w:rPr>
              <w:t>l'influence</w:t>
            </w:r>
            <w:proofErr w:type="spellEnd"/>
            <w:r w:rsidRPr="00492E17">
              <w:rPr>
                <w:rFonts w:ascii="Times New Roman" w:hAnsi="Times New Roman" w:cs="Times New Roman"/>
                <w:sz w:val="20"/>
                <w:szCs w:val="20"/>
                <w:lang w:val="en-GB"/>
              </w:rPr>
              <w:t xml:space="preserve"> de </w:t>
            </w:r>
            <w:proofErr w:type="spellStart"/>
            <w:r w:rsidRPr="00492E17">
              <w:rPr>
                <w:rFonts w:ascii="Times New Roman" w:hAnsi="Times New Roman" w:cs="Times New Roman"/>
                <w:sz w:val="20"/>
                <w:szCs w:val="20"/>
                <w:lang w:val="en-GB"/>
              </w:rPr>
              <w:t>toutes</w:t>
            </w:r>
            <w:proofErr w:type="spellEnd"/>
            <w:r w:rsidRPr="00492E17">
              <w:rPr>
                <w:rFonts w:ascii="Times New Roman" w:hAnsi="Times New Roman" w:cs="Times New Roman"/>
                <w:sz w:val="20"/>
                <w:szCs w:val="20"/>
                <w:lang w:val="en-GB"/>
              </w:rPr>
              <w:t xml:space="preserve"> les surfaces </w:t>
            </w:r>
            <w:proofErr w:type="spellStart"/>
            <w:r w:rsidRPr="00492E17">
              <w:rPr>
                <w:rFonts w:ascii="Times New Roman" w:hAnsi="Times New Roman" w:cs="Times New Roman"/>
                <w:sz w:val="20"/>
                <w:szCs w:val="20"/>
                <w:lang w:val="en-GB"/>
              </w:rPr>
              <w:t>libres</w:t>
            </w:r>
            <w:proofErr w:type="spellEnd"/>
            <w:r w:rsidRPr="00492E17">
              <w:rPr>
                <w:rFonts w:ascii="Times New Roman" w:hAnsi="Times New Roman" w:cs="Times New Roman"/>
                <w:sz w:val="20"/>
                <w:szCs w:val="20"/>
                <w:lang w:val="en-GB"/>
              </w:rPr>
              <w:t xml:space="preserve"> dans les </w:t>
            </w:r>
            <w:proofErr w:type="spellStart"/>
            <w:r w:rsidRPr="00492E17">
              <w:rPr>
                <w:rFonts w:ascii="Times New Roman" w:hAnsi="Times New Roman" w:cs="Times New Roman"/>
                <w:sz w:val="20"/>
                <w:szCs w:val="20"/>
                <w:lang w:val="en-GB"/>
              </w:rPr>
              <w:t>citernes</w:t>
            </w:r>
            <w:proofErr w:type="spellEnd"/>
            <w:r w:rsidRPr="00492E17">
              <w:rPr>
                <w:rFonts w:ascii="Times New Roman" w:hAnsi="Times New Roman" w:cs="Times New Roman"/>
                <w:sz w:val="20"/>
                <w:szCs w:val="20"/>
                <w:lang w:val="en-GB"/>
              </w:rPr>
              <w:t xml:space="preserve"> pour </w:t>
            </w:r>
            <w:proofErr w:type="spellStart"/>
            <w:r w:rsidRPr="00492E17">
              <w:rPr>
                <w:rFonts w:ascii="Times New Roman" w:hAnsi="Times New Roman" w:cs="Times New Roman"/>
                <w:sz w:val="20"/>
                <w:szCs w:val="20"/>
                <w:lang w:val="en-GB"/>
              </w:rPr>
              <w:t>tous</w:t>
            </w:r>
            <w:proofErr w:type="spellEnd"/>
            <w:r w:rsidRPr="00492E17">
              <w:rPr>
                <w:rFonts w:ascii="Times New Roman" w:hAnsi="Times New Roman" w:cs="Times New Roman"/>
                <w:sz w:val="20"/>
                <w:szCs w:val="20"/>
                <w:lang w:val="en-GB"/>
              </w:rPr>
              <w:t xml:space="preserve"> les </w:t>
            </w:r>
            <w:proofErr w:type="spellStart"/>
            <w:r w:rsidRPr="00492E17">
              <w:rPr>
                <w:rFonts w:ascii="Times New Roman" w:hAnsi="Times New Roman" w:cs="Times New Roman"/>
                <w:sz w:val="20"/>
                <w:szCs w:val="20"/>
                <w:lang w:val="en-GB"/>
              </w:rPr>
              <w:t>stades</w:t>
            </w:r>
            <w:proofErr w:type="spellEnd"/>
            <w:r w:rsidRPr="00492E17">
              <w:rPr>
                <w:rFonts w:ascii="Times New Roman" w:hAnsi="Times New Roman" w:cs="Times New Roman"/>
                <w:sz w:val="20"/>
                <w:szCs w:val="20"/>
                <w:lang w:val="en-GB"/>
              </w:rPr>
              <w:t xml:space="preserve"> de </w:t>
            </w:r>
            <w:proofErr w:type="spellStart"/>
            <w:r w:rsidRPr="00492E17">
              <w:rPr>
                <w:rFonts w:ascii="Times New Roman" w:hAnsi="Times New Roman" w:cs="Times New Roman"/>
                <w:sz w:val="20"/>
                <w:szCs w:val="20"/>
                <w:lang w:val="en-GB"/>
              </w:rPr>
              <w:t>chargement</w:t>
            </w:r>
            <w:proofErr w:type="spellEnd"/>
            <w:r w:rsidRPr="00492E17">
              <w:rPr>
                <w:rFonts w:ascii="Times New Roman" w:hAnsi="Times New Roman" w:cs="Times New Roman"/>
                <w:sz w:val="20"/>
                <w:szCs w:val="20"/>
                <w:lang w:val="en-GB"/>
              </w:rPr>
              <w:t xml:space="preserve"> et de </w:t>
            </w:r>
            <w:proofErr w:type="spellStart"/>
            <w:r w:rsidRPr="00492E17">
              <w:rPr>
                <w:rFonts w:ascii="Times New Roman" w:hAnsi="Times New Roman" w:cs="Times New Roman"/>
                <w:sz w:val="20"/>
                <w:szCs w:val="20"/>
                <w:lang w:val="en-GB"/>
              </w:rPr>
              <w:t>déchargement</w:t>
            </w:r>
            <w:proofErr w:type="spellEnd"/>
            <w:r w:rsidRPr="00492E17">
              <w:rPr>
                <w:rFonts w:ascii="Times New Roman" w:hAnsi="Times New Roman" w:cs="Times New Roman"/>
                <w:sz w:val="20"/>
                <w:szCs w:val="20"/>
                <w:lang w:val="en-GB"/>
              </w:rPr>
              <w:t>.</w:t>
            </w:r>
          </w:p>
        </w:tc>
      </w:tr>
    </w:tbl>
    <w:p w14:paraId="6B1E5091" w14:textId="64C71506" w:rsidR="00DD396E" w:rsidRPr="007D5F61" w:rsidRDefault="007D5F61" w:rsidP="007D5F61">
      <w:pPr>
        <w:widowControl/>
        <w:suppressAutoHyphens/>
        <w:spacing w:before="240" w:line="240" w:lineRule="atLeast"/>
        <w:ind w:right="1134" w:firstLine="0"/>
        <w:jc w:val="center"/>
        <w:rPr>
          <w:u w:val="single"/>
        </w:rPr>
      </w:pPr>
      <w:r>
        <w:rPr>
          <w:u w:val="single"/>
        </w:rPr>
        <w:tab/>
      </w:r>
      <w:r>
        <w:rPr>
          <w:u w:val="single"/>
        </w:rPr>
        <w:tab/>
      </w:r>
      <w:r>
        <w:rPr>
          <w:u w:val="single"/>
        </w:rPr>
        <w:tab/>
      </w:r>
    </w:p>
    <w:sectPr w:rsidR="00DD396E" w:rsidRPr="007D5F61" w:rsidSect="00492E17">
      <w:pgSz w:w="16838" w:h="11906" w:orient="landscape" w:code="9"/>
      <w:pgMar w:top="1134" w:right="1985" w:bottom="851" w:left="1701"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E3D2" w14:textId="77777777" w:rsidR="0096323B" w:rsidRDefault="0096323B" w:rsidP="00BA008F">
      <w:r>
        <w:separator/>
      </w:r>
    </w:p>
  </w:endnote>
  <w:endnote w:type="continuationSeparator" w:id="0">
    <w:p w14:paraId="0189DD8B" w14:textId="77777777" w:rsidR="0096323B" w:rsidRDefault="0096323B" w:rsidP="00BA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496371"/>
      <w:docPartObj>
        <w:docPartGallery w:val="Page Numbers (Bottom of Page)"/>
        <w:docPartUnique/>
      </w:docPartObj>
    </w:sdtPr>
    <w:sdtEndPr>
      <w:rPr>
        <w:noProof/>
      </w:rPr>
    </w:sdtEndPr>
    <w:sdtContent>
      <w:p w14:paraId="031AF2F9" w14:textId="77777777" w:rsidR="00530C9B" w:rsidRDefault="00530C9B">
        <w:pPr>
          <w:pStyle w:val="Footer"/>
        </w:pPr>
        <w:r>
          <w:fldChar w:fldCharType="begin"/>
        </w:r>
        <w:r>
          <w:instrText xml:space="preserve"> PAGE   \* MERGEFORMAT </w:instrText>
        </w:r>
        <w:r>
          <w:fldChar w:fldCharType="separate"/>
        </w:r>
        <w:r>
          <w:rPr>
            <w:noProof/>
          </w:rPr>
          <w:t>2</w:t>
        </w:r>
        <w:r>
          <w:rPr>
            <w:noProof/>
          </w:rPr>
          <w:fldChar w:fldCharType="end"/>
        </w:r>
      </w:p>
    </w:sdtContent>
  </w:sdt>
  <w:p w14:paraId="3BE7E3EE" w14:textId="77777777" w:rsidR="00530C9B" w:rsidRDefault="00530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336130"/>
      <w:docPartObj>
        <w:docPartGallery w:val="Page Numbers (Bottom of Page)"/>
        <w:docPartUnique/>
      </w:docPartObj>
    </w:sdtPr>
    <w:sdtEndPr>
      <w:rPr>
        <w:noProof/>
      </w:rPr>
    </w:sdtEndPr>
    <w:sdtContent>
      <w:p w14:paraId="4830AF17" w14:textId="77777777" w:rsidR="00530C9B" w:rsidRDefault="00530C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CE90" w14:textId="77777777" w:rsidR="00530C9B" w:rsidRDefault="00530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A481" w14:textId="77777777" w:rsidR="00AB0EDA" w:rsidRDefault="00AB0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C36BC" w14:textId="77777777" w:rsidR="0096323B" w:rsidRDefault="0096323B" w:rsidP="00BA008F">
      <w:r>
        <w:separator/>
      </w:r>
    </w:p>
  </w:footnote>
  <w:footnote w:type="continuationSeparator" w:id="0">
    <w:p w14:paraId="22B2673C" w14:textId="77777777" w:rsidR="0096323B" w:rsidRDefault="0096323B" w:rsidP="00BA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A3DF" w14:textId="77777777" w:rsidR="00624102" w:rsidRPr="00624102" w:rsidRDefault="00624102">
    <w:pPr>
      <w:pStyle w:val="Header"/>
      <w:rPr>
        <w:lang w:val="fr-CH"/>
      </w:rPr>
    </w:pPr>
    <w:r>
      <w:rPr>
        <w:lang w:val="fr-CH"/>
      </w:rPr>
      <w:t>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CB7C" w14:textId="77777777" w:rsidR="007D3BFA" w:rsidRPr="007D3BFA" w:rsidRDefault="00FB1BAC" w:rsidP="00530C9B">
    <w:pPr>
      <w:pStyle w:val="Header"/>
      <w:jc w:val="right"/>
      <w:rPr>
        <w:lang w:val="fr-CH"/>
      </w:rPr>
    </w:pPr>
    <w:r>
      <w:rPr>
        <w:lang w:val="fr-CH"/>
      </w:rPr>
      <w:t>INF.4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D08B" w14:textId="77777777" w:rsidR="00AB0EDA" w:rsidRDefault="00AB0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B439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B4E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CF2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FC9C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F20B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CAFB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A8B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B4A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3A0A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A6D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7E15"/>
    <w:multiLevelType w:val="hybridMultilevel"/>
    <w:tmpl w:val="C994C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BB3D41"/>
    <w:multiLevelType w:val="hybridMultilevel"/>
    <w:tmpl w:val="667C3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B1538E"/>
    <w:multiLevelType w:val="hybridMultilevel"/>
    <w:tmpl w:val="2D2EC64C"/>
    <w:lvl w:ilvl="0" w:tplc="C31A6EFC">
      <w:start w:val="1"/>
      <w:numFmt w:val="lowerLetter"/>
      <w:lvlText w:val="%1)"/>
      <w:lvlJc w:val="left"/>
      <w:pPr>
        <w:ind w:left="400" w:hanging="360"/>
      </w:pPr>
      <w:rPr>
        <w:rFonts w:hint="default"/>
      </w:rPr>
    </w:lvl>
    <w:lvl w:ilvl="1" w:tplc="041A0019" w:tentative="1">
      <w:start w:val="1"/>
      <w:numFmt w:val="lowerLetter"/>
      <w:lvlText w:val="%2."/>
      <w:lvlJc w:val="left"/>
      <w:pPr>
        <w:ind w:left="1120" w:hanging="360"/>
      </w:pPr>
    </w:lvl>
    <w:lvl w:ilvl="2" w:tplc="041A001B" w:tentative="1">
      <w:start w:val="1"/>
      <w:numFmt w:val="lowerRoman"/>
      <w:lvlText w:val="%3."/>
      <w:lvlJc w:val="right"/>
      <w:pPr>
        <w:ind w:left="1840" w:hanging="180"/>
      </w:pPr>
    </w:lvl>
    <w:lvl w:ilvl="3" w:tplc="041A000F" w:tentative="1">
      <w:start w:val="1"/>
      <w:numFmt w:val="decimal"/>
      <w:lvlText w:val="%4."/>
      <w:lvlJc w:val="left"/>
      <w:pPr>
        <w:ind w:left="2560" w:hanging="360"/>
      </w:pPr>
    </w:lvl>
    <w:lvl w:ilvl="4" w:tplc="041A0019" w:tentative="1">
      <w:start w:val="1"/>
      <w:numFmt w:val="lowerLetter"/>
      <w:lvlText w:val="%5."/>
      <w:lvlJc w:val="left"/>
      <w:pPr>
        <w:ind w:left="3280" w:hanging="360"/>
      </w:pPr>
    </w:lvl>
    <w:lvl w:ilvl="5" w:tplc="041A001B" w:tentative="1">
      <w:start w:val="1"/>
      <w:numFmt w:val="lowerRoman"/>
      <w:lvlText w:val="%6."/>
      <w:lvlJc w:val="right"/>
      <w:pPr>
        <w:ind w:left="4000" w:hanging="180"/>
      </w:pPr>
    </w:lvl>
    <w:lvl w:ilvl="6" w:tplc="041A000F" w:tentative="1">
      <w:start w:val="1"/>
      <w:numFmt w:val="decimal"/>
      <w:lvlText w:val="%7."/>
      <w:lvlJc w:val="left"/>
      <w:pPr>
        <w:ind w:left="4720" w:hanging="360"/>
      </w:pPr>
    </w:lvl>
    <w:lvl w:ilvl="7" w:tplc="041A0019" w:tentative="1">
      <w:start w:val="1"/>
      <w:numFmt w:val="lowerLetter"/>
      <w:lvlText w:val="%8."/>
      <w:lvlJc w:val="left"/>
      <w:pPr>
        <w:ind w:left="5440" w:hanging="360"/>
      </w:pPr>
    </w:lvl>
    <w:lvl w:ilvl="8" w:tplc="041A001B" w:tentative="1">
      <w:start w:val="1"/>
      <w:numFmt w:val="lowerRoman"/>
      <w:lvlText w:val="%9."/>
      <w:lvlJc w:val="right"/>
      <w:pPr>
        <w:ind w:left="6160" w:hanging="180"/>
      </w:pPr>
    </w:lvl>
  </w:abstractNum>
  <w:abstractNum w:abstractNumId="13" w15:restartNumberingAfterBreak="0">
    <w:nsid w:val="13611FB3"/>
    <w:multiLevelType w:val="hybridMultilevel"/>
    <w:tmpl w:val="DDB4E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2F1091"/>
    <w:multiLevelType w:val="hybridMultilevel"/>
    <w:tmpl w:val="6016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977BCA"/>
    <w:multiLevelType w:val="hybridMultilevel"/>
    <w:tmpl w:val="9C32A102"/>
    <w:lvl w:ilvl="0" w:tplc="CC0C83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4E2256D"/>
    <w:multiLevelType w:val="hybridMultilevel"/>
    <w:tmpl w:val="01AA501E"/>
    <w:lvl w:ilvl="0" w:tplc="DE9CAF2E">
      <w:start w:val="7"/>
      <w:numFmt w:val="bullet"/>
      <w:lvlText w:val="-"/>
      <w:lvlJc w:val="left"/>
      <w:pPr>
        <w:ind w:left="1854" w:hanging="360"/>
      </w:pPr>
      <w:rPr>
        <w:rFonts w:ascii="Times New Roman" w:eastAsia="Times New Roman" w:hAnsi="Times New Roman" w:cs="Times New Roman"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7" w15:restartNumberingAfterBreak="0">
    <w:nsid w:val="38445170"/>
    <w:multiLevelType w:val="hybridMultilevel"/>
    <w:tmpl w:val="90D49C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563B51"/>
    <w:multiLevelType w:val="hybridMultilevel"/>
    <w:tmpl w:val="2C228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857E5"/>
    <w:multiLevelType w:val="hybridMultilevel"/>
    <w:tmpl w:val="180CDD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76D43E7"/>
    <w:multiLevelType w:val="hybridMultilevel"/>
    <w:tmpl w:val="4CAA78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C33D0F"/>
    <w:multiLevelType w:val="hybridMultilevel"/>
    <w:tmpl w:val="3D682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C43E89"/>
    <w:multiLevelType w:val="hybridMultilevel"/>
    <w:tmpl w:val="451220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2124"/>
        </w:tabs>
        <w:ind w:left="2124" w:hanging="170"/>
      </w:pPr>
      <w:rPr>
        <w:rFonts w:ascii="Times New Roman" w:hAnsi="Times New Roman" w:cs="Times New Roman" w:hint="default"/>
        <w:b w:val="0"/>
        <w:i w:val="0"/>
        <w:sz w:val="20"/>
      </w:rPr>
    </w:lvl>
    <w:lvl w:ilvl="1" w:tplc="040C0003">
      <w:start w:val="1"/>
      <w:numFmt w:val="bullet"/>
      <w:lvlText w:val="o"/>
      <w:lvlJc w:val="left"/>
      <w:pPr>
        <w:tabs>
          <w:tab w:val="num" w:pos="1863"/>
        </w:tabs>
        <w:ind w:left="1863" w:hanging="360"/>
      </w:pPr>
      <w:rPr>
        <w:rFonts w:ascii="Courier New" w:hAnsi="Courier New" w:cs="Courier New" w:hint="default"/>
      </w:rPr>
    </w:lvl>
    <w:lvl w:ilvl="2" w:tplc="040C0005">
      <w:start w:val="1"/>
      <w:numFmt w:val="bullet"/>
      <w:lvlText w:val=""/>
      <w:lvlJc w:val="left"/>
      <w:pPr>
        <w:tabs>
          <w:tab w:val="num" w:pos="2583"/>
        </w:tabs>
        <w:ind w:left="2583" w:hanging="360"/>
      </w:pPr>
      <w:rPr>
        <w:rFonts w:ascii="Wingdings" w:hAnsi="Wingdings" w:hint="default"/>
      </w:rPr>
    </w:lvl>
    <w:lvl w:ilvl="3" w:tplc="040C0001" w:tentative="1">
      <w:start w:val="1"/>
      <w:numFmt w:val="bullet"/>
      <w:lvlText w:val=""/>
      <w:lvlJc w:val="left"/>
      <w:pPr>
        <w:tabs>
          <w:tab w:val="num" w:pos="3303"/>
        </w:tabs>
        <w:ind w:left="3303" w:hanging="360"/>
      </w:pPr>
      <w:rPr>
        <w:rFonts w:ascii="Symbol" w:hAnsi="Symbol" w:hint="default"/>
      </w:rPr>
    </w:lvl>
    <w:lvl w:ilvl="4" w:tplc="040C0003" w:tentative="1">
      <w:start w:val="1"/>
      <w:numFmt w:val="bullet"/>
      <w:lvlText w:val="o"/>
      <w:lvlJc w:val="left"/>
      <w:pPr>
        <w:tabs>
          <w:tab w:val="num" w:pos="4023"/>
        </w:tabs>
        <w:ind w:left="4023" w:hanging="360"/>
      </w:pPr>
      <w:rPr>
        <w:rFonts w:ascii="Courier New" w:hAnsi="Courier New" w:cs="Courier New" w:hint="default"/>
      </w:rPr>
    </w:lvl>
    <w:lvl w:ilvl="5" w:tplc="040C0005" w:tentative="1">
      <w:start w:val="1"/>
      <w:numFmt w:val="bullet"/>
      <w:lvlText w:val=""/>
      <w:lvlJc w:val="left"/>
      <w:pPr>
        <w:tabs>
          <w:tab w:val="num" w:pos="4743"/>
        </w:tabs>
        <w:ind w:left="4743" w:hanging="360"/>
      </w:pPr>
      <w:rPr>
        <w:rFonts w:ascii="Wingdings" w:hAnsi="Wingdings" w:hint="default"/>
      </w:rPr>
    </w:lvl>
    <w:lvl w:ilvl="6" w:tplc="040C0001" w:tentative="1">
      <w:start w:val="1"/>
      <w:numFmt w:val="bullet"/>
      <w:lvlText w:val=""/>
      <w:lvlJc w:val="left"/>
      <w:pPr>
        <w:tabs>
          <w:tab w:val="num" w:pos="5463"/>
        </w:tabs>
        <w:ind w:left="5463" w:hanging="360"/>
      </w:pPr>
      <w:rPr>
        <w:rFonts w:ascii="Symbol" w:hAnsi="Symbol" w:hint="default"/>
      </w:rPr>
    </w:lvl>
    <w:lvl w:ilvl="7" w:tplc="040C0003" w:tentative="1">
      <w:start w:val="1"/>
      <w:numFmt w:val="bullet"/>
      <w:lvlText w:val="o"/>
      <w:lvlJc w:val="left"/>
      <w:pPr>
        <w:tabs>
          <w:tab w:val="num" w:pos="6183"/>
        </w:tabs>
        <w:ind w:left="6183" w:hanging="360"/>
      </w:pPr>
      <w:rPr>
        <w:rFonts w:ascii="Courier New" w:hAnsi="Courier New" w:cs="Courier New" w:hint="default"/>
      </w:rPr>
    </w:lvl>
    <w:lvl w:ilvl="8" w:tplc="040C0005" w:tentative="1">
      <w:start w:val="1"/>
      <w:numFmt w:val="bullet"/>
      <w:lvlText w:val=""/>
      <w:lvlJc w:val="left"/>
      <w:pPr>
        <w:tabs>
          <w:tab w:val="num" w:pos="6903"/>
        </w:tabs>
        <w:ind w:left="6903" w:hanging="360"/>
      </w:pPr>
      <w:rPr>
        <w:rFonts w:ascii="Wingdings" w:hAnsi="Wingdings" w:hint="default"/>
      </w:rPr>
    </w:lvl>
  </w:abstractNum>
  <w:abstractNum w:abstractNumId="24" w15:restartNumberingAfterBreak="0">
    <w:nsid w:val="6A440749"/>
    <w:multiLevelType w:val="hybridMultilevel"/>
    <w:tmpl w:val="F2565F58"/>
    <w:lvl w:ilvl="0" w:tplc="2D406458">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FEA241E"/>
    <w:multiLevelType w:val="hybridMultilevel"/>
    <w:tmpl w:val="FC18AEEA"/>
    <w:lvl w:ilvl="0" w:tplc="9060592A">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72F56FF4"/>
    <w:multiLevelType w:val="hybridMultilevel"/>
    <w:tmpl w:val="7828F2BE"/>
    <w:lvl w:ilvl="0" w:tplc="09FC7A40">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7"/>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0"/>
  </w:num>
  <w:num w:numId="12">
    <w:abstractNumId w:val="17"/>
  </w:num>
  <w:num w:numId="13">
    <w:abstractNumId w:val="23"/>
  </w:num>
  <w:num w:numId="14">
    <w:abstractNumId w:val="23"/>
  </w:num>
  <w:num w:numId="15">
    <w:abstractNumId w:val="23"/>
  </w:num>
  <w:num w:numId="16">
    <w:abstractNumId w:val="23"/>
  </w:num>
  <w:num w:numId="17">
    <w:abstractNumId w:val="24"/>
  </w:num>
  <w:num w:numId="18">
    <w:abstractNumId w:val="23"/>
  </w:num>
  <w:num w:numId="19">
    <w:abstractNumId w:val="23"/>
  </w:num>
  <w:num w:numId="20">
    <w:abstractNumId w:val="23"/>
  </w:num>
  <w:num w:numId="21">
    <w:abstractNumId w:val="23"/>
  </w:num>
  <w:num w:numId="22">
    <w:abstractNumId w:val="14"/>
  </w:num>
  <w:num w:numId="23">
    <w:abstractNumId w:val="21"/>
  </w:num>
  <w:num w:numId="24">
    <w:abstractNumId w:val="13"/>
  </w:num>
  <w:num w:numId="25">
    <w:abstractNumId w:val="26"/>
  </w:num>
  <w:num w:numId="26">
    <w:abstractNumId w:val="10"/>
  </w:num>
  <w:num w:numId="27">
    <w:abstractNumId w:val="11"/>
  </w:num>
  <w:num w:numId="28">
    <w:abstractNumId w:val="18"/>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1F"/>
    <w:rsid w:val="000072D5"/>
    <w:rsid w:val="000A1BCE"/>
    <w:rsid w:val="000D05D0"/>
    <w:rsid w:val="00113F76"/>
    <w:rsid w:val="00120EC8"/>
    <w:rsid w:val="00166D5A"/>
    <w:rsid w:val="00227E3F"/>
    <w:rsid w:val="00272290"/>
    <w:rsid w:val="002C3C33"/>
    <w:rsid w:val="00323236"/>
    <w:rsid w:val="0037723E"/>
    <w:rsid w:val="00391CB5"/>
    <w:rsid w:val="003B5F10"/>
    <w:rsid w:val="003C10B9"/>
    <w:rsid w:val="00480098"/>
    <w:rsid w:val="00480372"/>
    <w:rsid w:val="00492E17"/>
    <w:rsid w:val="004B5A77"/>
    <w:rsid w:val="004D11CC"/>
    <w:rsid w:val="004E324D"/>
    <w:rsid w:val="00530C9B"/>
    <w:rsid w:val="005449C0"/>
    <w:rsid w:val="00584416"/>
    <w:rsid w:val="005D0678"/>
    <w:rsid w:val="00624102"/>
    <w:rsid w:val="00770817"/>
    <w:rsid w:val="007D3BFA"/>
    <w:rsid w:val="007D5F61"/>
    <w:rsid w:val="008E5D3D"/>
    <w:rsid w:val="00930F93"/>
    <w:rsid w:val="0096323B"/>
    <w:rsid w:val="009C6F7B"/>
    <w:rsid w:val="00A40A1F"/>
    <w:rsid w:val="00AB0EDA"/>
    <w:rsid w:val="00AF4CC9"/>
    <w:rsid w:val="00BA008F"/>
    <w:rsid w:val="00C56AC7"/>
    <w:rsid w:val="00C65283"/>
    <w:rsid w:val="00CE2E88"/>
    <w:rsid w:val="00D0382B"/>
    <w:rsid w:val="00D27A21"/>
    <w:rsid w:val="00D426D0"/>
    <w:rsid w:val="00DA40F2"/>
    <w:rsid w:val="00DD396E"/>
    <w:rsid w:val="00F22FF2"/>
    <w:rsid w:val="00F80C83"/>
    <w:rsid w:val="00FB1B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EA3A2"/>
  <w15:chartTrackingRefBased/>
  <w15:docId w15:val="{BB9BDB8B-577B-409F-AA67-B5C967ED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A1F"/>
    <w:pPr>
      <w:widowControl w:val="0"/>
      <w:overflowPunct w:val="0"/>
      <w:autoSpaceDE w:val="0"/>
      <w:autoSpaceDN w:val="0"/>
      <w:adjustRightInd w:val="0"/>
      <w:ind w:left="1134" w:hanging="1134"/>
      <w:jc w:val="both"/>
      <w:textAlignment w:val="baseline"/>
    </w:pPr>
    <w:rPr>
      <w:rFonts w:eastAsia="Times New Roman"/>
      <w:lang w:eastAsia="fr-FR"/>
    </w:rPr>
  </w:style>
  <w:style w:type="paragraph" w:styleId="Heading1">
    <w:name w:val="heading 1"/>
    <w:aliases w:val="Table_G"/>
    <w:basedOn w:val="SingleTxtG"/>
    <w:next w:val="SingleTxtG"/>
    <w:link w:val="Heading1Char"/>
    <w:qFormat/>
    <w:rsid w:val="00C65283"/>
    <w:pPr>
      <w:spacing w:after="0"/>
      <w:ind w:right="0"/>
      <w:jc w:val="left"/>
      <w:outlineLvl w:val="0"/>
    </w:pPr>
  </w:style>
  <w:style w:type="paragraph" w:styleId="Heading2">
    <w:name w:val="heading 2"/>
    <w:basedOn w:val="Normal"/>
    <w:next w:val="Normal"/>
    <w:link w:val="Heading2Char"/>
    <w:qFormat/>
    <w:rsid w:val="00C65283"/>
    <w:pPr>
      <w:outlineLvl w:val="1"/>
    </w:pPr>
  </w:style>
  <w:style w:type="paragraph" w:styleId="Heading3">
    <w:name w:val="heading 3"/>
    <w:basedOn w:val="Normal"/>
    <w:next w:val="Normal"/>
    <w:link w:val="Heading3Char"/>
    <w:qFormat/>
    <w:rsid w:val="00C65283"/>
    <w:pPr>
      <w:outlineLvl w:val="2"/>
    </w:pPr>
  </w:style>
  <w:style w:type="paragraph" w:styleId="Heading4">
    <w:name w:val="heading 4"/>
    <w:basedOn w:val="Normal"/>
    <w:next w:val="Normal"/>
    <w:link w:val="Heading4Char"/>
    <w:qFormat/>
    <w:rsid w:val="00C65283"/>
    <w:pPr>
      <w:outlineLvl w:val="3"/>
    </w:pPr>
  </w:style>
  <w:style w:type="paragraph" w:styleId="Heading5">
    <w:name w:val="heading 5"/>
    <w:basedOn w:val="Normal"/>
    <w:next w:val="Normal"/>
    <w:link w:val="Heading5Char"/>
    <w:qFormat/>
    <w:rsid w:val="00C65283"/>
    <w:pPr>
      <w:outlineLvl w:val="4"/>
    </w:pPr>
  </w:style>
  <w:style w:type="paragraph" w:styleId="Heading6">
    <w:name w:val="heading 6"/>
    <w:basedOn w:val="Normal"/>
    <w:next w:val="Normal"/>
    <w:link w:val="Heading6Char"/>
    <w:qFormat/>
    <w:rsid w:val="00C65283"/>
    <w:pPr>
      <w:outlineLvl w:val="5"/>
    </w:pPr>
  </w:style>
  <w:style w:type="paragraph" w:styleId="Heading7">
    <w:name w:val="heading 7"/>
    <w:basedOn w:val="Normal"/>
    <w:next w:val="Normal"/>
    <w:link w:val="Heading7Char"/>
    <w:qFormat/>
    <w:rsid w:val="00C65283"/>
    <w:pPr>
      <w:outlineLvl w:val="6"/>
    </w:pPr>
  </w:style>
  <w:style w:type="paragraph" w:styleId="Heading8">
    <w:name w:val="heading 8"/>
    <w:basedOn w:val="Normal"/>
    <w:next w:val="Normal"/>
    <w:link w:val="Heading8Char"/>
    <w:qFormat/>
    <w:rsid w:val="00C65283"/>
    <w:pPr>
      <w:outlineLvl w:val="7"/>
    </w:pPr>
  </w:style>
  <w:style w:type="paragraph" w:styleId="Heading9">
    <w:name w:val="heading 9"/>
    <w:basedOn w:val="Normal"/>
    <w:next w:val="Normal"/>
    <w:link w:val="Heading9Char"/>
    <w:qFormat/>
    <w:rsid w:val="00C652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right="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right="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right="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right="1134"/>
    </w:pPr>
    <w:rPr>
      <w:b/>
    </w:rPr>
  </w:style>
  <w:style w:type="paragraph" w:customStyle="1" w:styleId="H4G">
    <w:name w:val="_ H_4_G"/>
    <w:basedOn w:val="Normal"/>
    <w:next w:val="Normal"/>
    <w:rsid w:val="00930F93"/>
    <w:pPr>
      <w:keepNext/>
      <w:keepLines/>
      <w:tabs>
        <w:tab w:val="right" w:pos="851"/>
      </w:tabs>
      <w:spacing w:before="240" w:after="120" w:line="240" w:lineRule="exact"/>
      <w:ind w:right="1134"/>
    </w:pPr>
    <w:rPr>
      <w:i/>
    </w:rPr>
  </w:style>
  <w:style w:type="paragraph" w:customStyle="1" w:styleId="H56G">
    <w:name w:val="_ H_5/6_G"/>
    <w:basedOn w:val="Normal"/>
    <w:next w:val="Normal"/>
    <w:rsid w:val="00930F93"/>
    <w:pPr>
      <w:keepNext/>
      <w:keepLines/>
      <w:tabs>
        <w:tab w:val="right" w:pos="851"/>
      </w:tabs>
      <w:spacing w:before="240" w:after="120" w:line="240" w:lineRule="exact"/>
      <w:ind w:right="1134"/>
    </w:pPr>
  </w:style>
  <w:style w:type="paragraph" w:customStyle="1" w:styleId="SingleTxtG">
    <w:name w:val="_ Single Txt_G"/>
    <w:basedOn w:val="Normal"/>
    <w:rsid w:val="00930F93"/>
    <w:pPr>
      <w:spacing w:after="120"/>
      <w:ind w:right="1134"/>
    </w:pPr>
  </w:style>
  <w:style w:type="paragraph" w:customStyle="1" w:styleId="SLG">
    <w:name w:val="__S_L_G"/>
    <w:basedOn w:val="Normal"/>
    <w:next w:val="Normal"/>
    <w:rsid w:val="00930F93"/>
    <w:pPr>
      <w:keepNext/>
      <w:keepLines/>
      <w:spacing w:before="240" w:after="240" w:line="580" w:lineRule="exact"/>
      <w:ind w:right="1134"/>
    </w:pPr>
    <w:rPr>
      <w:b/>
      <w:sz w:val="56"/>
    </w:rPr>
  </w:style>
  <w:style w:type="paragraph" w:customStyle="1" w:styleId="SMG">
    <w:name w:val="__S_M_G"/>
    <w:basedOn w:val="Normal"/>
    <w:next w:val="Normal"/>
    <w:rsid w:val="00930F93"/>
    <w:pPr>
      <w:keepNext/>
      <w:keepLines/>
      <w:spacing w:before="240" w:after="240" w:line="420" w:lineRule="exact"/>
      <w:ind w:right="1134"/>
    </w:pPr>
    <w:rPr>
      <w:b/>
      <w:sz w:val="40"/>
    </w:rPr>
  </w:style>
  <w:style w:type="paragraph" w:customStyle="1" w:styleId="SSG">
    <w:name w:val="__S_S_G"/>
    <w:basedOn w:val="Normal"/>
    <w:next w:val="Normal"/>
    <w:rsid w:val="00930F93"/>
    <w:pPr>
      <w:keepNext/>
      <w:keepLines/>
      <w:spacing w:before="240" w:after="240" w:line="300" w:lineRule="exact"/>
      <w:ind w:right="1134"/>
    </w:pPr>
    <w:rPr>
      <w:b/>
      <w:sz w:val="28"/>
    </w:rPr>
  </w:style>
  <w:style w:type="paragraph" w:customStyle="1" w:styleId="XLargeG">
    <w:name w:val="__XLarge_G"/>
    <w:basedOn w:val="Normal"/>
    <w:next w:val="Normal"/>
    <w:rsid w:val="00930F93"/>
    <w:pPr>
      <w:keepNext/>
      <w:keepLines/>
      <w:spacing w:before="240" w:after="240" w:line="420" w:lineRule="exact"/>
      <w:ind w:right="1134"/>
    </w:pPr>
    <w:rPr>
      <w:b/>
      <w:sz w:val="40"/>
    </w:rPr>
  </w:style>
  <w:style w:type="paragraph" w:customStyle="1" w:styleId="Bullet1G">
    <w:name w:val="_Bullet 1_G"/>
    <w:basedOn w:val="Normal"/>
    <w:rsid w:val="00930F93"/>
    <w:pPr>
      <w:numPr>
        <w:numId w:val="1"/>
      </w:numPr>
      <w:spacing w:after="120"/>
      <w:ind w:right="1134"/>
    </w:pPr>
  </w:style>
  <w:style w:type="paragraph" w:customStyle="1" w:styleId="Bullet2G">
    <w:name w:val="_Bullet 2_G"/>
    <w:basedOn w:val="Normal"/>
    <w:rsid w:val="00930F93"/>
    <w:pPr>
      <w:numPr>
        <w:numId w:val="2"/>
      </w:numPr>
      <w:spacing w:after="120"/>
      <w:ind w:right="1134"/>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right="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customStyle="1" w:styleId="Default">
    <w:name w:val="Default"/>
    <w:rsid w:val="00BA008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E3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24D"/>
    <w:rPr>
      <w:rFonts w:ascii="Segoe UI" w:eastAsia="Times New Roman" w:hAnsi="Segoe UI" w:cs="Segoe UI"/>
      <w:sz w:val="18"/>
      <w:szCs w:val="18"/>
      <w:lang w:eastAsia="fr-FR"/>
    </w:rPr>
  </w:style>
  <w:style w:type="paragraph" w:styleId="ListParagraph">
    <w:name w:val="List Paragraph"/>
    <w:basedOn w:val="Normal"/>
    <w:uiPriority w:val="34"/>
    <w:qFormat/>
    <w:rsid w:val="00492E17"/>
    <w:pPr>
      <w:widowControl/>
      <w:overflowPunct/>
      <w:autoSpaceDE/>
      <w:autoSpaceDN/>
      <w:adjustRightInd/>
      <w:spacing w:after="200" w:line="276" w:lineRule="auto"/>
      <w:ind w:left="720" w:firstLine="0"/>
      <w:contextualSpacing/>
      <w:jc w:val="left"/>
      <w:textAlignment w:val="auto"/>
    </w:pPr>
    <w:rPr>
      <w:rFonts w:asciiTheme="minorHAnsi" w:eastAsiaTheme="minorHAnsi" w:hAnsiTheme="minorHAnsi" w:cstheme="minorBidi"/>
      <w:sz w:val="22"/>
      <w:szCs w:val="22"/>
      <w:lang w:val="de-AT" w:eastAsia="en-US"/>
    </w:rPr>
  </w:style>
  <w:style w:type="table" w:styleId="TableGrid">
    <w:name w:val="Table Grid"/>
    <w:basedOn w:val="TableNormal"/>
    <w:uiPriority w:val="59"/>
    <w:rsid w:val="00492E17"/>
    <w:rPr>
      <w:rFonts w:asciiTheme="minorHAnsi" w:eastAsiaTheme="minorHAnsi" w:hAnsiTheme="minorHAnsi" w:cstheme="minorBidi"/>
      <w:sz w:val="22"/>
      <w:szCs w:val="22"/>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6203">
      <w:bodyDiv w:val="1"/>
      <w:marLeft w:val="0"/>
      <w:marRight w:val="0"/>
      <w:marTop w:val="0"/>
      <w:marBottom w:val="0"/>
      <w:divBdr>
        <w:top w:val="none" w:sz="0" w:space="0" w:color="auto"/>
        <w:left w:val="none" w:sz="0" w:space="0" w:color="auto"/>
        <w:bottom w:val="none" w:sz="0" w:space="0" w:color="auto"/>
        <w:right w:val="none" w:sz="0" w:space="0" w:color="auto"/>
      </w:divBdr>
    </w:div>
    <w:div w:id="7893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8EE86-72D5-4FA8-8AB9-9766090054A3}">
  <ds:schemaRefs>
    <ds:schemaRef ds:uri="http://schemas.microsoft.com/sharepoint/v3/contenttype/forms"/>
  </ds:schemaRefs>
</ds:datastoreItem>
</file>

<file path=customXml/itemProps2.xml><?xml version="1.0" encoding="utf-8"?>
<ds:datastoreItem xmlns:ds="http://schemas.openxmlformats.org/officeDocument/2006/customXml" ds:itemID="{CCC2A77C-9638-4384-A393-805096BFF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B1270-F174-4340-887D-3266BD8CF294}">
  <ds:schemaRefs>
    <ds:schemaRef ds:uri="http://schemas.openxmlformats.org/officeDocument/2006/bibliography"/>
  </ds:schemaRefs>
</ds:datastoreItem>
</file>

<file path=customXml/itemProps4.xml><?xml version="1.0" encoding="utf-8"?>
<ds:datastoreItem xmlns:ds="http://schemas.openxmlformats.org/officeDocument/2006/customXml" ds:itemID="{72890B80-86EE-41F7-95B1-E74E3A9B6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4376</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Lucille</cp:lastModifiedBy>
  <cp:revision>3</cp:revision>
  <cp:lastPrinted>2018-12-19T07:16:00Z</cp:lastPrinted>
  <dcterms:created xsi:type="dcterms:W3CDTF">2021-08-25T08:06:00Z</dcterms:created>
  <dcterms:modified xsi:type="dcterms:W3CDTF">2021-08-25T08:08:00Z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7966d5-0f9c-4032-b08c-36f5d7ad1524_Enabled">
    <vt:lpwstr>true</vt:lpwstr>
  </property>
  <property fmtid="{D5CDD505-2E9C-101B-9397-08002B2CF9AE}" pid="3" name="MSIP_Label_7e7966d5-0f9c-4032-b08c-36f5d7ad1524_SetDate">
    <vt:lpwstr>2020-01-08T12:25:31Z</vt:lpwstr>
  </property>
  <property fmtid="{D5CDD505-2E9C-101B-9397-08002B2CF9AE}" pid="4" name="MSIP_Label_7e7966d5-0f9c-4032-b08c-36f5d7ad1524_Method">
    <vt:lpwstr>Privileged</vt:lpwstr>
  </property>
  <property fmtid="{D5CDD505-2E9C-101B-9397-08002B2CF9AE}" pid="5" name="MSIP_Label_7e7966d5-0f9c-4032-b08c-36f5d7ad1524_Name">
    <vt:lpwstr>Public</vt:lpwstr>
  </property>
  <property fmtid="{D5CDD505-2E9C-101B-9397-08002B2CF9AE}" pid="6" name="MSIP_Label_7e7966d5-0f9c-4032-b08c-36f5d7ad1524_SiteId">
    <vt:lpwstr>4a3454a0-8cf4-4a9c-b1c0-6ce4d1495f82</vt:lpwstr>
  </property>
  <property fmtid="{D5CDD505-2E9C-101B-9397-08002B2CF9AE}" pid="7" name="MSIP_Label_7e7966d5-0f9c-4032-b08c-36f5d7ad1524_ActionId">
    <vt:lpwstr>a4e617e4-8737-4dfb-b1f5-0000e6530df4</vt:lpwstr>
  </property>
  <property fmtid="{D5CDD505-2E9C-101B-9397-08002B2CF9AE}" pid="8" name="MSIP_Label_7e7966d5-0f9c-4032-b08c-36f5d7ad1524_ContentBits">
    <vt:lpwstr>0</vt:lpwstr>
  </property>
  <property fmtid="{D5CDD505-2E9C-101B-9397-08002B2CF9AE}" pid="9" name="LR_Classification">
    <vt:lpwstr>Public</vt:lpwstr>
  </property>
  <property fmtid="{D5CDD505-2E9C-101B-9397-08002B2CF9AE}" pid="10" name="ContentTypeId">
    <vt:lpwstr>0x0101003B8422D08C252547BB1CFA7F78E2CB83</vt:lpwstr>
  </property>
</Properties>
</file>