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C4195" w14:paraId="2F58A1DA" w14:textId="77777777" w:rsidTr="00F106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3727B7" w14:textId="77777777" w:rsidR="002C4195" w:rsidRDefault="002C4195" w:rsidP="00F106E0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0FB9A3B" w14:textId="4E4F9BF1" w:rsidR="002C4195" w:rsidRPr="00D47EEA" w:rsidRDefault="002C4195" w:rsidP="00F106E0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9C5466">
              <w:rPr>
                <w:b/>
                <w:sz w:val="40"/>
                <w:szCs w:val="40"/>
              </w:rPr>
              <w:t>10</w:t>
            </w:r>
          </w:p>
        </w:tc>
      </w:tr>
      <w:tr w:rsidR="002C4195" w:rsidRPr="0006065E" w14:paraId="76FD08BB" w14:textId="77777777" w:rsidTr="00693CCE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5E88E" w14:textId="77777777" w:rsidR="002C4195" w:rsidRPr="0006065E" w:rsidRDefault="002C4195" w:rsidP="00F106E0">
            <w:pPr>
              <w:spacing w:before="120"/>
              <w:rPr>
                <w:b/>
                <w:sz w:val="28"/>
                <w:szCs w:val="28"/>
                <w:lang w:val="en-GB"/>
              </w:rPr>
            </w:pPr>
            <w:r w:rsidRPr="0006065E">
              <w:rPr>
                <w:b/>
                <w:sz w:val="28"/>
                <w:szCs w:val="28"/>
                <w:lang w:val="en-GB"/>
              </w:rPr>
              <w:t>Economic Commission for Europe</w:t>
            </w:r>
          </w:p>
          <w:p w14:paraId="72F790E9" w14:textId="77777777" w:rsidR="002C4195" w:rsidRPr="0006065E" w:rsidRDefault="002C4195" w:rsidP="00F106E0">
            <w:pPr>
              <w:spacing w:before="120"/>
              <w:rPr>
                <w:sz w:val="28"/>
                <w:szCs w:val="28"/>
                <w:lang w:val="en-GB"/>
              </w:rPr>
            </w:pPr>
            <w:r w:rsidRPr="0006065E">
              <w:rPr>
                <w:sz w:val="28"/>
                <w:szCs w:val="28"/>
                <w:lang w:val="en-GB"/>
              </w:rPr>
              <w:t>Inland Transport Committee</w:t>
            </w:r>
          </w:p>
          <w:p w14:paraId="1E7F2844" w14:textId="77777777" w:rsidR="002C4195" w:rsidRPr="0006065E" w:rsidRDefault="002C4195" w:rsidP="00F106E0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06065E">
              <w:rPr>
                <w:b/>
                <w:sz w:val="24"/>
                <w:szCs w:val="24"/>
                <w:lang w:val="en-GB"/>
              </w:rPr>
              <w:t>Working Party on the Transport of Dangerous Goods</w:t>
            </w:r>
          </w:p>
          <w:p w14:paraId="0F3888A8" w14:textId="77777777" w:rsidR="002C4195" w:rsidRPr="0006065E" w:rsidRDefault="002C4195" w:rsidP="00F106E0">
            <w:pPr>
              <w:spacing w:before="120"/>
              <w:rPr>
                <w:b/>
                <w:lang w:val="en-GB"/>
              </w:rPr>
            </w:pPr>
            <w:r w:rsidRPr="0006065E">
              <w:rPr>
                <w:b/>
                <w:lang w:val="en-GB"/>
              </w:rPr>
              <w:t>Joint Meeting of Experts on the Regulations annexed to the</w:t>
            </w:r>
            <w:r w:rsidRPr="0006065E">
              <w:rPr>
                <w:b/>
                <w:lang w:val="en-GB"/>
              </w:rPr>
              <w:br/>
              <w:t>European Agreement concerning the International Carriage</w:t>
            </w:r>
            <w:r w:rsidRPr="0006065E">
              <w:rPr>
                <w:b/>
                <w:lang w:val="en-GB"/>
              </w:rPr>
              <w:br/>
              <w:t>of Dangerous Goods by Inland Waterways (ADN)</w:t>
            </w:r>
            <w:r w:rsidRPr="0006065E">
              <w:rPr>
                <w:b/>
                <w:lang w:val="en-GB"/>
              </w:rPr>
              <w:br/>
              <w:t>(ADN Safety Committee)</w:t>
            </w:r>
          </w:p>
          <w:p w14:paraId="06DF413E" w14:textId="77777777" w:rsidR="002C4195" w:rsidRPr="0006065E" w:rsidRDefault="002C4195" w:rsidP="00F106E0">
            <w:pPr>
              <w:spacing w:before="120"/>
              <w:rPr>
                <w:b/>
                <w:lang w:val="en-GB"/>
              </w:rPr>
            </w:pPr>
            <w:r w:rsidRPr="0006065E">
              <w:rPr>
                <w:b/>
                <w:lang w:val="en-GB"/>
              </w:rPr>
              <w:t>Thirty-eighth session</w:t>
            </w:r>
          </w:p>
          <w:p w14:paraId="3DD6A172" w14:textId="77777777" w:rsidR="002C4195" w:rsidRPr="0006065E" w:rsidRDefault="002C4195" w:rsidP="00F106E0">
            <w:pPr>
              <w:rPr>
                <w:lang w:val="en-GB" w:eastAsia="fr-FR"/>
              </w:rPr>
            </w:pPr>
            <w:r w:rsidRPr="0006065E">
              <w:rPr>
                <w:lang w:val="en-GB" w:eastAsia="fr-FR"/>
              </w:rPr>
              <w:t>Geneva, 23–27 August 2021</w:t>
            </w:r>
          </w:p>
          <w:p w14:paraId="6DFC558C" w14:textId="54D151F2" w:rsidR="002C4195" w:rsidRPr="0006065E" w:rsidRDefault="002C4195" w:rsidP="00F106E0">
            <w:pPr>
              <w:rPr>
                <w:lang w:val="en-GB" w:eastAsia="fr-FR"/>
              </w:rPr>
            </w:pPr>
            <w:r w:rsidRPr="0006065E">
              <w:rPr>
                <w:lang w:val="en-GB" w:eastAsia="fr-FR"/>
              </w:rPr>
              <w:t xml:space="preserve">Item </w:t>
            </w:r>
            <w:r w:rsidR="004B638D">
              <w:rPr>
                <w:lang w:val="en-GB" w:eastAsia="fr-FR"/>
              </w:rPr>
              <w:t>4(b)</w:t>
            </w:r>
            <w:r w:rsidRPr="0006065E">
              <w:rPr>
                <w:lang w:val="en-GB" w:eastAsia="fr-FR"/>
              </w:rPr>
              <w:t xml:space="preserve"> of the provisional agenda</w:t>
            </w:r>
          </w:p>
          <w:p w14:paraId="40DB9E2C" w14:textId="77777777" w:rsidR="00B40B13" w:rsidRPr="00530E72" w:rsidRDefault="00B40B13" w:rsidP="00B40B13">
            <w:pPr>
              <w:rPr>
                <w:b/>
                <w:lang w:val="en-GB"/>
              </w:rPr>
            </w:pPr>
            <w:r w:rsidRPr="00530E72">
              <w:rPr>
                <w:b/>
                <w:lang w:val="en-GB"/>
              </w:rPr>
              <w:t>Proposals for amendments to the Regulations annexed to ADN:</w:t>
            </w:r>
          </w:p>
          <w:p w14:paraId="046AD27A" w14:textId="444FC6E4" w:rsidR="002C4195" w:rsidRPr="0006065E" w:rsidRDefault="00B40B13" w:rsidP="00B40B13">
            <w:pPr>
              <w:rPr>
                <w:lang w:val="en-GB"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proposals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19341E" w14:textId="77777777" w:rsidR="002C4195" w:rsidRPr="0006065E" w:rsidRDefault="002C4195" w:rsidP="00F106E0">
            <w:pPr>
              <w:tabs>
                <w:tab w:val="right" w:pos="2835"/>
              </w:tabs>
              <w:spacing w:before="120"/>
              <w:rPr>
                <w:lang w:val="en-GB"/>
              </w:rPr>
            </w:pPr>
            <w:r w:rsidRPr="0006065E">
              <w:rPr>
                <w:lang w:val="en-GB"/>
              </w:rPr>
              <w:tab/>
            </w:r>
          </w:p>
          <w:p w14:paraId="0EF1134E" w14:textId="7A431FBE" w:rsidR="002C4195" w:rsidRPr="0006065E" w:rsidRDefault="004B638D" w:rsidP="00F106E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0E011D" w:rsidRPr="0006065E">
              <w:rPr>
                <w:lang w:val="en-GB"/>
              </w:rPr>
              <w:t xml:space="preserve"> July</w:t>
            </w:r>
            <w:r w:rsidR="002C4195" w:rsidRPr="0006065E">
              <w:rPr>
                <w:lang w:val="en-GB"/>
              </w:rPr>
              <w:t xml:space="preserve"> 2021</w:t>
            </w:r>
            <w:r w:rsidR="002C4195" w:rsidRPr="0006065E">
              <w:rPr>
                <w:lang w:val="en-GB"/>
              </w:rPr>
              <w:br/>
            </w:r>
          </w:p>
          <w:p w14:paraId="517E57D9" w14:textId="77777777" w:rsidR="002C4195" w:rsidRPr="0006065E" w:rsidRDefault="002C4195" w:rsidP="00F106E0">
            <w:pPr>
              <w:spacing w:before="120"/>
              <w:rPr>
                <w:lang w:val="en-GB"/>
              </w:rPr>
            </w:pPr>
            <w:r w:rsidRPr="0006065E">
              <w:rPr>
                <w:lang w:val="en-GB"/>
              </w:rPr>
              <w:t>English</w:t>
            </w:r>
          </w:p>
        </w:tc>
      </w:tr>
    </w:tbl>
    <w:p w14:paraId="3F5F865E" w14:textId="19F20637" w:rsidR="00F1417C" w:rsidRPr="00F1417C" w:rsidRDefault="00F1417C" w:rsidP="00230A77">
      <w:pPr>
        <w:pStyle w:val="HChG"/>
        <w:rPr>
          <w:sz w:val="32"/>
          <w:szCs w:val="32"/>
          <w:lang w:val="en-US" w:eastAsia="en-GB"/>
        </w:rPr>
      </w:pPr>
      <w:bookmarkStart w:id="0" w:name="OLE_LINK1"/>
      <w:r w:rsidRPr="00F1417C">
        <w:rPr>
          <w:lang w:val="en-GB"/>
        </w:rPr>
        <w:tab/>
      </w:r>
      <w:r w:rsidRPr="00F1417C">
        <w:rPr>
          <w:lang w:val="en-GB"/>
        </w:rPr>
        <w:tab/>
      </w:r>
      <w:r w:rsidR="00B149B3" w:rsidRPr="00005E18">
        <w:rPr>
          <w:lang w:val="en-GB"/>
        </w:rPr>
        <w:tab/>
      </w:r>
      <w:r w:rsidR="00230A77" w:rsidRPr="00530E72">
        <w:rPr>
          <w:lang w:val="en-GB"/>
        </w:rPr>
        <w:t>Table C - UN 1202</w:t>
      </w:r>
      <w:r w:rsidR="00530E72">
        <w:rPr>
          <w:lang w:val="en-GB"/>
        </w:rPr>
        <w:t xml:space="preserve">, </w:t>
      </w:r>
      <w:r w:rsidR="004454FA">
        <w:rPr>
          <w:lang w:val="en-GB"/>
        </w:rPr>
        <w:t xml:space="preserve">second </w:t>
      </w:r>
      <w:r w:rsidR="00230A77" w:rsidRPr="00530E72">
        <w:rPr>
          <w:lang w:val="en-GB"/>
        </w:rPr>
        <w:t xml:space="preserve">entry: </w:t>
      </w:r>
      <w:r w:rsidR="00230A77" w:rsidRPr="00530E72">
        <w:rPr>
          <w:lang w:val="en-GB"/>
        </w:rPr>
        <w:br/>
      </w:r>
      <w:r w:rsidR="00230A77" w:rsidRPr="00530E72">
        <w:rPr>
          <w:lang w:val="en-GB"/>
        </w:rPr>
        <w:tab/>
        <w:t>GAS OIL complying with standard EN 590:2013 + A1:2017 or DIESEL FUEL or HEATING</w:t>
      </w:r>
      <w:r w:rsidR="00230A77" w:rsidRPr="007E28EE">
        <w:rPr>
          <w:bCs/>
          <w:color w:val="000000"/>
          <w:szCs w:val="28"/>
          <w:lang w:val="en-US"/>
        </w:rPr>
        <w:t xml:space="preserve"> OIL, LIGHT with flash-point as specified in EN 590:2013 + A1:2017</w:t>
      </w:r>
    </w:p>
    <w:p w14:paraId="245E1D73" w14:textId="4784D56F" w:rsidR="00E0333C" w:rsidRPr="00E0333C" w:rsidRDefault="000E011D" w:rsidP="000E011D">
      <w:pPr>
        <w:pStyle w:val="H1G"/>
        <w:rPr>
          <w:bCs/>
          <w:lang w:val="en-GB" w:eastAsia="fr-FR"/>
        </w:rPr>
      </w:pPr>
      <w:r>
        <w:rPr>
          <w:lang w:val="en-GB" w:eastAsia="fr-FR"/>
        </w:rPr>
        <w:tab/>
      </w:r>
      <w:r>
        <w:rPr>
          <w:lang w:val="en-GB" w:eastAsia="fr-FR"/>
        </w:rPr>
        <w:tab/>
      </w:r>
      <w:r w:rsidR="00353459" w:rsidRPr="00530E72">
        <w:rPr>
          <w:lang w:val="en-GB"/>
        </w:rPr>
        <w:t xml:space="preserve">Transmitted by </w:t>
      </w:r>
      <w:proofErr w:type="spellStart"/>
      <w:r w:rsidR="00353459" w:rsidRPr="00530E72">
        <w:rPr>
          <w:lang w:val="en-GB"/>
        </w:rPr>
        <w:t>FuelsEurope</w:t>
      </w:r>
      <w:proofErr w:type="spellEnd"/>
    </w:p>
    <w:bookmarkEnd w:id="0"/>
    <w:p w14:paraId="398A22E7" w14:textId="77777777" w:rsidR="00F1417C" w:rsidRPr="00F1417C" w:rsidRDefault="00F1417C" w:rsidP="000E011D">
      <w:pPr>
        <w:pStyle w:val="HChG"/>
        <w:rPr>
          <w:lang w:val="en-GB"/>
        </w:rPr>
      </w:pPr>
      <w:r w:rsidRPr="00F1417C">
        <w:rPr>
          <w:lang w:val="en-US"/>
        </w:rPr>
        <w:tab/>
      </w:r>
      <w:r w:rsidRPr="00F1417C">
        <w:rPr>
          <w:lang w:val="en-US"/>
        </w:rPr>
        <w:tab/>
      </w:r>
      <w:r w:rsidRPr="00F1417C">
        <w:rPr>
          <w:lang w:val="en-GB"/>
        </w:rPr>
        <w:t>Introduction</w:t>
      </w:r>
    </w:p>
    <w:p w14:paraId="067D9DF6" w14:textId="3AE3EDD5" w:rsidR="00154972" w:rsidRPr="00154972" w:rsidRDefault="00154972" w:rsidP="00154972">
      <w:pPr>
        <w:pStyle w:val="SingleTxtG"/>
        <w:rPr>
          <w:lang w:val="en-GB"/>
        </w:rPr>
      </w:pPr>
      <w:r w:rsidRPr="00154972">
        <w:rPr>
          <w:lang w:val="en-GB"/>
        </w:rPr>
        <w:t>1.</w:t>
      </w:r>
      <w:r w:rsidRPr="00154972">
        <w:rPr>
          <w:lang w:val="en-GB"/>
        </w:rPr>
        <w:tab/>
      </w:r>
      <w:proofErr w:type="spellStart"/>
      <w:r w:rsidRPr="00154972">
        <w:rPr>
          <w:lang w:val="en-GB"/>
        </w:rPr>
        <w:t>FuelsEurope</w:t>
      </w:r>
      <w:proofErr w:type="spellEnd"/>
      <w:r w:rsidRPr="00154972">
        <w:rPr>
          <w:lang w:val="en-GB"/>
        </w:rPr>
        <w:t xml:space="preserve"> would like to draw the attention to a discrepancy that exists in Column (2) of the second entry of UN </w:t>
      </w:r>
      <w:r w:rsidR="00EB215D">
        <w:rPr>
          <w:lang w:val="en-GB"/>
        </w:rPr>
        <w:t xml:space="preserve">No. </w:t>
      </w:r>
      <w:r w:rsidRPr="00154972">
        <w:rPr>
          <w:lang w:val="en-GB"/>
        </w:rPr>
        <w:t>1202 in Table C for both English and Russian language versions. The discrepancy appears first in the 2007 version of Table C.</w:t>
      </w:r>
    </w:p>
    <w:p w14:paraId="1C2188FD" w14:textId="76D24D03" w:rsidR="00154972" w:rsidRPr="00154972" w:rsidRDefault="00154972" w:rsidP="00154972">
      <w:pPr>
        <w:pStyle w:val="SingleTxtG"/>
        <w:rPr>
          <w:lang w:val="en-GB"/>
        </w:rPr>
      </w:pPr>
      <w:r w:rsidRPr="00154972">
        <w:rPr>
          <w:lang w:val="en-GB"/>
        </w:rPr>
        <w:t xml:space="preserve">Although the reference to EN590 +A1 year versions have been adapted over the years, the discrepancy appears to have been overlooked. </w:t>
      </w:r>
      <w:proofErr w:type="spellStart"/>
      <w:r w:rsidRPr="00154972">
        <w:rPr>
          <w:lang w:val="en-GB"/>
        </w:rPr>
        <w:t>FuelsEurope</w:t>
      </w:r>
      <w:proofErr w:type="spellEnd"/>
      <w:r w:rsidRPr="00154972">
        <w:rPr>
          <w:lang w:val="en-GB"/>
        </w:rPr>
        <w:t xml:space="preserve"> therefore proposes to correct and harmonize the English and Russian language version of this entry with the French and German language versions, which are correct.</w:t>
      </w:r>
    </w:p>
    <w:p w14:paraId="75BB99FB" w14:textId="4D91023D" w:rsidR="00F1417C" w:rsidRPr="005275BD" w:rsidRDefault="00154972" w:rsidP="00154972">
      <w:pPr>
        <w:pStyle w:val="SingleTxtG"/>
        <w:rPr>
          <w:lang w:val="en-GB"/>
        </w:rPr>
      </w:pPr>
      <w:r w:rsidRPr="00154972">
        <w:rPr>
          <w:lang w:val="en-GB"/>
        </w:rPr>
        <w:t>2.</w:t>
      </w:r>
      <w:r w:rsidRPr="00154972">
        <w:rPr>
          <w:lang w:val="en-GB"/>
        </w:rPr>
        <w:tab/>
        <w:t>No corrections are needed for this entry in Table A in any of the official language versions.</w:t>
      </w:r>
      <w:r w:rsidR="005275BD" w:rsidRPr="005275BD">
        <w:rPr>
          <w:lang w:val="en-GB"/>
        </w:rPr>
        <w:t xml:space="preserve"> </w:t>
      </w:r>
    </w:p>
    <w:p w14:paraId="390F2FB0" w14:textId="4F195673" w:rsidR="00F1417C" w:rsidRPr="00F1417C" w:rsidRDefault="00F1417C" w:rsidP="00C23A2F">
      <w:pPr>
        <w:pStyle w:val="HChG"/>
        <w:rPr>
          <w:lang w:val="en-GB"/>
        </w:rPr>
      </w:pPr>
      <w:r w:rsidRPr="00F1417C">
        <w:rPr>
          <w:lang w:val="en-GB"/>
        </w:rPr>
        <w:tab/>
      </w:r>
      <w:r w:rsidRPr="00F1417C">
        <w:rPr>
          <w:lang w:val="en-GB"/>
        </w:rPr>
        <w:tab/>
      </w:r>
      <w:r w:rsidR="00CE4A9C" w:rsidRPr="00851A07">
        <w:rPr>
          <w:lang w:val="en-GB"/>
        </w:rPr>
        <w:tab/>
      </w:r>
      <w:r w:rsidR="00C23A2F" w:rsidRPr="00C23A2F">
        <w:rPr>
          <w:lang w:val="en-GB"/>
        </w:rPr>
        <w:t>Text of Column (2), Table C, ADN 2021:</w:t>
      </w:r>
    </w:p>
    <w:p w14:paraId="5430AB9E" w14:textId="542DB92A" w:rsidR="00FA4553" w:rsidRDefault="00FA4553" w:rsidP="00377F63">
      <w:pPr>
        <w:pStyle w:val="SingleTxtG"/>
        <w:rPr>
          <w:lang w:val="en-GB"/>
        </w:rPr>
      </w:pPr>
      <w:r w:rsidRPr="00851A07">
        <w:rPr>
          <w:lang w:val="en-GB"/>
        </w:rPr>
        <w:t>3.</w:t>
      </w:r>
      <w:r w:rsidRPr="00851A07">
        <w:rPr>
          <w:lang w:val="en-GB"/>
        </w:rPr>
        <w:tab/>
      </w:r>
      <w:proofErr w:type="spellStart"/>
      <w:r w:rsidR="00377F63" w:rsidRPr="00377F63">
        <w:rPr>
          <w:lang w:val="en-GB"/>
        </w:rPr>
        <w:t>FuelsEurope</w:t>
      </w:r>
      <w:proofErr w:type="spellEnd"/>
      <w:r w:rsidR="00377F63" w:rsidRPr="00377F63">
        <w:rPr>
          <w:lang w:val="en-GB"/>
        </w:rPr>
        <w:t xml:space="preserve"> identified the differences in Column (2) of Table C for UN 1202, </w:t>
      </w:r>
      <w:r w:rsidR="00E66F1B">
        <w:rPr>
          <w:lang w:val="en-GB"/>
        </w:rPr>
        <w:t>second</w:t>
      </w:r>
      <w:r w:rsidR="00E66F1B" w:rsidRPr="00377F63">
        <w:rPr>
          <w:lang w:val="en-GB"/>
        </w:rPr>
        <w:t xml:space="preserve"> </w:t>
      </w:r>
      <w:r w:rsidR="00377F63" w:rsidRPr="00377F63">
        <w:rPr>
          <w:lang w:val="en-GB"/>
        </w:rPr>
        <w:t>entry:</w:t>
      </w:r>
    </w:p>
    <w:tbl>
      <w:tblPr>
        <w:tblStyle w:val="Tabellenraster11"/>
        <w:tblW w:w="9707" w:type="dxa"/>
        <w:jc w:val="center"/>
        <w:tblInd w:w="0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124"/>
        <w:gridCol w:w="2610"/>
        <w:gridCol w:w="2777"/>
      </w:tblGrid>
      <w:tr w:rsidR="004474D6" w:rsidRPr="004474D6" w14:paraId="4F912DDC" w14:textId="77777777" w:rsidTr="000B588B">
        <w:trPr>
          <w:tblHeader/>
          <w:jc w:val="center"/>
        </w:trPr>
        <w:tc>
          <w:tcPr>
            <w:tcW w:w="21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9E3D14F" w14:textId="77777777" w:rsidR="004474D6" w:rsidRPr="004474D6" w:rsidRDefault="004474D6" w:rsidP="004474D6">
            <w:pPr>
              <w:widowControl w:val="0"/>
              <w:suppressAutoHyphens w:val="0"/>
              <w:spacing w:line="200" w:lineRule="exact"/>
              <w:ind w:left="1134" w:right="113" w:hanging="1134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  <w:lang w:val="de-DE" w:eastAsia="fr-FR"/>
              </w:rPr>
            </w:pPr>
            <w:r w:rsidRPr="004474D6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 xml:space="preserve">German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E17F6C" w14:textId="77777777" w:rsidR="004474D6" w:rsidRPr="004474D6" w:rsidRDefault="004474D6" w:rsidP="004474D6">
            <w:pPr>
              <w:widowControl w:val="0"/>
              <w:suppressAutoHyphens w:val="0"/>
              <w:spacing w:line="200" w:lineRule="exact"/>
              <w:ind w:left="146" w:right="113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</w:pPr>
            <w:r w:rsidRPr="004474D6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French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E1FCCA" w14:textId="77777777" w:rsidR="004474D6" w:rsidRPr="004474D6" w:rsidRDefault="004474D6" w:rsidP="004474D6">
            <w:pPr>
              <w:widowControl w:val="0"/>
              <w:suppressAutoHyphens w:val="0"/>
              <w:spacing w:line="200" w:lineRule="exact"/>
              <w:ind w:left="144" w:right="113" w:hanging="1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  <w:lang w:val="de-DE" w:eastAsia="fr-FR"/>
              </w:rPr>
            </w:pPr>
            <w:r w:rsidRPr="004474D6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English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ABD82F" w14:textId="77777777" w:rsidR="004474D6" w:rsidRPr="004474D6" w:rsidRDefault="004474D6" w:rsidP="004474D6">
            <w:pPr>
              <w:widowControl w:val="0"/>
              <w:suppressAutoHyphens w:val="0"/>
              <w:spacing w:line="200" w:lineRule="exact"/>
              <w:ind w:left="144" w:right="113" w:hanging="1"/>
              <w:jc w:val="both"/>
              <w:textAlignment w:val="baseline"/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</w:pPr>
            <w:proofErr w:type="spellStart"/>
            <w:r w:rsidRPr="004474D6">
              <w:rPr>
                <w:rFonts w:asciiTheme="majorBidi" w:hAnsiTheme="majorBidi" w:cstheme="majorBidi"/>
                <w:i/>
                <w:sz w:val="20"/>
                <w:szCs w:val="20"/>
                <w:lang w:val="de-DE" w:eastAsia="fr-FR"/>
              </w:rPr>
              <w:t>Russian</w:t>
            </w:r>
            <w:proofErr w:type="spellEnd"/>
          </w:p>
        </w:tc>
      </w:tr>
      <w:tr w:rsidR="004474D6" w:rsidRPr="00530E72" w14:paraId="20418F3A" w14:textId="77777777" w:rsidTr="000B588B">
        <w:trPr>
          <w:jc w:val="center"/>
        </w:trPr>
        <w:tc>
          <w:tcPr>
            <w:tcW w:w="21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F991FE6" w14:textId="77777777" w:rsidR="004474D6" w:rsidRPr="004474D6" w:rsidRDefault="004474D6" w:rsidP="004474D6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de-DE" w:eastAsia="nl-NL"/>
              </w:rPr>
            </w:pPr>
            <w:r w:rsidRPr="004474D6">
              <w:rPr>
                <w:rFonts w:asciiTheme="majorBidi" w:hAnsiTheme="majorBidi" w:cstheme="majorBidi"/>
                <w:sz w:val="20"/>
                <w:szCs w:val="20"/>
                <w:lang w:val="de-DE" w:eastAsia="nl-NL"/>
              </w:rPr>
              <w:t>DIESELKRAFTSTOFF entsprechend Norm EN 590:2013 + A1:2017 oder GASÖL oder HEIZÖL, LEICHT mit einem Flammpunkt entsprechend Norm EN 590:2013 + A1:2017</w:t>
            </w:r>
          </w:p>
          <w:p w14:paraId="00697F45" w14:textId="77777777" w:rsidR="004474D6" w:rsidRPr="004474D6" w:rsidRDefault="004474D6" w:rsidP="004474D6">
            <w:pPr>
              <w:widowControl w:val="0"/>
              <w:suppressAutoHyphens w:val="0"/>
              <w:ind w:hanging="6"/>
              <w:textAlignment w:val="baseline"/>
              <w:rPr>
                <w:rFonts w:asciiTheme="majorBidi" w:hAnsiTheme="majorBidi" w:cstheme="majorBidi"/>
                <w:sz w:val="20"/>
                <w:szCs w:val="20"/>
                <w:highlight w:val="yellow"/>
                <w:lang w:val="de-DE" w:eastAsia="fr-FR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441CD5" w14:textId="77777777" w:rsidR="004474D6" w:rsidRPr="00530E72" w:rsidRDefault="004474D6" w:rsidP="004474D6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eastAsia="nl-NL"/>
              </w:rPr>
            </w:pPr>
            <w:r w:rsidRPr="00530E72">
              <w:rPr>
                <w:rFonts w:asciiTheme="majorBidi" w:hAnsiTheme="majorBidi" w:cstheme="majorBidi"/>
                <w:sz w:val="20"/>
                <w:szCs w:val="20"/>
                <w:lang w:eastAsia="nl-NL"/>
              </w:rPr>
              <w:t>CARBURANT DIESEL conforme à la norme EN 590:2013 + A1:2017 ou GAZOLE ou HUILE DE CHAUFFE, LÉGÈRE à point d'éclair défini dans la norme EN 590:2013 + A1:2017</w:t>
            </w:r>
          </w:p>
          <w:p w14:paraId="5212FC02" w14:textId="77777777" w:rsidR="004474D6" w:rsidRPr="00530E72" w:rsidRDefault="004474D6" w:rsidP="004474D6">
            <w:pPr>
              <w:widowControl w:val="0"/>
              <w:suppressAutoHyphens w:val="0"/>
              <w:spacing w:line="220" w:lineRule="exact"/>
              <w:ind w:left="146" w:right="113"/>
              <w:textAlignment w:val="baseline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5ABEC8" w14:textId="77777777" w:rsidR="004474D6" w:rsidRPr="004474D6" w:rsidRDefault="004474D6" w:rsidP="004474D6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en-US" w:eastAsia="nl-NL"/>
              </w:rPr>
            </w:pPr>
            <w:r w:rsidRPr="004474D6"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nl-NL"/>
              </w:rPr>
              <w:t>GAS OIL complying with standard EN 590:2013 + A1:2017 or DIESEL FUEL or HEATING OIL, LIGHT with flash-point as specified in EN 590:2013 + A1:2017</w:t>
            </w:r>
          </w:p>
          <w:p w14:paraId="5D55C144" w14:textId="77777777" w:rsidR="004474D6" w:rsidRPr="004474D6" w:rsidRDefault="004474D6" w:rsidP="004474D6">
            <w:pPr>
              <w:widowControl w:val="0"/>
              <w:suppressAutoHyphens w:val="0"/>
              <w:spacing w:line="220" w:lineRule="exact"/>
              <w:ind w:left="147" w:right="113" w:hanging="1"/>
              <w:textAlignment w:val="baseline"/>
              <w:rPr>
                <w:rFonts w:asciiTheme="majorBidi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2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E439E6" w14:textId="77777777" w:rsidR="004474D6" w:rsidRPr="00530E72" w:rsidRDefault="004474D6" w:rsidP="004474D6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ru-RU" w:eastAsia="nl-NL"/>
              </w:rPr>
            </w:pPr>
            <w:r w:rsidRPr="00530E72">
              <w:rPr>
                <w:rFonts w:asciiTheme="majorBidi" w:hAnsiTheme="majorBidi" w:cstheme="majorBidi"/>
                <w:sz w:val="20"/>
                <w:szCs w:val="20"/>
                <w:lang w:val="ru-RU" w:eastAsia="nl-NL"/>
              </w:rPr>
              <w:t xml:space="preserve">ГАЗОЙЛЬ, соответствующий стандарту </w:t>
            </w:r>
            <w:r w:rsidRPr="004474D6">
              <w:rPr>
                <w:rFonts w:asciiTheme="majorBidi" w:hAnsiTheme="majorBidi" w:cstheme="majorBidi"/>
                <w:sz w:val="20"/>
                <w:szCs w:val="20"/>
                <w:lang w:val="en-GB" w:eastAsia="nl-NL"/>
              </w:rPr>
              <w:t>EN </w:t>
            </w:r>
            <w:r w:rsidRPr="00530E72">
              <w:rPr>
                <w:rFonts w:asciiTheme="majorBidi" w:hAnsiTheme="majorBidi" w:cstheme="majorBidi"/>
                <w:sz w:val="20"/>
                <w:szCs w:val="20"/>
                <w:lang w:val="ru-RU" w:eastAsia="nl-NL"/>
              </w:rPr>
              <w:t xml:space="preserve">590:2013 + </w:t>
            </w:r>
            <w:r w:rsidRPr="004474D6">
              <w:rPr>
                <w:rFonts w:asciiTheme="majorBidi" w:hAnsiTheme="majorBidi" w:cstheme="majorBidi"/>
                <w:sz w:val="20"/>
                <w:szCs w:val="20"/>
                <w:lang w:val="en-GB" w:eastAsia="nl-NL"/>
              </w:rPr>
              <w:t>A</w:t>
            </w:r>
            <w:r w:rsidRPr="00530E72">
              <w:rPr>
                <w:rFonts w:asciiTheme="majorBidi" w:hAnsiTheme="majorBidi" w:cstheme="majorBidi"/>
                <w:sz w:val="20"/>
                <w:szCs w:val="20"/>
                <w:lang w:val="ru-RU" w:eastAsia="nl-NL"/>
              </w:rPr>
              <w:t xml:space="preserve">1:2017, или ТОПЛИВО ДИЗЕЛЬНОЕ или ТОПЛИВО ПЕЧНОЕ ЛЕГКОЕ с температурой вспышки, указанной в стандарте </w:t>
            </w:r>
            <w:r w:rsidRPr="004474D6">
              <w:rPr>
                <w:rFonts w:asciiTheme="majorBidi" w:hAnsiTheme="majorBidi" w:cstheme="majorBidi"/>
                <w:sz w:val="20"/>
                <w:szCs w:val="20"/>
                <w:lang w:val="en-GB" w:eastAsia="nl-NL"/>
              </w:rPr>
              <w:t>EN</w:t>
            </w:r>
            <w:r w:rsidRPr="00530E72">
              <w:rPr>
                <w:rFonts w:asciiTheme="majorBidi" w:hAnsiTheme="majorBidi" w:cstheme="majorBidi"/>
                <w:sz w:val="20"/>
                <w:szCs w:val="20"/>
                <w:lang w:val="ru-RU" w:eastAsia="nl-NL"/>
              </w:rPr>
              <w:t xml:space="preserve"> 590:2013 + </w:t>
            </w:r>
            <w:r w:rsidRPr="004474D6">
              <w:rPr>
                <w:rFonts w:asciiTheme="majorBidi" w:hAnsiTheme="majorBidi" w:cstheme="majorBidi"/>
                <w:sz w:val="20"/>
                <w:szCs w:val="20"/>
                <w:lang w:val="en-GB" w:eastAsia="nl-NL"/>
              </w:rPr>
              <w:t>A</w:t>
            </w:r>
            <w:r w:rsidRPr="00530E72">
              <w:rPr>
                <w:rFonts w:asciiTheme="majorBidi" w:hAnsiTheme="majorBidi" w:cstheme="majorBidi"/>
                <w:sz w:val="20"/>
                <w:szCs w:val="20"/>
                <w:lang w:val="ru-RU" w:eastAsia="nl-NL"/>
              </w:rPr>
              <w:t>1:2017</w:t>
            </w:r>
          </w:p>
          <w:p w14:paraId="778E117B" w14:textId="77777777" w:rsidR="004474D6" w:rsidRPr="00530E72" w:rsidRDefault="004474D6" w:rsidP="004474D6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ru-RU" w:eastAsia="nl-NL"/>
              </w:rPr>
            </w:pPr>
          </w:p>
        </w:tc>
      </w:tr>
    </w:tbl>
    <w:p w14:paraId="4A589F55" w14:textId="028C9F4C" w:rsidR="00377F63" w:rsidRPr="00B64764" w:rsidRDefault="001D00B1" w:rsidP="001D00B1">
      <w:pPr>
        <w:pStyle w:val="HChG"/>
        <w:rPr>
          <w:lang w:val="en-GB"/>
        </w:rPr>
      </w:pPr>
      <w:r w:rsidRPr="00530E72">
        <w:rPr>
          <w:lang w:val="ru-RU"/>
        </w:rPr>
        <w:lastRenderedPageBreak/>
        <w:tab/>
      </w:r>
      <w:r w:rsidRPr="00530E72">
        <w:rPr>
          <w:lang w:val="ru-RU"/>
        </w:rPr>
        <w:tab/>
      </w:r>
      <w:r w:rsidRPr="00B64764">
        <w:rPr>
          <w:lang w:val="en-GB"/>
        </w:rPr>
        <w:t>Proposal</w:t>
      </w:r>
    </w:p>
    <w:p w14:paraId="1102BFD2" w14:textId="77777777" w:rsidR="004A5692" w:rsidRPr="00B64764" w:rsidRDefault="004A5692" w:rsidP="004A5692">
      <w:pPr>
        <w:pStyle w:val="SingleTxtG"/>
        <w:tabs>
          <w:tab w:val="left" w:pos="1560"/>
        </w:tabs>
        <w:ind w:right="521"/>
        <w:rPr>
          <w:b/>
          <w:lang w:val="en-GB"/>
        </w:rPr>
      </w:pPr>
      <w:r w:rsidRPr="00B64764">
        <w:rPr>
          <w:lang w:val="en-GB"/>
        </w:rPr>
        <w:t>4.</w:t>
      </w:r>
      <w:r w:rsidRPr="00B64764">
        <w:rPr>
          <w:lang w:val="en-GB"/>
        </w:rPr>
        <w:tab/>
        <w:t xml:space="preserve">Proposed correction to Column (2) of the second UN 1202 entry in the English language version of Table C. </w:t>
      </w:r>
      <w:r w:rsidRPr="00B64764">
        <w:rPr>
          <w:b/>
          <w:lang w:val="en-GB"/>
        </w:rPr>
        <w:t>(</w:t>
      </w:r>
      <w:r w:rsidRPr="00B64764">
        <w:rPr>
          <w:bCs/>
          <w:strike/>
          <w:lang w:val="en-GB"/>
        </w:rPr>
        <w:t>Deletions</w:t>
      </w:r>
      <w:r w:rsidRPr="00B64764">
        <w:rPr>
          <w:bCs/>
          <w:lang w:val="en-GB"/>
        </w:rPr>
        <w:t xml:space="preserve"> are stricken through,</w:t>
      </w:r>
      <w:r w:rsidRPr="00B64764">
        <w:rPr>
          <w:b/>
          <w:lang w:val="en-GB"/>
        </w:rPr>
        <w:t xml:space="preserve"> </w:t>
      </w:r>
      <w:r w:rsidRPr="00B64764">
        <w:rPr>
          <w:b/>
          <w:u w:val="single"/>
          <w:lang w:val="en-GB"/>
        </w:rPr>
        <w:t>additions</w:t>
      </w:r>
      <w:r w:rsidRPr="00B64764">
        <w:rPr>
          <w:b/>
          <w:lang w:val="en-GB"/>
        </w:rPr>
        <w:t xml:space="preserve"> </w:t>
      </w:r>
      <w:r w:rsidRPr="00B64764">
        <w:rPr>
          <w:bCs/>
          <w:lang w:val="en-GB"/>
        </w:rPr>
        <w:t>in bold and underlined</w:t>
      </w:r>
      <w:r w:rsidRPr="00B64764">
        <w:rPr>
          <w:b/>
          <w:lang w:val="en-GB"/>
        </w:rPr>
        <w:t xml:space="preserve">): </w:t>
      </w:r>
    </w:p>
    <w:p w14:paraId="201735CE" w14:textId="77777777" w:rsidR="004A5692" w:rsidRPr="00B64764" w:rsidRDefault="004A5692" w:rsidP="00DD2092">
      <w:pPr>
        <w:pStyle w:val="SingleTxtG"/>
        <w:rPr>
          <w:i/>
          <w:iCs/>
          <w:lang w:val="en-GB"/>
        </w:rPr>
      </w:pPr>
      <w:r w:rsidRPr="00B64764">
        <w:rPr>
          <w:i/>
          <w:iCs/>
          <w:strike/>
          <w:lang w:val="en-GB"/>
        </w:rPr>
        <w:t>GAS OIL</w:t>
      </w:r>
      <w:r w:rsidRPr="00B64764">
        <w:rPr>
          <w:i/>
          <w:iCs/>
          <w:lang w:val="en-GB"/>
        </w:rPr>
        <w:t xml:space="preserve"> </w:t>
      </w:r>
      <w:r w:rsidRPr="00B64764">
        <w:rPr>
          <w:b/>
          <w:bCs/>
          <w:i/>
          <w:iCs/>
          <w:lang w:val="en-GB"/>
        </w:rPr>
        <w:t>DIESEL FUEL</w:t>
      </w:r>
      <w:r w:rsidRPr="00B64764">
        <w:rPr>
          <w:i/>
          <w:iCs/>
          <w:lang w:val="en-GB"/>
        </w:rPr>
        <w:t xml:space="preserve"> complying with standard EN 590:2013 + A1:2017 or </w:t>
      </w:r>
      <w:r w:rsidRPr="00B64764">
        <w:rPr>
          <w:i/>
          <w:iCs/>
          <w:strike/>
          <w:lang w:val="en-GB"/>
        </w:rPr>
        <w:t>DIESEL FUEL</w:t>
      </w:r>
      <w:r w:rsidRPr="00B64764">
        <w:rPr>
          <w:i/>
          <w:iCs/>
          <w:lang w:val="en-GB"/>
        </w:rPr>
        <w:t xml:space="preserve"> </w:t>
      </w:r>
      <w:r w:rsidRPr="00B64764">
        <w:rPr>
          <w:b/>
          <w:bCs/>
          <w:i/>
          <w:iCs/>
          <w:lang w:val="en-GB"/>
        </w:rPr>
        <w:t>GAS OIL</w:t>
      </w:r>
      <w:r w:rsidRPr="00B64764">
        <w:rPr>
          <w:i/>
          <w:iCs/>
          <w:lang w:val="en-GB"/>
        </w:rPr>
        <w:t xml:space="preserve"> or HEATING OIL, LIGHT with flash-point as specified in EN 590:2013 + A1:2017</w:t>
      </w:r>
    </w:p>
    <w:p w14:paraId="6A3A5CB3" w14:textId="77777777" w:rsidR="004A5692" w:rsidRPr="00B64764" w:rsidRDefault="004A5692" w:rsidP="00DD2092">
      <w:pPr>
        <w:pStyle w:val="SingleTxtG"/>
        <w:rPr>
          <w:lang w:val="en-GB"/>
        </w:rPr>
      </w:pPr>
      <w:r w:rsidRPr="00B64764">
        <w:rPr>
          <w:bCs/>
          <w:lang w:val="en-GB"/>
        </w:rPr>
        <w:t xml:space="preserve">5. </w:t>
      </w:r>
      <w:r w:rsidRPr="00B64764">
        <w:rPr>
          <w:bCs/>
          <w:lang w:val="en-GB"/>
        </w:rPr>
        <w:tab/>
      </w:r>
      <w:r w:rsidRPr="00B64764">
        <w:rPr>
          <w:lang w:val="en-GB"/>
        </w:rPr>
        <w:t>Proposed correction to Column (2) of the second UN 1202 entry in the Russian language version of Table C:</w:t>
      </w:r>
    </w:p>
    <w:p w14:paraId="007010B5" w14:textId="77777777" w:rsidR="004A5692" w:rsidRPr="00530E72" w:rsidRDefault="004A5692" w:rsidP="004A5692">
      <w:pPr>
        <w:pStyle w:val="SingleTxtG"/>
        <w:rPr>
          <w:i/>
          <w:iCs/>
          <w:lang w:val="ru-RU"/>
        </w:rPr>
      </w:pPr>
      <w:r w:rsidRPr="00530E72">
        <w:rPr>
          <w:i/>
          <w:iCs/>
          <w:strike/>
          <w:lang w:val="ru-RU"/>
        </w:rPr>
        <w:t>ГАЗОЙЛЬ</w:t>
      </w:r>
      <w:r w:rsidRPr="00530E72">
        <w:rPr>
          <w:i/>
          <w:iCs/>
          <w:lang w:val="ru-RU"/>
        </w:rPr>
        <w:t xml:space="preserve"> </w:t>
      </w:r>
      <w:r w:rsidRPr="00530E72">
        <w:rPr>
          <w:b/>
          <w:bCs/>
          <w:i/>
          <w:iCs/>
          <w:lang w:val="ru-RU"/>
        </w:rPr>
        <w:t>ТОПЛИВО ДИЗЕЛЬНОЕ</w:t>
      </w:r>
      <w:r w:rsidRPr="00530E72">
        <w:rPr>
          <w:i/>
          <w:iCs/>
          <w:lang w:val="ru-RU"/>
        </w:rPr>
        <w:t xml:space="preserve">, соответствующий стандарту </w:t>
      </w:r>
      <w:r w:rsidRPr="00B64764">
        <w:rPr>
          <w:i/>
          <w:iCs/>
          <w:lang w:val="en-GB"/>
        </w:rPr>
        <w:t>EN </w:t>
      </w:r>
      <w:r w:rsidRPr="00530E72">
        <w:rPr>
          <w:i/>
          <w:iCs/>
          <w:lang w:val="ru-RU"/>
        </w:rPr>
        <w:t xml:space="preserve">590:2013 + </w:t>
      </w:r>
      <w:r w:rsidRPr="00B64764">
        <w:rPr>
          <w:i/>
          <w:iCs/>
          <w:lang w:val="en-GB"/>
        </w:rPr>
        <w:t>A</w:t>
      </w:r>
      <w:r w:rsidRPr="00530E72">
        <w:rPr>
          <w:i/>
          <w:iCs/>
          <w:lang w:val="ru-RU"/>
        </w:rPr>
        <w:t xml:space="preserve">1:2017, или </w:t>
      </w:r>
      <w:r w:rsidRPr="00530E72">
        <w:rPr>
          <w:i/>
          <w:iCs/>
          <w:strike/>
          <w:lang w:val="ru-RU"/>
        </w:rPr>
        <w:t>ТОПЛИВО ДИЗЕЛЬНОЕ</w:t>
      </w:r>
      <w:r w:rsidRPr="00530E72">
        <w:rPr>
          <w:i/>
          <w:iCs/>
          <w:lang w:val="ru-RU"/>
        </w:rPr>
        <w:t xml:space="preserve"> </w:t>
      </w:r>
      <w:r w:rsidRPr="00530E72">
        <w:rPr>
          <w:b/>
          <w:bCs/>
          <w:i/>
          <w:iCs/>
          <w:lang w:val="ru-RU"/>
        </w:rPr>
        <w:t>ГАЗОЙЛЬ</w:t>
      </w:r>
      <w:r w:rsidRPr="00530E72">
        <w:rPr>
          <w:i/>
          <w:iCs/>
          <w:lang w:val="ru-RU"/>
        </w:rPr>
        <w:t xml:space="preserve"> или ТОПЛИВО ПЕЧНОЕ ЛЕГКОЕ с температурой вспышки, указанной в стандарте </w:t>
      </w:r>
      <w:r w:rsidRPr="00B64764">
        <w:rPr>
          <w:i/>
          <w:iCs/>
          <w:lang w:val="en-GB"/>
        </w:rPr>
        <w:t>EN</w:t>
      </w:r>
      <w:r w:rsidRPr="00530E72">
        <w:rPr>
          <w:i/>
          <w:iCs/>
          <w:lang w:val="ru-RU"/>
        </w:rPr>
        <w:t xml:space="preserve"> 590:2013 + </w:t>
      </w:r>
      <w:r w:rsidRPr="00B64764">
        <w:rPr>
          <w:i/>
          <w:iCs/>
          <w:lang w:val="en-GB"/>
        </w:rPr>
        <w:t>A</w:t>
      </w:r>
      <w:r w:rsidRPr="00530E72">
        <w:rPr>
          <w:i/>
          <w:iCs/>
          <w:lang w:val="ru-RU"/>
        </w:rPr>
        <w:t>1:2017</w:t>
      </w:r>
    </w:p>
    <w:p w14:paraId="663DB223" w14:textId="3FD6AC2A" w:rsidR="004A5692" w:rsidRPr="00B64764" w:rsidRDefault="00F52488" w:rsidP="00F52488">
      <w:pPr>
        <w:pStyle w:val="HChG"/>
        <w:rPr>
          <w:lang w:val="en-GB"/>
        </w:rPr>
      </w:pPr>
      <w:r w:rsidRPr="00530E72">
        <w:rPr>
          <w:lang w:val="ru-RU"/>
        </w:rPr>
        <w:tab/>
      </w:r>
      <w:r w:rsidRPr="00530E72">
        <w:rPr>
          <w:lang w:val="ru-RU"/>
        </w:rPr>
        <w:tab/>
      </w:r>
      <w:r w:rsidRPr="00B64764">
        <w:rPr>
          <w:lang w:val="en-GB"/>
        </w:rPr>
        <w:t>Actions to be taken</w:t>
      </w:r>
    </w:p>
    <w:p w14:paraId="03EC8702" w14:textId="753CF6F6" w:rsidR="004474D6" w:rsidRPr="00B64764" w:rsidRDefault="00EC4BC5" w:rsidP="00377F63">
      <w:pPr>
        <w:pStyle w:val="SingleTxtG"/>
        <w:rPr>
          <w:lang w:val="en-GB"/>
        </w:rPr>
      </w:pPr>
      <w:r w:rsidRPr="00B64764">
        <w:rPr>
          <w:lang w:val="en-GB"/>
        </w:rPr>
        <w:t>6.</w:t>
      </w:r>
      <w:r w:rsidRPr="00B64764">
        <w:rPr>
          <w:lang w:val="en-GB"/>
        </w:rPr>
        <w:tab/>
      </w:r>
      <w:proofErr w:type="spellStart"/>
      <w:r w:rsidRPr="00B64764">
        <w:rPr>
          <w:lang w:val="en-GB"/>
        </w:rPr>
        <w:t>FuelsEurope</w:t>
      </w:r>
      <w:proofErr w:type="spellEnd"/>
      <w:r w:rsidRPr="00B64764">
        <w:rPr>
          <w:lang w:val="en-GB"/>
        </w:rPr>
        <w:t xml:space="preserve"> invites the Safety Committee to take note of the discrepancies as referred to above and to assess if the proposed corrections can be implemented in ADN 2023. </w:t>
      </w:r>
    </w:p>
    <w:p w14:paraId="2EE46C68" w14:textId="1AD24888" w:rsidR="00133F18" w:rsidRPr="0006065E" w:rsidRDefault="0006065E" w:rsidP="0006065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33F18" w:rsidRPr="0006065E" w:rsidSect="00847B7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DB33" w14:textId="77777777" w:rsidR="00287D80" w:rsidRDefault="00287D80"/>
  </w:endnote>
  <w:endnote w:type="continuationSeparator" w:id="0">
    <w:p w14:paraId="2B04A81F" w14:textId="77777777" w:rsidR="00287D80" w:rsidRDefault="00287D80"/>
  </w:endnote>
  <w:endnote w:type="continuationNotice" w:id="1">
    <w:p w14:paraId="14EAC52B" w14:textId="77777777" w:rsidR="00287D80" w:rsidRPr="00BF38EF" w:rsidRDefault="00287D80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-13757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E597" w14:textId="5FF0A356" w:rsidR="00856CB1" w:rsidRPr="0006065E" w:rsidRDefault="0006065E" w:rsidP="0006065E">
        <w:pPr>
          <w:pStyle w:val="Footer"/>
          <w:rPr>
            <w:b/>
            <w:bCs/>
            <w:sz w:val="18"/>
            <w:szCs w:val="22"/>
          </w:rPr>
        </w:pPr>
        <w:r w:rsidRPr="0006065E">
          <w:rPr>
            <w:b/>
            <w:bCs/>
            <w:sz w:val="18"/>
            <w:szCs w:val="22"/>
          </w:rPr>
          <w:fldChar w:fldCharType="begin"/>
        </w:r>
        <w:r w:rsidRPr="0006065E">
          <w:rPr>
            <w:b/>
            <w:bCs/>
            <w:sz w:val="18"/>
            <w:szCs w:val="22"/>
          </w:rPr>
          <w:instrText xml:space="preserve"> PAGE   \* MERGEFORMAT </w:instrText>
        </w:r>
        <w:r w:rsidRPr="0006065E">
          <w:rPr>
            <w:b/>
            <w:bCs/>
            <w:sz w:val="18"/>
            <w:szCs w:val="22"/>
          </w:rPr>
          <w:fldChar w:fldCharType="separate"/>
        </w:r>
        <w:r w:rsidRPr="0006065E">
          <w:rPr>
            <w:b/>
            <w:bCs/>
            <w:noProof/>
            <w:sz w:val="18"/>
            <w:szCs w:val="22"/>
          </w:rPr>
          <w:t>2</w:t>
        </w:r>
        <w:r w:rsidRPr="0006065E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B90" w14:textId="04096EC4" w:rsidR="00856CB1" w:rsidRPr="00CD4281" w:rsidRDefault="00856CB1" w:rsidP="0010075B">
    <w:pPr>
      <w:pStyle w:val="Footer"/>
      <w:jc w:val="right"/>
      <w:rPr>
        <w:b/>
        <w:sz w:val="18"/>
      </w:rPr>
    </w:pPr>
    <w:r>
      <w:tab/>
    </w:r>
    <w:bookmarkStart w:id="1" w:name="_Hlk4676487"/>
    <w:bookmarkStart w:id="2" w:name="_Hlk4676488"/>
    <w:proofErr w:type="spellStart"/>
    <w:r w:rsidR="0010075B" w:rsidRPr="0010075B">
      <w:rPr>
        <w:rFonts w:ascii="Arial" w:hAnsi="Arial"/>
        <w:sz w:val="12"/>
        <w:szCs w:val="24"/>
        <w:lang w:val="fr-FR" w:eastAsia="fr-FR"/>
      </w:rPr>
      <w:t>lk</w:t>
    </w:r>
    <w:proofErr w:type="spellEnd"/>
    <w:r w:rsidR="0010075B" w:rsidRPr="0010075B">
      <w:rPr>
        <w:rFonts w:ascii="Arial" w:hAnsi="Arial"/>
        <w:sz w:val="12"/>
        <w:szCs w:val="24"/>
        <w:lang w:val="fr-FR" w:eastAsia="fr-FR"/>
      </w:rPr>
      <w:t>/adn_wp15_ac2_2021_</w:t>
    </w:r>
    <w:r w:rsidR="0010075B">
      <w:rPr>
        <w:rFonts w:ascii="Arial" w:hAnsi="Arial"/>
        <w:sz w:val="12"/>
        <w:szCs w:val="24"/>
        <w:lang w:val="fr-FR" w:eastAsia="fr-FR"/>
      </w:rPr>
      <w:t>UU</w:t>
    </w:r>
    <w:r w:rsidR="0010075B" w:rsidRPr="0010075B">
      <w:rPr>
        <w:rFonts w:ascii="Arial" w:hAnsi="Arial"/>
        <w:sz w:val="12"/>
        <w:szCs w:val="24"/>
        <w:lang w:val="fr-FR" w:eastAsia="fr-FR"/>
      </w:rPr>
      <w:t>en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8BEA" w14:textId="77777777" w:rsidR="00287D80" w:rsidRPr="00D27D5E" w:rsidRDefault="00287D8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73E330" w14:textId="77777777" w:rsidR="00287D80" w:rsidRPr="00836A24" w:rsidRDefault="00287D80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5D24BB08" w14:textId="77777777" w:rsidR="00287D80" w:rsidRPr="00BF38EF" w:rsidRDefault="00287D80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71C" w14:textId="3E109CFE" w:rsidR="00856CB1" w:rsidRPr="0006065E" w:rsidRDefault="0006065E" w:rsidP="0006065E">
    <w:pPr>
      <w:pBdr>
        <w:bottom w:val="single" w:sz="4" w:space="1" w:color="auto"/>
      </w:pBdr>
      <w:spacing w:line="240" w:lineRule="auto"/>
      <w:rPr>
        <w:b/>
        <w:bCs/>
        <w:sz w:val="22"/>
        <w:szCs w:val="22"/>
      </w:rPr>
    </w:pPr>
    <w:r w:rsidRPr="0006065E">
      <w:rPr>
        <w:b/>
        <w:bCs/>
        <w:snapToGrid w:val="0"/>
        <w:sz w:val="18"/>
        <w:szCs w:val="18"/>
        <w:lang w:val="nl-NL" w:eastAsia="fr-FR"/>
      </w:rPr>
      <w:t>INF.</w:t>
    </w:r>
    <w:r w:rsidR="009C5466">
      <w:rPr>
        <w:b/>
        <w:bCs/>
        <w:snapToGrid w:val="0"/>
        <w:sz w:val="18"/>
        <w:szCs w:val="18"/>
        <w:lang w:val="nl-NL" w:eastAsia="fr-FR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8382" w14:textId="77777777" w:rsidR="00E0333C" w:rsidRPr="00E0333C" w:rsidRDefault="00E0333C" w:rsidP="00E0333C">
    <w:pPr>
      <w:spacing w:line="240" w:lineRule="auto"/>
      <w:jc w:val="right"/>
      <w:rPr>
        <w:rFonts w:ascii="Arial" w:hAnsi="Arial"/>
        <w:snapToGrid w:val="0"/>
        <w:sz w:val="16"/>
        <w:szCs w:val="16"/>
        <w:lang w:val="nl-NL" w:eastAsia="fr-FR"/>
      </w:rPr>
    </w:pPr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CCNR-ZKR/ADN/WP.15/AC.2/2021/U</w:t>
    </w:r>
    <w:r>
      <w:rPr>
        <w:rFonts w:ascii="Arial" w:hAnsi="Arial"/>
        <w:snapToGrid w:val="0"/>
        <w:sz w:val="16"/>
        <w:szCs w:val="16"/>
        <w:lang w:val="nl-NL" w:eastAsia="fr-FR"/>
      </w:rPr>
      <w:t>U</w:t>
    </w:r>
  </w:p>
  <w:p w14:paraId="046F8048" w14:textId="012FB350" w:rsidR="00856CB1" w:rsidRPr="00E0333C" w:rsidRDefault="00E0333C" w:rsidP="00E0333C">
    <w:pPr>
      <w:spacing w:line="240" w:lineRule="auto"/>
      <w:jc w:val="right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E2B"/>
    <w:multiLevelType w:val="hybridMultilevel"/>
    <w:tmpl w:val="6E2C111C"/>
    <w:lvl w:ilvl="0" w:tplc="C6B6C36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8265FC7"/>
    <w:multiLevelType w:val="hybridMultilevel"/>
    <w:tmpl w:val="2CA4E25E"/>
    <w:lvl w:ilvl="0" w:tplc="EEA6DC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5A68D2"/>
    <w:multiLevelType w:val="hybridMultilevel"/>
    <w:tmpl w:val="27066446"/>
    <w:lvl w:ilvl="0" w:tplc="372052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activeWritingStyle w:appName="MSWord" w:lang="ru-RU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1375B"/>
    <w:rsid w:val="00016AC5"/>
    <w:rsid w:val="000209E0"/>
    <w:rsid w:val="0003028E"/>
    <w:rsid w:val="00030ADE"/>
    <w:rsid w:val="0003117A"/>
    <w:rsid w:val="000312C0"/>
    <w:rsid w:val="0005169F"/>
    <w:rsid w:val="00053A02"/>
    <w:rsid w:val="0006065E"/>
    <w:rsid w:val="000712E5"/>
    <w:rsid w:val="00071F0C"/>
    <w:rsid w:val="00083A44"/>
    <w:rsid w:val="000855A9"/>
    <w:rsid w:val="00096A57"/>
    <w:rsid w:val="000A452E"/>
    <w:rsid w:val="000B0D4D"/>
    <w:rsid w:val="000C062E"/>
    <w:rsid w:val="000C62AB"/>
    <w:rsid w:val="000D65BC"/>
    <w:rsid w:val="000D7455"/>
    <w:rsid w:val="000E011D"/>
    <w:rsid w:val="000E6955"/>
    <w:rsid w:val="000F1640"/>
    <w:rsid w:val="000F2C8C"/>
    <w:rsid w:val="000F41F2"/>
    <w:rsid w:val="000F7D57"/>
    <w:rsid w:val="0010075B"/>
    <w:rsid w:val="0010156A"/>
    <w:rsid w:val="0011370D"/>
    <w:rsid w:val="00122A8F"/>
    <w:rsid w:val="00133F18"/>
    <w:rsid w:val="00135C0D"/>
    <w:rsid w:val="00135F2D"/>
    <w:rsid w:val="00154972"/>
    <w:rsid w:val="00160540"/>
    <w:rsid w:val="00163C17"/>
    <w:rsid w:val="0017182C"/>
    <w:rsid w:val="00171939"/>
    <w:rsid w:val="00171DAC"/>
    <w:rsid w:val="00175156"/>
    <w:rsid w:val="001763A8"/>
    <w:rsid w:val="00177007"/>
    <w:rsid w:val="00186EE9"/>
    <w:rsid w:val="00192EEB"/>
    <w:rsid w:val="001947FF"/>
    <w:rsid w:val="001A20FB"/>
    <w:rsid w:val="001A2BD6"/>
    <w:rsid w:val="001A6D1C"/>
    <w:rsid w:val="001B0BE2"/>
    <w:rsid w:val="001B6F40"/>
    <w:rsid w:val="001C61AA"/>
    <w:rsid w:val="001D00B1"/>
    <w:rsid w:val="001D7348"/>
    <w:rsid w:val="001D7F5C"/>
    <w:rsid w:val="001D7F8A"/>
    <w:rsid w:val="001E2C5A"/>
    <w:rsid w:val="001E3FEB"/>
    <w:rsid w:val="001E4A02"/>
    <w:rsid w:val="001E7F36"/>
    <w:rsid w:val="00200C9C"/>
    <w:rsid w:val="00203D93"/>
    <w:rsid w:val="00215AA3"/>
    <w:rsid w:val="002167A2"/>
    <w:rsid w:val="00223B89"/>
    <w:rsid w:val="00225A8C"/>
    <w:rsid w:val="00225F10"/>
    <w:rsid w:val="00230A77"/>
    <w:rsid w:val="00234077"/>
    <w:rsid w:val="00234522"/>
    <w:rsid w:val="00234E40"/>
    <w:rsid w:val="00257DF4"/>
    <w:rsid w:val="0026089A"/>
    <w:rsid w:val="00260EA1"/>
    <w:rsid w:val="002659F1"/>
    <w:rsid w:val="00271AAD"/>
    <w:rsid w:val="00271C7C"/>
    <w:rsid w:val="00281A91"/>
    <w:rsid w:val="00281D82"/>
    <w:rsid w:val="00283061"/>
    <w:rsid w:val="00287D80"/>
    <w:rsid w:val="00287E79"/>
    <w:rsid w:val="002928F9"/>
    <w:rsid w:val="00295BC5"/>
    <w:rsid w:val="002A5D07"/>
    <w:rsid w:val="002B0C85"/>
    <w:rsid w:val="002B159A"/>
    <w:rsid w:val="002C4195"/>
    <w:rsid w:val="002D43A7"/>
    <w:rsid w:val="002D7669"/>
    <w:rsid w:val="002E112A"/>
    <w:rsid w:val="002E1BB8"/>
    <w:rsid w:val="002E457A"/>
    <w:rsid w:val="002E6F0D"/>
    <w:rsid w:val="002F6E51"/>
    <w:rsid w:val="002F7AEC"/>
    <w:rsid w:val="003016B7"/>
    <w:rsid w:val="003025A5"/>
    <w:rsid w:val="00312E97"/>
    <w:rsid w:val="00320826"/>
    <w:rsid w:val="00330F9C"/>
    <w:rsid w:val="00332BC9"/>
    <w:rsid w:val="00335DC4"/>
    <w:rsid w:val="003402B7"/>
    <w:rsid w:val="00340C35"/>
    <w:rsid w:val="00343C15"/>
    <w:rsid w:val="003515AA"/>
    <w:rsid w:val="00353459"/>
    <w:rsid w:val="00361750"/>
    <w:rsid w:val="0036460E"/>
    <w:rsid w:val="00370E0F"/>
    <w:rsid w:val="00374106"/>
    <w:rsid w:val="00375417"/>
    <w:rsid w:val="003778FF"/>
    <w:rsid w:val="00377F63"/>
    <w:rsid w:val="003863CE"/>
    <w:rsid w:val="00386516"/>
    <w:rsid w:val="003976D5"/>
    <w:rsid w:val="003A2189"/>
    <w:rsid w:val="003A2976"/>
    <w:rsid w:val="003B23CA"/>
    <w:rsid w:val="003C0CD5"/>
    <w:rsid w:val="003C302E"/>
    <w:rsid w:val="003C3BD4"/>
    <w:rsid w:val="003C46E5"/>
    <w:rsid w:val="003D1DF3"/>
    <w:rsid w:val="003D46A7"/>
    <w:rsid w:val="003D5FF8"/>
    <w:rsid w:val="003D6C68"/>
    <w:rsid w:val="003D7541"/>
    <w:rsid w:val="003E350F"/>
    <w:rsid w:val="003E5551"/>
    <w:rsid w:val="003E6B88"/>
    <w:rsid w:val="003F3DA4"/>
    <w:rsid w:val="0040179B"/>
    <w:rsid w:val="00410D6C"/>
    <w:rsid w:val="00412D29"/>
    <w:rsid w:val="004159D0"/>
    <w:rsid w:val="0042057A"/>
    <w:rsid w:val="00422861"/>
    <w:rsid w:val="004249E7"/>
    <w:rsid w:val="00424F7B"/>
    <w:rsid w:val="00442D65"/>
    <w:rsid w:val="004454FA"/>
    <w:rsid w:val="004474D6"/>
    <w:rsid w:val="00447B86"/>
    <w:rsid w:val="004532CE"/>
    <w:rsid w:val="004812F5"/>
    <w:rsid w:val="00487E4A"/>
    <w:rsid w:val="00493C5D"/>
    <w:rsid w:val="00493EF7"/>
    <w:rsid w:val="004964F5"/>
    <w:rsid w:val="004A5692"/>
    <w:rsid w:val="004A5935"/>
    <w:rsid w:val="004B6380"/>
    <w:rsid w:val="004B638D"/>
    <w:rsid w:val="004D0439"/>
    <w:rsid w:val="004D175C"/>
    <w:rsid w:val="004D2EFE"/>
    <w:rsid w:val="004D7396"/>
    <w:rsid w:val="004E670C"/>
    <w:rsid w:val="004E7E72"/>
    <w:rsid w:val="004F706C"/>
    <w:rsid w:val="005275BD"/>
    <w:rsid w:val="00530E72"/>
    <w:rsid w:val="00530F2E"/>
    <w:rsid w:val="0053335B"/>
    <w:rsid w:val="00540079"/>
    <w:rsid w:val="00542086"/>
    <w:rsid w:val="00543D5E"/>
    <w:rsid w:val="00550035"/>
    <w:rsid w:val="00564105"/>
    <w:rsid w:val="00571F41"/>
    <w:rsid w:val="005751C6"/>
    <w:rsid w:val="00580744"/>
    <w:rsid w:val="00581796"/>
    <w:rsid w:val="00583A52"/>
    <w:rsid w:val="0058413F"/>
    <w:rsid w:val="00595BE4"/>
    <w:rsid w:val="00597FD5"/>
    <w:rsid w:val="005A3C22"/>
    <w:rsid w:val="005B76A3"/>
    <w:rsid w:val="005B7F3F"/>
    <w:rsid w:val="005C2DD1"/>
    <w:rsid w:val="005C6D4D"/>
    <w:rsid w:val="005E5D1F"/>
    <w:rsid w:val="00603391"/>
    <w:rsid w:val="00610268"/>
    <w:rsid w:val="00611D43"/>
    <w:rsid w:val="00611DE5"/>
    <w:rsid w:val="00612D48"/>
    <w:rsid w:val="0061502A"/>
    <w:rsid w:val="00616B45"/>
    <w:rsid w:val="00625A6D"/>
    <w:rsid w:val="00630D9B"/>
    <w:rsid w:val="00631953"/>
    <w:rsid w:val="0063383D"/>
    <w:rsid w:val="00642450"/>
    <w:rsid w:val="006439EC"/>
    <w:rsid w:val="00646CBB"/>
    <w:rsid w:val="00653D13"/>
    <w:rsid w:val="00664322"/>
    <w:rsid w:val="006644B5"/>
    <w:rsid w:val="006707FC"/>
    <w:rsid w:val="00673687"/>
    <w:rsid w:val="0067639F"/>
    <w:rsid w:val="0068004D"/>
    <w:rsid w:val="006823B6"/>
    <w:rsid w:val="00686C3B"/>
    <w:rsid w:val="0069031B"/>
    <w:rsid w:val="00693CCE"/>
    <w:rsid w:val="006B10EB"/>
    <w:rsid w:val="006B4590"/>
    <w:rsid w:val="006B573D"/>
    <w:rsid w:val="006C1F26"/>
    <w:rsid w:val="006C2D04"/>
    <w:rsid w:val="006C340C"/>
    <w:rsid w:val="006D2B82"/>
    <w:rsid w:val="006D3C84"/>
    <w:rsid w:val="006E027A"/>
    <w:rsid w:val="006E5B67"/>
    <w:rsid w:val="006E5FC7"/>
    <w:rsid w:val="0070347C"/>
    <w:rsid w:val="00703489"/>
    <w:rsid w:val="0071135F"/>
    <w:rsid w:val="0071258F"/>
    <w:rsid w:val="007135ED"/>
    <w:rsid w:val="007176C1"/>
    <w:rsid w:val="00723FD7"/>
    <w:rsid w:val="00735A79"/>
    <w:rsid w:val="00757D0A"/>
    <w:rsid w:val="007631C0"/>
    <w:rsid w:val="00763EB9"/>
    <w:rsid w:val="00775AED"/>
    <w:rsid w:val="00790336"/>
    <w:rsid w:val="00790F2F"/>
    <w:rsid w:val="00792096"/>
    <w:rsid w:val="007B1BC8"/>
    <w:rsid w:val="007C3C4F"/>
    <w:rsid w:val="007C6111"/>
    <w:rsid w:val="007C7D1A"/>
    <w:rsid w:val="007D1648"/>
    <w:rsid w:val="007E579B"/>
    <w:rsid w:val="007F36DA"/>
    <w:rsid w:val="007F55CB"/>
    <w:rsid w:val="00802B5E"/>
    <w:rsid w:val="00803EA3"/>
    <w:rsid w:val="00805BAD"/>
    <w:rsid w:val="00805C71"/>
    <w:rsid w:val="008100E5"/>
    <w:rsid w:val="0081015B"/>
    <w:rsid w:val="00812C1A"/>
    <w:rsid w:val="00825170"/>
    <w:rsid w:val="008317F6"/>
    <w:rsid w:val="00832A66"/>
    <w:rsid w:val="008349D2"/>
    <w:rsid w:val="00836A24"/>
    <w:rsid w:val="0083728C"/>
    <w:rsid w:val="00837DB2"/>
    <w:rsid w:val="008440B8"/>
    <w:rsid w:val="00844750"/>
    <w:rsid w:val="00844C6E"/>
    <w:rsid w:val="00845D0C"/>
    <w:rsid w:val="00847B77"/>
    <w:rsid w:val="00856CB1"/>
    <w:rsid w:val="00871657"/>
    <w:rsid w:val="0089634E"/>
    <w:rsid w:val="008A3A42"/>
    <w:rsid w:val="008A5122"/>
    <w:rsid w:val="008B44C4"/>
    <w:rsid w:val="008B7879"/>
    <w:rsid w:val="008C5FAD"/>
    <w:rsid w:val="008D0611"/>
    <w:rsid w:val="008D3919"/>
    <w:rsid w:val="008E5532"/>
    <w:rsid w:val="008E7FAE"/>
    <w:rsid w:val="008F0407"/>
    <w:rsid w:val="008F269E"/>
    <w:rsid w:val="008F31F2"/>
    <w:rsid w:val="008F40D2"/>
    <w:rsid w:val="008F77B8"/>
    <w:rsid w:val="0090000B"/>
    <w:rsid w:val="009064BF"/>
    <w:rsid w:val="00911BF7"/>
    <w:rsid w:val="00916183"/>
    <w:rsid w:val="00926D8D"/>
    <w:rsid w:val="00930B12"/>
    <w:rsid w:val="00932122"/>
    <w:rsid w:val="00935E45"/>
    <w:rsid w:val="00936A78"/>
    <w:rsid w:val="00950A04"/>
    <w:rsid w:val="00952FDB"/>
    <w:rsid w:val="00974DF0"/>
    <w:rsid w:val="00975B8F"/>
    <w:rsid w:val="009761FC"/>
    <w:rsid w:val="00977EC8"/>
    <w:rsid w:val="00983D68"/>
    <w:rsid w:val="00992CF8"/>
    <w:rsid w:val="00995D62"/>
    <w:rsid w:val="009A418F"/>
    <w:rsid w:val="009B18A3"/>
    <w:rsid w:val="009C190E"/>
    <w:rsid w:val="009C5466"/>
    <w:rsid w:val="009C5907"/>
    <w:rsid w:val="009C7D40"/>
    <w:rsid w:val="009D3A8C"/>
    <w:rsid w:val="009D5378"/>
    <w:rsid w:val="009D5939"/>
    <w:rsid w:val="009E01B8"/>
    <w:rsid w:val="009E2194"/>
    <w:rsid w:val="009E6408"/>
    <w:rsid w:val="009E7956"/>
    <w:rsid w:val="009F0A5D"/>
    <w:rsid w:val="009F5470"/>
    <w:rsid w:val="00A025E4"/>
    <w:rsid w:val="00A07781"/>
    <w:rsid w:val="00A2161E"/>
    <w:rsid w:val="00A2492E"/>
    <w:rsid w:val="00A337C4"/>
    <w:rsid w:val="00A44895"/>
    <w:rsid w:val="00A44C79"/>
    <w:rsid w:val="00A46CE0"/>
    <w:rsid w:val="00A54031"/>
    <w:rsid w:val="00A66688"/>
    <w:rsid w:val="00A666CE"/>
    <w:rsid w:val="00A669C6"/>
    <w:rsid w:val="00A67799"/>
    <w:rsid w:val="00A70163"/>
    <w:rsid w:val="00A70FEA"/>
    <w:rsid w:val="00A76880"/>
    <w:rsid w:val="00A8183E"/>
    <w:rsid w:val="00AA237C"/>
    <w:rsid w:val="00AA7451"/>
    <w:rsid w:val="00AB0CE3"/>
    <w:rsid w:val="00AB36B9"/>
    <w:rsid w:val="00AB3EF4"/>
    <w:rsid w:val="00AB4BBC"/>
    <w:rsid w:val="00AC67A1"/>
    <w:rsid w:val="00AC7977"/>
    <w:rsid w:val="00AC79BD"/>
    <w:rsid w:val="00AD15AE"/>
    <w:rsid w:val="00AD27FA"/>
    <w:rsid w:val="00AE352C"/>
    <w:rsid w:val="00AE5075"/>
    <w:rsid w:val="00AF02DF"/>
    <w:rsid w:val="00B149B3"/>
    <w:rsid w:val="00B30B23"/>
    <w:rsid w:val="00B30B72"/>
    <w:rsid w:val="00B32E2D"/>
    <w:rsid w:val="00B3516B"/>
    <w:rsid w:val="00B40B13"/>
    <w:rsid w:val="00B4466B"/>
    <w:rsid w:val="00B51A7F"/>
    <w:rsid w:val="00B603DE"/>
    <w:rsid w:val="00B61990"/>
    <w:rsid w:val="00B64764"/>
    <w:rsid w:val="00B72D29"/>
    <w:rsid w:val="00B75EC5"/>
    <w:rsid w:val="00B842E5"/>
    <w:rsid w:val="00B85D99"/>
    <w:rsid w:val="00B93E72"/>
    <w:rsid w:val="00BA05E7"/>
    <w:rsid w:val="00BA2978"/>
    <w:rsid w:val="00BB7192"/>
    <w:rsid w:val="00BB78DB"/>
    <w:rsid w:val="00BD415A"/>
    <w:rsid w:val="00BD79D5"/>
    <w:rsid w:val="00BE0103"/>
    <w:rsid w:val="00BE3298"/>
    <w:rsid w:val="00BF0556"/>
    <w:rsid w:val="00BF38EF"/>
    <w:rsid w:val="00BF6F0C"/>
    <w:rsid w:val="00C0250B"/>
    <w:rsid w:val="00C17E19"/>
    <w:rsid w:val="00C22D02"/>
    <w:rsid w:val="00C23A2F"/>
    <w:rsid w:val="00C24B53"/>
    <w:rsid w:val="00C25D6D"/>
    <w:rsid w:val="00C261F8"/>
    <w:rsid w:val="00C26D07"/>
    <w:rsid w:val="00C27150"/>
    <w:rsid w:val="00C33100"/>
    <w:rsid w:val="00C37187"/>
    <w:rsid w:val="00C37F03"/>
    <w:rsid w:val="00C43BB0"/>
    <w:rsid w:val="00C44213"/>
    <w:rsid w:val="00C50020"/>
    <w:rsid w:val="00C57892"/>
    <w:rsid w:val="00C757A0"/>
    <w:rsid w:val="00C81B71"/>
    <w:rsid w:val="00C93C52"/>
    <w:rsid w:val="00C940E9"/>
    <w:rsid w:val="00CA1414"/>
    <w:rsid w:val="00CA50C1"/>
    <w:rsid w:val="00CB17A1"/>
    <w:rsid w:val="00CB5269"/>
    <w:rsid w:val="00CB6267"/>
    <w:rsid w:val="00CB694A"/>
    <w:rsid w:val="00CD165E"/>
    <w:rsid w:val="00CD1A71"/>
    <w:rsid w:val="00CD1FBB"/>
    <w:rsid w:val="00CD3A84"/>
    <w:rsid w:val="00CD4281"/>
    <w:rsid w:val="00CE4A9C"/>
    <w:rsid w:val="00CE5BF6"/>
    <w:rsid w:val="00CE6B1C"/>
    <w:rsid w:val="00CF4DC5"/>
    <w:rsid w:val="00D016B5"/>
    <w:rsid w:val="00D02E54"/>
    <w:rsid w:val="00D034F1"/>
    <w:rsid w:val="00D04D8B"/>
    <w:rsid w:val="00D05E95"/>
    <w:rsid w:val="00D11B17"/>
    <w:rsid w:val="00D172D7"/>
    <w:rsid w:val="00D205A3"/>
    <w:rsid w:val="00D24779"/>
    <w:rsid w:val="00D27D5E"/>
    <w:rsid w:val="00D5503C"/>
    <w:rsid w:val="00D60301"/>
    <w:rsid w:val="00D61978"/>
    <w:rsid w:val="00D751D5"/>
    <w:rsid w:val="00D761E2"/>
    <w:rsid w:val="00D76B84"/>
    <w:rsid w:val="00DA4409"/>
    <w:rsid w:val="00DA4BA6"/>
    <w:rsid w:val="00DA57D4"/>
    <w:rsid w:val="00DA708D"/>
    <w:rsid w:val="00DB4793"/>
    <w:rsid w:val="00DD2092"/>
    <w:rsid w:val="00DE01E3"/>
    <w:rsid w:val="00DE45DF"/>
    <w:rsid w:val="00DE6D90"/>
    <w:rsid w:val="00DE7B6E"/>
    <w:rsid w:val="00DF002F"/>
    <w:rsid w:val="00DF60C6"/>
    <w:rsid w:val="00DF7925"/>
    <w:rsid w:val="00E0244D"/>
    <w:rsid w:val="00E0331A"/>
    <w:rsid w:val="00E0333C"/>
    <w:rsid w:val="00E067BA"/>
    <w:rsid w:val="00E11978"/>
    <w:rsid w:val="00E31196"/>
    <w:rsid w:val="00E37AE2"/>
    <w:rsid w:val="00E401F2"/>
    <w:rsid w:val="00E413D8"/>
    <w:rsid w:val="00E46699"/>
    <w:rsid w:val="00E47862"/>
    <w:rsid w:val="00E50079"/>
    <w:rsid w:val="00E55D71"/>
    <w:rsid w:val="00E60D66"/>
    <w:rsid w:val="00E66F1B"/>
    <w:rsid w:val="00E81E94"/>
    <w:rsid w:val="00E82607"/>
    <w:rsid w:val="00EA31C2"/>
    <w:rsid w:val="00EB215D"/>
    <w:rsid w:val="00EB495B"/>
    <w:rsid w:val="00EB572B"/>
    <w:rsid w:val="00EC0A1C"/>
    <w:rsid w:val="00EC18C4"/>
    <w:rsid w:val="00EC1A82"/>
    <w:rsid w:val="00EC4BC5"/>
    <w:rsid w:val="00EC4E8C"/>
    <w:rsid w:val="00EC66F9"/>
    <w:rsid w:val="00ED734B"/>
    <w:rsid w:val="00ED7E18"/>
    <w:rsid w:val="00EE2EA3"/>
    <w:rsid w:val="00EF1183"/>
    <w:rsid w:val="00EF2F95"/>
    <w:rsid w:val="00EF486C"/>
    <w:rsid w:val="00EF6EE5"/>
    <w:rsid w:val="00F00CC3"/>
    <w:rsid w:val="00F01516"/>
    <w:rsid w:val="00F022B6"/>
    <w:rsid w:val="00F0492A"/>
    <w:rsid w:val="00F04BA7"/>
    <w:rsid w:val="00F1318E"/>
    <w:rsid w:val="00F13AA5"/>
    <w:rsid w:val="00F1417C"/>
    <w:rsid w:val="00F339DA"/>
    <w:rsid w:val="00F34776"/>
    <w:rsid w:val="00F37AE8"/>
    <w:rsid w:val="00F42BA5"/>
    <w:rsid w:val="00F437FD"/>
    <w:rsid w:val="00F460D3"/>
    <w:rsid w:val="00F52488"/>
    <w:rsid w:val="00F524BE"/>
    <w:rsid w:val="00F57129"/>
    <w:rsid w:val="00F73F3A"/>
    <w:rsid w:val="00F75335"/>
    <w:rsid w:val="00FA4553"/>
    <w:rsid w:val="00FA53AC"/>
    <w:rsid w:val="00FA5A79"/>
    <w:rsid w:val="00FB00CB"/>
    <w:rsid w:val="00FB0BFE"/>
    <w:rsid w:val="00FB129B"/>
    <w:rsid w:val="00FB2808"/>
    <w:rsid w:val="00FB4C51"/>
    <w:rsid w:val="00FB62F2"/>
    <w:rsid w:val="00FD73AD"/>
    <w:rsid w:val="00FE07FD"/>
    <w:rsid w:val="00FE6934"/>
    <w:rsid w:val="00FF05DA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E0A5244"/>
  <w15:docId w15:val="{BA7DDFB1-75FA-46D4-AB8A-AEEAEB6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uiPriority w:val="5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table" w:customStyle="1" w:styleId="Tabellenraster1">
    <w:name w:val="Tabellenraster1"/>
    <w:basedOn w:val="TableNormal"/>
    <w:next w:val="TableGrid"/>
    <w:uiPriority w:val="59"/>
    <w:rsid w:val="00FF05D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B84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76B84"/>
    <w:rPr>
      <w:rFonts w:eastAsiaTheme="minorEastAsia"/>
      <w:b/>
      <w:bCs/>
      <w:lang w:val="fr-CH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6065E"/>
    <w:rPr>
      <w:sz w:val="16"/>
      <w:lang w:val="fr-CH" w:eastAsia="en-US"/>
    </w:rPr>
  </w:style>
  <w:style w:type="paragraph" w:styleId="ListParagraph">
    <w:name w:val="List Paragraph"/>
    <w:basedOn w:val="Normal"/>
    <w:uiPriority w:val="34"/>
    <w:qFormat/>
    <w:rsid w:val="000C062E"/>
    <w:pPr>
      <w:ind w:left="720"/>
      <w:contextualSpacing/>
    </w:pPr>
  </w:style>
  <w:style w:type="table" w:customStyle="1" w:styleId="Tabellenraster11">
    <w:name w:val="Tabellenraster11"/>
    <w:basedOn w:val="TableNormal"/>
    <w:uiPriority w:val="59"/>
    <w:rsid w:val="004474D6"/>
    <w:rPr>
      <w:rFonts w:ascii="Calibri" w:eastAsia="Calibri" w:hAnsi="Calibri"/>
      <w:sz w:val="22"/>
      <w:szCs w:val="22"/>
      <w:lang w:val="de-DE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B3B5-A031-465A-AEBA-59356BD3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40EED-D7DE-41C2-A756-99E0CC817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ECE/TRANS/WP.15/AC.2/2012/7</vt:lpstr>
      <vt:lpstr>ECE/TRANS/WP.15/AC.2/2012/7</vt:lpstr>
      <vt:lpstr>ECE/TRANS/WP.15/AC.2/2012/7</vt:lpstr>
    </vt:vector>
  </TitlesOfParts>
  <Company>CSD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keywords/>
  <dc:description/>
  <cp:lastModifiedBy>June 2021 amend</cp:lastModifiedBy>
  <cp:revision>25</cp:revision>
  <cp:lastPrinted>2016-06-09T22:02:00Z</cp:lastPrinted>
  <dcterms:created xsi:type="dcterms:W3CDTF">2021-08-03T12:58:00Z</dcterms:created>
  <dcterms:modified xsi:type="dcterms:W3CDTF">2021-08-04T07:08:00Z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