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0F8341F" w14:textId="77777777" w:rsidTr="006476E1">
        <w:trPr>
          <w:trHeight w:val="851"/>
        </w:trPr>
        <w:tc>
          <w:tcPr>
            <w:tcW w:w="1259" w:type="dxa"/>
            <w:tcBorders>
              <w:top w:val="nil"/>
              <w:left w:val="nil"/>
              <w:bottom w:val="single" w:sz="4" w:space="0" w:color="auto"/>
              <w:right w:val="nil"/>
            </w:tcBorders>
          </w:tcPr>
          <w:p w14:paraId="7FF232E3" w14:textId="77777777" w:rsidR="00E52109" w:rsidRPr="002A32CB" w:rsidRDefault="00E52109" w:rsidP="004858F5"/>
        </w:tc>
        <w:tc>
          <w:tcPr>
            <w:tcW w:w="2236" w:type="dxa"/>
            <w:tcBorders>
              <w:top w:val="nil"/>
              <w:left w:val="nil"/>
              <w:bottom w:val="single" w:sz="4" w:space="0" w:color="auto"/>
              <w:right w:val="nil"/>
            </w:tcBorders>
            <w:vAlign w:val="bottom"/>
          </w:tcPr>
          <w:p w14:paraId="099720E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5D53FAB" w14:textId="2D783AAC" w:rsidR="00E52109" w:rsidRDefault="00A17727" w:rsidP="00A17727">
            <w:pPr>
              <w:suppressAutoHyphens w:val="0"/>
              <w:jc w:val="right"/>
            </w:pPr>
            <w:r w:rsidRPr="00A17727">
              <w:rPr>
                <w:sz w:val="40"/>
              </w:rPr>
              <w:t>ST</w:t>
            </w:r>
            <w:r>
              <w:t>/SG/AC.10/C.3/2021/3</w:t>
            </w:r>
            <w:r w:rsidR="00350D48">
              <w:t>4</w:t>
            </w:r>
          </w:p>
        </w:tc>
      </w:tr>
      <w:tr w:rsidR="00E52109" w14:paraId="45D4AD6E" w14:textId="77777777" w:rsidTr="006476E1">
        <w:trPr>
          <w:trHeight w:val="2835"/>
        </w:trPr>
        <w:tc>
          <w:tcPr>
            <w:tcW w:w="1259" w:type="dxa"/>
            <w:tcBorders>
              <w:top w:val="single" w:sz="4" w:space="0" w:color="auto"/>
              <w:left w:val="nil"/>
              <w:bottom w:val="single" w:sz="12" w:space="0" w:color="auto"/>
              <w:right w:val="nil"/>
            </w:tcBorders>
          </w:tcPr>
          <w:p w14:paraId="2CF48186" w14:textId="77777777" w:rsidR="00E52109" w:rsidRDefault="00E52109" w:rsidP="006476E1">
            <w:pPr>
              <w:spacing w:before="120"/>
              <w:jc w:val="center"/>
            </w:pPr>
            <w:r>
              <w:rPr>
                <w:noProof/>
                <w:lang w:val="fr-CH" w:eastAsia="fr-CH"/>
              </w:rPr>
              <w:drawing>
                <wp:inline distT="0" distB="0" distL="0" distR="0" wp14:anchorId="3C3CE817" wp14:editId="07A0947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19B99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E94A7A9" w14:textId="77777777" w:rsidR="00D94B05" w:rsidRDefault="00A17727" w:rsidP="00A17727">
            <w:pPr>
              <w:suppressAutoHyphens w:val="0"/>
              <w:spacing w:before="240" w:line="240" w:lineRule="exact"/>
            </w:pPr>
            <w:r>
              <w:t>Distr.: General</w:t>
            </w:r>
          </w:p>
          <w:p w14:paraId="085D2E10" w14:textId="3D1998B7" w:rsidR="00A17727" w:rsidRDefault="00350D48" w:rsidP="00A17727">
            <w:pPr>
              <w:suppressAutoHyphens w:val="0"/>
              <w:spacing w:line="240" w:lineRule="exact"/>
            </w:pPr>
            <w:r>
              <w:t>2</w:t>
            </w:r>
            <w:r w:rsidR="00DC69D1">
              <w:t>3</w:t>
            </w:r>
            <w:r w:rsidR="00BF56D8">
              <w:t xml:space="preserve"> </w:t>
            </w:r>
            <w:r w:rsidR="00A17727">
              <w:t>August 2021</w:t>
            </w:r>
          </w:p>
          <w:p w14:paraId="5CB3ACAE" w14:textId="77777777" w:rsidR="00A17727" w:rsidRDefault="00A17727" w:rsidP="00A17727">
            <w:pPr>
              <w:suppressAutoHyphens w:val="0"/>
              <w:spacing w:line="240" w:lineRule="exact"/>
            </w:pPr>
          </w:p>
          <w:p w14:paraId="64F27DE5" w14:textId="73F48179" w:rsidR="00A17727" w:rsidRDefault="00A17727" w:rsidP="00A17727">
            <w:pPr>
              <w:suppressAutoHyphens w:val="0"/>
              <w:spacing w:line="240" w:lineRule="exact"/>
            </w:pPr>
            <w:r>
              <w:t>Original: English</w:t>
            </w:r>
          </w:p>
        </w:tc>
      </w:tr>
    </w:tbl>
    <w:p w14:paraId="6D7F995D" w14:textId="322EBBF3" w:rsidR="009C4594" w:rsidRPr="006500BA" w:rsidRDefault="009C4594"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32B67B1" w14:textId="3CA03840" w:rsidR="009C4594" w:rsidRPr="006500BA" w:rsidRDefault="009C4594" w:rsidP="004858F5">
      <w:pPr>
        <w:spacing w:before="120"/>
        <w:rPr>
          <w:rFonts w:ascii="Helv" w:hAnsi="Helv" w:cs="Helv"/>
          <w:b/>
          <w:color w:val="000000"/>
        </w:rPr>
      </w:pPr>
      <w:r w:rsidRPr="006500BA">
        <w:rPr>
          <w:b/>
        </w:rPr>
        <w:t xml:space="preserve">Sub-Committee of Experts on the </w:t>
      </w:r>
      <w:r>
        <w:rPr>
          <w:b/>
        </w:rPr>
        <w:t>Transport of Dangerous Goods</w:t>
      </w:r>
    </w:p>
    <w:p w14:paraId="5A3A3ADE" w14:textId="5C1F7E76" w:rsidR="006F68FC" w:rsidRPr="009E5EAE" w:rsidRDefault="006F68FC" w:rsidP="006F68FC">
      <w:pPr>
        <w:spacing w:before="120"/>
        <w:rPr>
          <w:b/>
        </w:rPr>
      </w:pPr>
      <w:r w:rsidRPr="009E5EAE">
        <w:rPr>
          <w:b/>
        </w:rPr>
        <w:t>Fifty-</w:t>
      </w:r>
      <w:r>
        <w:rPr>
          <w:b/>
        </w:rPr>
        <w:t>ninth</w:t>
      </w:r>
      <w:r w:rsidRPr="009E5EAE">
        <w:rPr>
          <w:b/>
        </w:rPr>
        <w:t xml:space="preserve"> session</w:t>
      </w:r>
    </w:p>
    <w:p w14:paraId="06F147B8" w14:textId="7A3C68F7" w:rsidR="006F68FC" w:rsidRPr="009E5EAE" w:rsidRDefault="006F68FC" w:rsidP="006F68FC">
      <w:pPr>
        <w:rPr>
          <w:lang w:val="en-US"/>
        </w:rPr>
      </w:pPr>
      <w:r w:rsidRPr="009E5EAE">
        <w:t>Geneva, 2</w:t>
      </w:r>
      <w:r>
        <w:t>9 November-8 December</w:t>
      </w:r>
      <w:r w:rsidRPr="009E5EAE">
        <w:t xml:space="preserve"> 2021</w:t>
      </w:r>
      <w:r w:rsidRPr="009E5EAE">
        <w:br/>
      </w:r>
      <w:r w:rsidRPr="009E5EAE">
        <w:rPr>
          <w:lang w:val="en-US"/>
        </w:rPr>
        <w:t xml:space="preserve">Item </w:t>
      </w:r>
      <w:r w:rsidR="001824DF">
        <w:rPr>
          <w:lang w:val="en-US"/>
        </w:rPr>
        <w:t>2</w:t>
      </w:r>
      <w:r w:rsidR="004C64C4">
        <w:rPr>
          <w:lang w:val="en-US"/>
        </w:rPr>
        <w:t xml:space="preserve"> </w:t>
      </w:r>
      <w:r w:rsidR="000A0B4D">
        <w:rPr>
          <w:lang w:val="en-US"/>
        </w:rPr>
        <w:t>(</w:t>
      </w:r>
      <w:proofErr w:type="spellStart"/>
      <w:r w:rsidR="001824DF">
        <w:rPr>
          <w:lang w:val="en-US"/>
        </w:rPr>
        <w:t>i</w:t>
      </w:r>
      <w:proofErr w:type="spellEnd"/>
      <w:r w:rsidR="000A0B4D">
        <w:rPr>
          <w:lang w:val="en-US"/>
        </w:rPr>
        <w:t>)</w:t>
      </w:r>
      <w:r>
        <w:rPr>
          <w:lang w:val="en-US"/>
        </w:rPr>
        <w:t xml:space="preserve"> </w:t>
      </w:r>
      <w:r w:rsidRPr="009E5EAE">
        <w:rPr>
          <w:lang w:val="en-US"/>
        </w:rPr>
        <w:t>of the provisional agenda</w:t>
      </w:r>
    </w:p>
    <w:p w14:paraId="0D5A75FF" w14:textId="5D1D084A" w:rsidR="00AF5DE1" w:rsidRDefault="001824DF" w:rsidP="000B2AB2">
      <w:pPr>
        <w:rPr>
          <w:b/>
          <w:bCs/>
        </w:rPr>
      </w:pPr>
      <w:r w:rsidRPr="000D6B4B">
        <w:rPr>
          <w:b/>
          <w:bCs/>
        </w:rPr>
        <w:t>Explosives and related matters: miscellaneous</w:t>
      </w:r>
    </w:p>
    <w:p w14:paraId="3175CE92" w14:textId="77777777" w:rsidR="00F66157" w:rsidRPr="000D6B4B" w:rsidRDefault="00F66157" w:rsidP="00F66157">
      <w:pPr>
        <w:pStyle w:val="HChG"/>
      </w:pPr>
      <w:r w:rsidRPr="000D6B4B">
        <w:tab/>
      </w:r>
      <w:r w:rsidRPr="000D6B4B">
        <w:tab/>
        <w:t>Amendment and correction to the Manual of Tests and Criteria</w:t>
      </w:r>
    </w:p>
    <w:p w14:paraId="0F8297DA" w14:textId="120D28A4" w:rsidR="00F66157" w:rsidRPr="000D6B4B" w:rsidRDefault="00F66157" w:rsidP="00F66157">
      <w:pPr>
        <w:pStyle w:val="H1G"/>
        <w:rPr>
          <w:lang w:eastAsia="en-GB" w:bidi="en-GB"/>
        </w:rPr>
      </w:pPr>
      <w:r w:rsidRPr="000D6B4B">
        <w:tab/>
      </w:r>
      <w:r w:rsidRPr="000D6B4B">
        <w:tab/>
        <w:t xml:space="preserve">Submitted by the </w:t>
      </w:r>
      <w:r w:rsidR="002A2773">
        <w:t>C</w:t>
      </w:r>
      <w:r w:rsidRPr="000D6B4B">
        <w:t xml:space="preserve">hair of the </w:t>
      </w:r>
      <w:r w:rsidR="002A2773">
        <w:t>W</w:t>
      </w:r>
      <w:r w:rsidRPr="000D6B4B">
        <w:t xml:space="preserve">orking </w:t>
      </w:r>
      <w:r w:rsidR="002A2773">
        <w:t>G</w:t>
      </w:r>
      <w:r w:rsidRPr="000D6B4B">
        <w:t xml:space="preserve">roup on </w:t>
      </w:r>
      <w:r w:rsidR="002A2773">
        <w:t>E</w:t>
      </w:r>
      <w:r w:rsidRPr="000D6B4B">
        <w:t>xplosives</w:t>
      </w:r>
      <w:r w:rsidR="00A14403">
        <w:rPr>
          <w:rStyle w:val="FootnoteReference"/>
        </w:rPr>
        <w:footnoteReference w:id="2"/>
      </w:r>
    </w:p>
    <w:p w14:paraId="20082D63" w14:textId="77777777" w:rsidR="00F66157" w:rsidRPr="000D6B4B" w:rsidRDefault="00F66157" w:rsidP="00F66157">
      <w:pPr>
        <w:pStyle w:val="HChG"/>
      </w:pPr>
      <w:r w:rsidRPr="000D6B4B">
        <w:tab/>
      </w:r>
      <w:r w:rsidRPr="000D6B4B">
        <w:tab/>
        <w:t>Introduction</w:t>
      </w:r>
    </w:p>
    <w:p w14:paraId="74C1E25D" w14:textId="77777777" w:rsidR="00F66157" w:rsidRPr="000D6B4B" w:rsidRDefault="00F66157" w:rsidP="00F66157">
      <w:pPr>
        <w:pStyle w:val="SingleTxtG"/>
      </w:pPr>
      <w:r w:rsidRPr="000D6B4B">
        <w:t>1.</w:t>
      </w:r>
      <w:r w:rsidRPr="000D6B4B">
        <w:tab/>
        <w:t xml:space="preserve">During the work on the revision of Test Series H it was noted that in the specifications of silicone oil the density was given without units (see paragraphs 28.3.6 and 28.4.2.3.1 (a)). The ad hoc working group advised to include the unit. It was also noted that the same silicone oil is used in the </w:t>
      </w:r>
      <w:proofErr w:type="spellStart"/>
      <w:r w:rsidRPr="000D6B4B">
        <w:t>Koenen</w:t>
      </w:r>
      <w:proofErr w:type="spellEnd"/>
      <w:r w:rsidRPr="000D6B4B">
        <w:t xml:space="preserve"> test when calibrating the heating rate.</w:t>
      </w:r>
    </w:p>
    <w:p w14:paraId="4D15FADA" w14:textId="77777777" w:rsidR="00F66157" w:rsidRPr="000D6B4B" w:rsidRDefault="00F66157" w:rsidP="00F66157">
      <w:pPr>
        <w:pStyle w:val="SingleTxtG"/>
      </w:pPr>
      <w:r w:rsidRPr="000D6B4B">
        <w:t>2.</w:t>
      </w:r>
      <w:r w:rsidRPr="000D6B4B">
        <w:tab/>
        <w:t>During the online session of the working group on explosives (14 to 16 and 18 June 2021) this issue was discussed. The group recommended to include the unit g/cm</w:t>
      </w:r>
      <w:r w:rsidRPr="000D6B4B">
        <w:rPr>
          <w:vertAlign w:val="superscript"/>
        </w:rPr>
        <w:t>3</w:t>
      </w:r>
      <w:r w:rsidRPr="000D6B4B">
        <w:t xml:space="preserve">. </w:t>
      </w:r>
    </w:p>
    <w:p w14:paraId="5F455AC7" w14:textId="4980F9DB" w:rsidR="00F66157" w:rsidRPr="000D6B4B" w:rsidRDefault="00F66157" w:rsidP="00F66157">
      <w:pPr>
        <w:pStyle w:val="SingleTxtG"/>
      </w:pPr>
      <w:r w:rsidRPr="000D6B4B">
        <w:t>3.</w:t>
      </w:r>
      <w:r w:rsidRPr="000D6B4B">
        <w:tab/>
        <w:t xml:space="preserve">Furthermore, when going through the Manual of Tests and Criteria a member of the working group noted a mistake in two equations in Appendix 10, paragraph A10.2.3.8. The equations now assume that always a mass of </w:t>
      </w:r>
      <w:proofErr w:type="gramStart"/>
      <w:r w:rsidRPr="000D6B4B">
        <w:t>1 gram</w:t>
      </w:r>
      <w:proofErr w:type="gramEnd"/>
      <w:r w:rsidRPr="000D6B4B">
        <w:t xml:space="preserve"> nitrocellulose is used in the analysis, whereas the test description also mention amounts of 2 and 3 grams. The equations should be corrected accordingly.</w:t>
      </w:r>
      <w:r>
        <w:t xml:space="preserve"> It should be noted that in section A10.2.4.1 the criterion is expressed in ml/g, so the proposed change is consistent with the criterion.</w:t>
      </w:r>
    </w:p>
    <w:p w14:paraId="02B87F7B" w14:textId="77777777" w:rsidR="00F66157" w:rsidRPr="000D6B4B" w:rsidRDefault="00F66157" w:rsidP="00F66157">
      <w:pPr>
        <w:pStyle w:val="SingleTxtG"/>
      </w:pPr>
      <w:r w:rsidRPr="000D6B4B">
        <w:t>4.</w:t>
      </w:r>
      <w:r w:rsidRPr="000D6B4B">
        <w:tab/>
        <w:t>Both corrections are addressed in the report of the working group including proposals.</w:t>
      </w:r>
    </w:p>
    <w:p w14:paraId="7AFF3678" w14:textId="21B03ABB" w:rsidR="00F66157" w:rsidRPr="000D6B4B" w:rsidRDefault="00F66157" w:rsidP="00F66157">
      <w:pPr>
        <w:pStyle w:val="SingleTxtG"/>
      </w:pPr>
      <w:r w:rsidRPr="000D6B4B">
        <w:t>5.</w:t>
      </w:r>
      <w:r w:rsidRPr="000D6B4B">
        <w:tab/>
        <w:t xml:space="preserve">However, since there was no written document on these two issues, the Sub-Committee requested the chair of the working group to address these two corrections in a document for the </w:t>
      </w:r>
      <w:r w:rsidR="00D556F0">
        <w:t>fifty-ninth</w:t>
      </w:r>
      <w:r w:rsidRPr="000D6B4B">
        <w:t xml:space="preserve"> session.</w:t>
      </w:r>
    </w:p>
    <w:p w14:paraId="2BD9A0EB" w14:textId="77777777" w:rsidR="00F66157" w:rsidRPr="000D6B4B" w:rsidRDefault="00F66157" w:rsidP="00F66157">
      <w:pPr>
        <w:pStyle w:val="HChG"/>
        <w:ind w:left="2268"/>
      </w:pPr>
      <w:r w:rsidRPr="000D6B4B">
        <w:lastRenderedPageBreak/>
        <w:t>Proposals</w:t>
      </w:r>
    </w:p>
    <w:p w14:paraId="56FF2392" w14:textId="591A5C1C" w:rsidR="00F66157" w:rsidRPr="000D6B4B" w:rsidRDefault="009E3FF9" w:rsidP="009E3FF9">
      <w:pPr>
        <w:pStyle w:val="H1G"/>
      </w:pPr>
      <w:r>
        <w:tab/>
      </w:r>
      <w:r>
        <w:tab/>
      </w:r>
      <w:r w:rsidR="00F66157" w:rsidRPr="000D6B4B">
        <w:t>Proposal 1</w:t>
      </w:r>
    </w:p>
    <w:p w14:paraId="15048DD4" w14:textId="595B9494" w:rsidR="00F66157" w:rsidRPr="000D6B4B" w:rsidRDefault="00392D75" w:rsidP="009E3FF9">
      <w:pPr>
        <w:pStyle w:val="SingleTxtG"/>
        <w:rPr>
          <w:lang w:eastAsia="en-US"/>
        </w:rPr>
      </w:pPr>
      <w:r w:rsidRPr="00392D75">
        <w:rPr>
          <w:bCs/>
          <w:lang w:eastAsia="en-US"/>
        </w:rPr>
        <w:t>6.</w:t>
      </w:r>
      <w:r w:rsidRPr="00392D75">
        <w:rPr>
          <w:bCs/>
          <w:lang w:eastAsia="en-US"/>
        </w:rPr>
        <w:tab/>
      </w:r>
      <w:r w:rsidR="00F66157" w:rsidRPr="00392D75">
        <w:rPr>
          <w:bCs/>
          <w:lang w:eastAsia="en-US"/>
        </w:rPr>
        <w:t>Specification of silicone oil:</w:t>
      </w:r>
      <w:r w:rsidR="00F66157" w:rsidRPr="000D6B4B">
        <w:rPr>
          <w:b/>
          <w:lang w:eastAsia="en-US"/>
        </w:rPr>
        <w:t xml:space="preserve"> </w:t>
      </w:r>
      <w:r w:rsidR="00F66157" w:rsidRPr="000D6B4B">
        <w:rPr>
          <w:lang w:eastAsia="en-US"/>
        </w:rPr>
        <w:t>In section</w:t>
      </w:r>
      <w:r w:rsidR="00F66157">
        <w:rPr>
          <w:lang w:eastAsia="en-US"/>
        </w:rPr>
        <w:t>s</w:t>
      </w:r>
      <w:r w:rsidR="00F66157" w:rsidRPr="000D6B4B">
        <w:rPr>
          <w:lang w:eastAsia="en-US"/>
        </w:rPr>
        <w:t xml:space="preserve"> 11.5.1.2.2 (1 (b) test), 12.5.1.2.2 (2 (b) test), 18.6.1.2.2 (8 (c) test), 25.4.1.2.2 (test E.1), 25.4.2.2.2 (test E.2), 28.3.6 (test series H), 28.4.2.3.1 (test H.2) amend the specification as </w:t>
      </w:r>
      <w:r w:rsidR="002E5A19">
        <w:rPr>
          <w:lang w:eastAsia="en-US"/>
        </w:rPr>
        <w:t>follows</w:t>
      </w:r>
      <w:r w:rsidR="00963831">
        <w:rPr>
          <w:lang w:eastAsia="en-US"/>
        </w:rPr>
        <w:t xml:space="preserve"> </w:t>
      </w:r>
      <w:r w:rsidR="00963831" w:rsidRPr="00963831">
        <w:rPr>
          <w:lang w:eastAsia="en-US"/>
        </w:rPr>
        <w:t>(</w:t>
      </w:r>
      <w:r w:rsidR="00702104">
        <w:rPr>
          <w:lang w:eastAsia="en-US"/>
        </w:rPr>
        <w:t>deleted text in strikethrough</w:t>
      </w:r>
      <w:r w:rsidR="00702104" w:rsidRPr="00963831">
        <w:rPr>
          <w:lang w:eastAsia="en-US"/>
        </w:rPr>
        <w:t xml:space="preserve"> </w:t>
      </w:r>
      <w:r w:rsidR="00702104">
        <w:rPr>
          <w:lang w:eastAsia="en-US"/>
        </w:rPr>
        <w:t xml:space="preserve">and </w:t>
      </w:r>
      <w:r w:rsidR="00963831" w:rsidRPr="00963831">
        <w:rPr>
          <w:lang w:eastAsia="en-US"/>
        </w:rPr>
        <w:t>new text in bold)</w:t>
      </w:r>
      <w:r w:rsidR="00F66157" w:rsidRPr="000D6B4B">
        <w:rPr>
          <w:lang w:eastAsia="en-US"/>
        </w:rPr>
        <w:t>:</w:t>
      </w:r>
    </w:p>
    <w:p w14:paraId="64A71124" w14:textId="691538D3" w:rsidR="00FB0D36" w:rsidRPr="000D6B4B" w:rsidRDefault="0044048B" w:rsidP="00FB0D36">
      <w:pPr>
        <w:numPr>
          <w:ilvl w:val="12"/>
          <w:numId w:val="0"/>
        </w:numPr>
        <w:tabs>
          <w:tab w:val="num" w:pos="360"/>
          <w:tab w:val="left" w:pos="900"/>
          <w:tab w:val="left" w:pos="1418"/>
        </w:tabs>
        <w:suppressAutoHyphens w:val="0"/>
        <w:kinsoku/>
        <w:overflowPunct/>
        <w:snapToGrid/>
        <w:spacing w:after="120" w:line="240" w:lineRule="auto"/>
        <w:ind w:left="1134" w:right="432"/>
        <w:jc w:val="center"/>
        <w:rPr>
          <w:rFonts w:asciiTheme="majorBidi" w:eastAsia="Times New Roman" w:hAnsiTheme="majorBidi" w:cstheme="majorBidi"/>
          <w:lang w:eastAsia="fr-FR"/>
        </w:rPr>
      </w:pPr>
      <w:r w:rsidRPr="000D6B4B">
        <w:rPr>
          <w:lang w:eastAsia="en-US"/>
        </w:rPr>
        <w:t>“</w:t>
      </w:r>
      <w:r w:rsidR="00FB0D36" w:rsidRPr="000D6B4B">
        <w:rPr>
          <w:rFonts w:eastAsia="Times New Roman"/>
          <w:sz w:val="22"/>
          <w:szCs w:val="22"/>
          <w:lang w:eastAsia="fr-FR"/>
        </w:rPr>
        <w:t xml:space="preserve">… </w:t>
      </w:r>
      <w:r w:rsidR="00FB0D36" w:rsidRPr="000D6B4B">
        <w:rPr>
          <w:rFonts w:eastAsia="Times New Roman"/>
          <w:strike/>
          <w:color w:val="FF0000"/>
          <w:sz w:val="22"/>
          <w:szCs w:val="22"/>
          <w:lang w:eastAsia="fr-FR"/>
        </w:rPr>
        <w:t xml:space="preserve">apparent </w:t>
      </w:r>
      <w:r w:rsidR="00FB0D36" w:rsidRPr="000D6B4B">
        <w:rPr>
          <w:rFonts w:eastAsia="Times New Roman"/>
          <w:sz w:val="22"/>
          <w:szCs w:val="22"/>
          <w:lang w:eastAsia="fr-FR"/>
        </w:rPr>
        <w:t>density 0.96 ± 0.</w:t>
      </w:r>
      <w:r w:rsidR="00FB0D36" w:rsidRPr="000D6B4B">
        <w:rPr>
          <w:rFonts w:eastAsia="Times New Roman"/>
          <w:lang w:eastAsia="en-US"/>
        </w:rPr>
        <w:t>02</w:t>
      </w:r>
      <w:r w:rsidR="00FB0D36" w:rsidRPr="000D6B4B">
        <w:rPr>
          <w:rFonts w:eastAsia="Times New Roman"/>
          <w:color w:val="0070C0"/>
          <w:lang w:eastAsia="en-US"/>
        </w:rPr>
        <w:t xml:space="preserve"> </w:t>
      </w:r>
      <w:r w:rsidR="00FB0D36" w:rsidRPr="00EB1E8D">
        <w:rPr>
          <w:rFonts w:eastAsia="Times New Roman"/>
          <w:b/>
          <w:bCs/>
          <w:color w:val="0070C0"/>
          <w:lang w:eastAsia="en-US"/>
        </w:rPr>
        <w:t>g/cm</w:t>
      </w:r>
      <w:r w:rsidR="00FB0D36" w:rsidRPr="00EB1E8D">
        <w:rPr>
          <w:rFonts w:eastAsia="Times New Roman"/>
          <w:b/>
          <w:bCs/>
          <w:color w:val="0070C0"/>
          <w:vertAlign w:val="superscript"/>
          <w:lang w:eastAsia="en-US"/>
        </w:rPr>
        <w:t>3</w:t>
      </w:r>
      <w:r w:rsidR="00FB0D36" w:rsidRPr="000D6B4B">
        <w:rPr>
          <w:rFonts w:eastAsia="Times New Roman"/>
          <w:lang w:eastAsia="en-US"/>
        </w:rPr>
        <w:t xml:space="preserve"> at 20</w:t>
      </w:r>
      <w:r w:rsidR="00136B91">
        <w:rPr>
          <w:rFonts w:eastAsia="Times New Roman"/>
          <w:lang w:eastAsia="en-US"/>
        </w:rPr>
        <w:t xml:space="preserve"> </w:t>
      </w:r>
      <w:r w:rsidR="00FB0D36" w:rsidRPr="000D6B4B">
        <w:rPr>
          <w:rFonts w:ascii="Calibri" w:eastAsia="Times New Roman" w:hAnsi="Calibri" w:cs="Calibri"/>
          <w:lang w:eastAsia="en-US"/>
        </w:rPr>
        <w:t>°</w:t>
      </w:r>
      <w:r w:rsidR="00FB0D36" w:rsidRPr="000D6B4B">
        <w:rPr>
          <w:rFonts w:eastAsia="Times New Roman"/>
          <w:lang w:eastAsia="en-US"/>
        </w:rPr>
        <w:t>C</w:t>
      </w:r>
      <w:r w:rsidR="00FB0D36" w:rsidRPr="000D6B4B">
        <w:rPr>
          <w:rFonts w:asciiTheme="majorBidi" w:eastAsia="Times New Roman" w:hAnsiTheme="majorBidi" w:cstheme="majorBidi"/>
          <w:lang w:eastAsia="fr-FR"/>
        </w:rPr>
        <w:t>…</w:t>
      </w:r>
      <w:r w:rsidRPr="000D6B4B">
        <w:rPr>
          <w:lang w:eastAsia="en-US"/>
        </w:rPr>
        <w:t>”</w:t>
      </w:r>
    </w:p>
    <w:p w14:paraId="6C9E93B4" w14:textId="25609097" w:rsidR="000B3B57" w:rsidRPr="000D6B4B" w:rsidRDefault="000B3B57" w:rsidP="000B3B57">
      <w:pPr>
        <w:pStyle w:val="H1G"/>
      </w:pPr>
      <w:r>
        <w:tab/>
      </w:r>
      <w:r>
        <w:tab/>
      </w:r>
      <w:r w:rsidRPr="000D6B4B">
        <w:t>Proposal 2</w:t>
      </w:r>
    </w:p>
    <w:p w14:paraId="076BA146" w14:textId="77777777" w:rsidR="00DB79FF" w:rsidRDefault="005C6701" w:rsidP="000B3B57">
      <w:pPr>
        <w:pStyle w:val="SingleTxtG"/>
        <w:rPr>
          <w:bCs/>
          <w:lang w:eastAsia="en-US"/>
        </w:rPr>
      </w:pPr>
      <w:r w:rsidRPr="00337E84">
        <w:rPr>
          <w:bCs/>
          <w:lang w:eastAsia="en-US"/>
        </w:rPr>
        <w:t>7.</w:t>
      </w:r>
      <w:r>
        <w:rPr>
          <w:b/>
          <w:lang w:eastAsia="en-US"/>
        </w:rPr>
        <w:tab/>
      </w:r>
      <w:r w:rsidR="000B3B57" w:rsidRPr="005C6701">
        <w:rPr>
          <w:bCs/>
          <w:lang w:eastAsia="en-US"/>
        </w:rPr>
        <w:t>Appendix 10:</w:t>
      </w:r>
    </w:p>
    <w:p w14:paraId="1A954206" w14:textId="3849EF3C" w:rsidR="000B3B57" w:rsidRPr="000D6B4B" w:rsidRDefault="000B3B57" w:rsidP="00DB79FF">
      <w:pPr>
        <w:pStyle w:val="SingleTxtG"/>
        <w:ind w:firstLine="567"/>
        <w:rPr>
          <w:lang w:eastAsia="en-US"/>
        </w:rPr>
      </w:pPr>
      <w:r w:rsidRPr="000D6B4B">
        <w:rPr>
          <w:lang w:eastAsia="en-US"/>
        </w:rPr>
        <w:t xml:space="preserve">In A10.2.3.8, delete the last part of the equation “= </w:t>
      </w:r>
      <w:proofErr w:type="spellStart"/>
      <w:r w:rsidRPr="000D6B4B">
        <w:rPr>
          <w:lang w:eastAsia="en-US"/>
        </w:rPr>
        <w:t>C</w:t>
      </w:r>
      <w:r w:rsidRPr="000D6B4B">
        <w:rPr>
          <w:vertAlign w:val="subscript"/>
          <w:lang w:eastAsia="en-US"/>
        </w:rPr>
        <w:t>NaOH</w:t>
      </w:r>
      <w:proofErr w:type="spellEnd"/>
      <w:r w:rsidRPr="000D6B4B">
        <w:rPr>
          <w:lang w:eastAsia="en-US"/>
        </w:rPr>
        <w:t xml:space="preserve"> x 0.224” as </w:t>
      </w:r>
      <w:r w:rsidR="00E07C0E">
        <w:rPr>
          <w:lang w:eastAsia="en-US"/>
        </w:rPr>
        <w:t>follows</w:t>
      </w:r>
      <w:r w:rsidRPr="000D6B4B">
        <w:rPr>
          <w:lang w:eastAsia="en-US"/>
        </w:rPr>
        <w:t>:</w:t>
      </w:r>
    </w:p>
    <w:p w14:paraId="6B12ADBA" w14:textId="77777777" w:rsidR="000B3B57" w:rsidRPr="00E91D19" w:rsidRDefault="00AC592F" w:rsidP="000B3B57">
      <w:pPr>
        <w:pStyle w:val="SingleTxtG"/>
        <w:rPr>
          <w:rFonts w:asciiTheme="majorBidi" w:hAnsiTheme="majorBidi" w:cstheme="majorBidi"/>
          <w:lang w:eastAsia="fr-FR"/>
        </w:rPr>
      </w:pPr>
      <m:oMathPara>
        <m:oMath>
          <m:sSub>
            <m:sSubPr>
              <m:ctrlPr>
                <w:rPr>
                  <w:rFonts w:ascii="Cambria Math" w:hAnsi="Cambria Math" w:cstheme="majorBidi"/>
                  <w:lang w:eastAsia="fr-FR"/>
                </w:rPr>
              </m:ctrlPr>
            </m:sSubPr>
            <m:e>
              <m:r>
                <m:rPr>
                  <m:sty m:val="p"/>
                </m:rPr>
                <w:rPr>
                  <w:rFonts w:ascii="Cambria Math" w:hAnsi="Cambria Math" w:cstheme="majorBidi"/>
                  <w:lang w:eastAsia="fr-FR"/>
                </w:rPr>
                <m:t>V</m:t>
              </m:r>
            </m:e>
            <m:sub>
              <m:r>
                <m:rPr>
                  <m:sty m:val="p"/>
                </m:rPr>
                <w:rPr>
                  <w:rFonts w:ascii="Cambria Math" w:hAnsi="Cambria Math" w:cstheme="majorBidi"/>
                  <w:lang w:eastAsia="fr-FR"/>
                </w:rPr>
                <m:t>NO</m:t>
              </m:r>
            </m:sub>
          </m:sSub>
          <m:r>
            <w:rPr>
              <w:rFonts w:ascii="Cambria Math" w:hAnsi="Cambria Math" w:cstheme="majorBidi"/>
              <w:lang w:eastAsia="fr-FR"/>
            </w:rPr>
            <m:t>=</m:t>
          </m:r>
          <m:f>
            <m:fPr>
              <m:ctrlPr>
                <w:rPr>
                  <w:rFonts w:ascii="Cambria Math" w:hAnsi="Cambria Math" w:cstheme="majorBidi"/>
                  <w:i/>
                  <w:lang w:eastAsia="fr-FR"/>
                </w:rPr>
              </m:ctrlPr>
            </m:fPr>
            <m:num>
              <m:sSub>
                <m:sSubPr>
                  <m:ctrlPr>
                    <w:rPr>
                      <w:rFonts w:ascii="Cambria Math" w:hAnsi="Cambria Math" w:cstheme="majorBidi"/>
                      <w:lang w:eastAsia="fr-FR"/>
                    </w:rPr>
                  </m:ctrlPr>
                </m:sSubPr>
                <m:e>
                  <m:r>
                    <m:rPr>
                      <m:sty m:val="p"/>
                    </m:rPr>
                    <w:rPr>
                      <w:rFonts w:ascii="Cambria Math" w:hAnsi="Cambria Math" w:cstheme="majorBidi"/>
                      <w:lang w:eastAsia="fr-FR"/>
                    </w:rPr>
                    <m:t>c</m:t>
                  </m:r>
                </m:e>
                <m:sub>
                  <m:r>
                    <m:rPr>
                      <m:sty m:val="p"/>
                    </m:rPr>
                    <w:rPr>
                      <w:rFonts w:ascii="Cambria Math" w:hAnsi="Cambria Math" w:cstheme="majorBidi"/>
                      <w:lang w:eastAsia="fr-FR"/>
                    </w:rPr>
                    <m:t xml:space="preserve">NaOH </m:t>
                  </m:r>
                </m:sub>
              </m:sSub>
              <m:r>
                <w:rPr>
                  <w:rFonts w:ascii="Cambria Math" w:hAnsi="Cambria Math" w:cstheme="majorBidi"/>
                  <w:lang w:eastAsia="fr-FR"/>
                </w:rPr>
                <m:t>×</m:t>
              </m:r>
              <m:sSub>
                <m:sSubPr>
                  <m:ctrlPr>
                    <w:rPr>
                      <w:rFonts w:ascii="Cambria Math" w:hAnsi="Cambria Math" w:cstheme="majorBidi"/>
                      <w:lang w:eastAsia="fr-FR"/>
                    </w:rPr>
                  </m:ctrlPr>
                </m:sSubPr>
                <m:e>
                  <m:r>
                    <m:rPr>
                      <m:sty m:val="p"/>
                    </m:rPr>
                    <w:rPr>
                      <w:rFonts w:ascii="Cambria Math" w:hAnsi="Cambria Math" w:cstheme="majorBidi"/>
                      <w:lang w:eastAsia="fr-FR"/>
                    </w:rPr>
                    <m:t>C</m:t>
                  </m:r>
                </m:e>
                <m:sub>
                  <m:r>
                    <m:rPr>
                      <m:sty m:val="p"/>
                    </m:rPr>
                    <w:rPr>
                      <w:rFonts w:ascii="Cambria Math" w:hAnsi="Cambria Math" w:cstheme="majorBidi"/>
                      <w:lang w:eastAsia="fr-FR"/>
                    </w:rPr>
                    <m:t xml:space="preserve">NaOH </m:t>
                  </m:r>
                </m:sub>
              </m:sSub>
              <m:r>
                <w:rPr>
                  <w:rFonts w:ascii="Cambria Math" w:hAnsi="Cambria Math" w:cstheme="majorBidi"/>
                  <w:lang w:eastAsia="fr-FR"/>
                </w:rPr>
                <m:t>×</m:t>
              </m:r>
              <m:sSub>
                <m:sSubPr>
                  <m:ctrlPr>
                    <w:rPr>
                      <w:rFonts w:ascii="Cambria Math" w:hAnsi="Cambria Math" w:cstheme="majorBidi"/>
                      <w:lang w:eastAsia="fr-FR"/>
                    </w:rPr>
                  </m:ctrlPr>
                </m:sSubPr>
                <m:e>
                  <m:r>
                    <m:rPr>
                      <m:sty m:val="p"/>
                    </m:rPr>
                    <w:rPr>
                      <w:rFonts w:ascii="Cambria Math" w:hAnsi="Cambria Math" w:cstheme="majorBidi"/>
                      <w:lang w:eastAsia="fr-FR"/>
                    </w:rPr>
                    <m:t>V</m:t>
                  </m:r>
                </m:e>
                <m:sub>
                  <m:r>
                    <m:rPr>
                      <m:sty m:val="p"/>
                    </m:rPr>
                    <w:rPr>
                      <w:rFonts w:ascii="Cambria Math" w:hAnsi="Cambria Math" w:cstheme="majorBidi"/>
                      <w:lang w:eastAsia="fr-FR"/>
                    </w:rPr>
                    <m:t xml:space="preserve">NO,m </m:t>
                  </m:r>
                </m:sub>
              </m:sSub>
            </m:num>
            <m:den>
              <m:sSub>
                <m:sSubPr>
                  <m:ctrlPr>
                    <w:rPr>
                      <w:rFonts w:ascii="Cambria Math" w:hAnsi="Cambria Math" w:cstheme="majorBidi"/>
                      <w:lang w:eastAsia="fr-FR"/>
                    </w:rPr>
                  </m:ctrlPr>
                </m:sSubPr>
                <m:e>
                  <m:r>
                    <m:rPr>
                      <m:sty m:val="p"/>
                    </m:rPr>
                    <w:rPr>
                      <w:rFonts w:ascii="Cambria Math" w:hAnsi="Cambria Math" w:cstheme="majorBidi"/>
                      <w:lang w:eastAsia="fr-FR"/>
                    </w:rPr>
                    <m:t>m</m:t>
                  </m:r>
                </m:e>
                <m:sub>
                  <m:r>
                    <m:rPr>
                      <m:sty m:val="p"/>
                    </m:rPr>
                    <w:rPr>
                      <w:rFonts w:ascii="Cambria Math" w:hAnsi="Cambria Math" w:cstheme="majorBidi"/>
                      <w:lang w:eastAsia="fr-FR"/>
                    </w:rPr>
                    <m:t>NC</m:t>
                  </m:r>
                </m:sub>
              </m:sSub>
            </m:den>
          </m:f>
          <m:r>
            <w:rPr>
              <w:rFonts w:ascii="Cambria Math" w:hAnsi="Cambria Math" w:cstheme="majorBidi"/>
              <w:lang w:eastAsia="fr-FR"/>
            </w:rPr>
            <m:t xml:space="preserve">= </m:t>
          </m:r>
          <m:f>
            <m:fPr>
              <m:ctrlPr>
                <w:rPr>
                  <w:rFonts w:ascii="Cambria Math" w:hAnsi="Cambria Math" w:cstheme="majorBidi"/>
                  <w:i/>
                  <w:lang w:eastAsia="fr-FR"/>
                </w:rPr>
              </m:ctrlPr>
            </m:fPr>
            <m:num>
              <m:sSub>
                <m:sSubPr>
                  <m:ctrlPr>
                    <w:rPr>
                      <w:rFonts w:ascii="Cambria Math" w:hAnsi="Cambria Math" w:cstheme="majorBidi"/>
                      <w:lang w:eastAsia="fr-FR"/>
                    </w:rPr>
                  </m:ctrlPr>
                </m:sSubPr>
                <m:e>
                  <m:r>
                    <m:rPr>
                      <m:sty m:val="p"/>
                    </m:rPr>
                    <w:rPr>
                      <w:rFonts w:ascii="Cambria Math" w:hAnsi="Cambria Math" w:cstheme="majorBidi"/>
                      <w:lang w:eastAsia="fr-FR"/>
                    </w:rPr>
                    <m:t>C</m:t>
                  </m:r>
                </m:e>
                <m:sub>
                  <m:r>
                    <m:rPr>
                      <m:sty m:val="p"/>
                    </m:rPr>
                    <w:rPr>
                      <w:rFonts w:ascii="Cambria Math" w:hAnsi="Cambria Math" w:cstheme="majorBidi"/>
                      <w:lang w:eastAsia="fr-FR"/>
                    </w:rPr>
                    <m:t xml:space="preserve">NaOH </m:t>
                  </m:r>
                </m:sub>
              </m:sSub>
              <m:r>
                <w:rPr>
                  <w:rFonts w:ascii="Cambria Math" w:hAnsi="Cambria Math" w:cstheme="majorBidi"/>
                  <w:lang w:eastAsia="fr-FR"/>
                </w:rPr>
                <m:t>×0.224</m:t>
              </m:r>
            </m:num>
            <m:den>
              <m:sSub>
                <m:sSubPr>
                  <m:ctrlPr>
                    <w:rPr>
                      <w:rFonts w:ascii="Cambria Math" w:hAnsi="Cambria Math" w:cstheme="majorBidi"/>
                      <w:lang w:eastAsia="fr-FR"/>
                    </w:rPr>
                  </m:ctrlPr>
                </m:sSubPr>
                <m:e>
                  <m:r>
                    <m:rPr>
                      <m:sty m:val="p"/>
                    </m:rPr>
                    <w:rPr>
                      <w:rFonts w:ascii="Cambria Math" w:hAnsi="Cambria Math" w:cstheme="majorBidi"/>
                      <w:lang w:eastAsia="fr-FR"/>
                    </w:rPr>
                    <m:t>m</m:t>
                  </m:r>
                </m:e>
                <m:sub>
                  <m:r>
                    <m:rPr>
                      <m:sty m:val="p"/>
                    </m:rPr>
                    <w:rPr>
                      <w:rFonts w:ascii="Cambria Math" w:hAnsi="Cambria Math" w:cstheme="majorBidi"/>
                      <w:lang w:eastAsia="fr-FR"/>
                    </w:rPr>
                    <m:t>NC</m:t>
                  </m:r>
                </m:sub>
              </m:sSub>
            </m:den>
          </m:f>
          <m:r>
            <w:rPr>
              <w:rFonts w:ascii="Cambria Math" w:hAnsi="Cambria Math" w:cstheme="majorBidi"/>
              <w:strike/>
              <w:color w:val="FF0000"/>
              <w:lang w:eastAsia="fr-FR"/>
            </w:rPr>
            <m:t>=</m:t>
          </m:r>
          <m:sSub>
            <m:sSubPr>
              <m:ctrlPr>
                <w:rPr>
                  <w:rFonts w:ascii="Cambria Math" w:hAnsi="Cambria Math" w:cstheme="majorBidi"/>
                  <w:strike/>
                  <w:color w:val="FF0000"/>
                  <w:lang w:eastAsia="fr-FR"/>
                </w:rPr>
              </m:ctrlPr>
            </m:sSubPr>
            <m:e>
              <m:r>
                <m:rPr>
                  <m:sty m:val="p"/>
                </m:rPr>
                <w:rPr>
                  <w:rFonts w:ascii="Cambria Math" w:hAnsi="Cambria Math" w:cstheme="majorBidi"/>
                  <w:strike/>
                  <w:color w:val="FF0000"/>
                  <w:lang w:eastAsia="fr-FR"/>
                </w:rPr>
                <m:t>C</m:t>
              </m:r>
            </m:e>
            <m:sub>
              <m:r>
                <m:rPr>
                  <m:sty m:val="p"/>
                </m:rPr>
                <w:rPr>
                  <w:rFonts w:ascii="Cambria Math" w:hAnsi="Cambria Math" w:cstheme="majorBidi"/>
                  <w:strike/>
                  <w:color w:val="FF0000"/>
                  <w:lang w:eastAsia="fr-FR"/>
                </w:rPr>
                <m:t xml:space="preserve">NaOH </m:t>
              </m:r>
            </m:sub>
          </m:sSub>
          <m:r>
            <w:rPr>
              <w:rFonts w:ascii="Cambria Math" w:hAnsi="Cambria Math" w:cstheme="majorBidi"/>
              <w:strike/>
              <w:color w:val="FF0000"/>
              <w:lang w:eastAsia="fr-FR"/>
            </w:rPr>
            <m:t>×0.224</m:t>
          </m:r>
        </m:oMath>
      </m:oMathPara>
    </w:p>
    <w:p w14:paraId="469FB8B3" w14:textId="1F0EB55D" w:rsidR="000B3B57" w:rsidRPr="000D6B4B" w:rsidRDefault="000B3B57" w:rsidP="00DB79FF">
      <w:pPr>
        <w:pStyle w:val="SingleTxtG"/>
        <w:ind w:firstLine="567"/>
        <w:rPr>
          <w:lang w:eastAsia="fr-FR"/>
        </w:rPr>
      </w:pPr>
      <w:r w:rsidRPr="000D6B4B">
        <w:rPr>
          <w:lang w:eastAsia="fr-FR"/>
        </w:rPr>
        <w:t xml:space="preserve">Replace the next equation as </w:t>
      </w:r>
      <w:r w:rsidR="002E5A19">
        <w:rPr>
          <w:lang w:eastAsia="fr-FR"/>
        </w:rPr>
        <w:t>follows</w:t>
      </w:r>
      <w:r w:rsidRPr="000D6B4B">
        <w:rPr>
          <w:lang w:eastAsia="fr-FR"/>
        </w:rPr>
        <w:t>:</w:t>
      </w:r>
    </w:p>
    <w:tbl>
      <w:tblPr>
        <w:tblStyle w:val="TableGrid2"/>
        <w:tblW w:w="0" w:type="auto"/>
        <w:jc w:val="center"/>
        <w:tblBorders>
          <w:top w:val="none" w:sz="0" w:space="0" w:color="auto"/>
          <w:left w:val="none" w:sz="0" w:space="0" w:color="auto"/>
          <w:bottom w:val="single" w:sz="2" w:space="0" w:color="0070C0"/>
          <w:right w:val="none" w:sz="0" w:space="0" w:color="auto"/>
          <w:insideH w:val="none" w:sz="0" w:space="0" w:color="auto"/>
          <w:insideV w:val="none" w:sz="0" w:space="0" w:color="auto"/>
        </w:tblBorders>
        <w:tblLook w:val="04A0" w:firstRow="1" w:lastRow="0" w:firstColumn="1" w:lastColumn="0" w:noHBand="0" w:noVBand="1"/>
      </w:tblPr>
      <w:tblGrid>
        <w:gridCol w:w="2554"/>
        <w:gridCol w:w="2440"/>
      </w:tblGrid>
      <w:tr w:rsidR="000B3B57" w:rsidRPr="000D6B4B" w14:paraId="6C190B32" w14:textId="77777777" w:rsidTr="00626839">
        <w:trPr>
          <w:jc w:val="center"/>
        </w:trPr>
        <w:tc>
          <w:tcPr>
            <w:tcW w:w="2554" w:type="dxa"/>
            <w:tcBorders>
              <w:top w:val="nil"/>
              <w:left w:val="nil"/>
              <w:bottom w:val="nil"/>
              <w:right w:val="nil"/>
            </w:tcBorders>
            <w:vAlign w:val="center"/>
            <w:hideMark/>
          </w:tcPr>
          <w:p w14:paraId="787D75E1" w14:textId="77777777" w:rsidR="000B3B57" w:rsidRPr="000D6B4B" w:rsidRDefault="00AC592F" w:rsidP="00626839">
            <w:pPr>
              <w:numPr>
                <w:ilvl w:val="12"/>
                <w:numId w:val="0"/>
              </w:numPr>
              <w:tabs>
                <w:tab w:val="num" w:pos="360"/>
                <w:tab w:val="left" w:pos="900"/>
                <w:tab w:val="left" w:pos="1418"/>
              </w:tabs>
              <w:kinsoku/>
              <w:overflowPunct/>
              <w:snapToGrid/>
              <w:spacing w:after="120"/>
              <w:ind w:right="432"/>
              <w:jc w:val="center"/>
              <w:rPr>
                <w:rFonts w:asciiTheme="majorBidi" w:hAnsiTheme="majorBidi" w:cstheme="majorBidi"/>
                <w:lang w:val="en-GB" w:eastAsia="fr-FR"/>
              </w:rPr>
            </w:pPr>
            <m:oMathPara>
              <m:oMath>
                <m:sSub>
                  <m:sSubPr>
                    <m:ctrlPr>
                      <w:rPr>
                        <w:rFonts w:ascii="Cambria Math" w:hAnsi="Cambria Math" w:cstheme="majorBidi"/>
                        <w:strike/>
                        <w:color w:val="FF0000"/>
                        <w:sz w:val="22"/>
                        <w:szCs w:val="22"/>
                        <w:lang w:val="en-GB" w:eastAsia="fr-FR"/>
                      </w:rPr>
                    </m:ctrlPr>
                  </m:sSubPr>
                  <m:e>
                    <m:r>
                      <m:rPr>
                        <m:sty m:val="p"/>
                      </m:rPr>
                      <w:rPr>
                        <w:rFonts w:ascii="Cambria Math" w:hAnsi="Cambria Math" w:cstheme="majorBidi"/>
                        <w:strike/>
                        <w:color w:val="FF0000"/>
                        <w:sz w:val="22"/>
                        <w:szCs w:val="22"/>
                        <w:lang w:val="en-GB" w:eastAsia="fr-FR"/>
                      </w:rPr>
                      <m:t>V</m:t>
                    </m:r>
                  </m:e>
                  <m:sub>
                    <m:r>
                      <m:rPr>
                        <m:sty m:val="p"/>
                      </m:rPr>
                      <w:rPr>
                        <w:rFonts w:ascii="Cambria Math" w:hAnsi="Cambria Math" w:cstheme="majorBidi"/>
                        <w:strike/>
                        <w:color w:val="FF0000"/>
                        <w:sz w:val="22"/>
                        <w:szCs w:val="22"/>
                        <w:lang w:val="en-GB" w:eastAsia="fr-FR"/>
                      </w:rPr>
                      <m:t>NO</m:t>
                    </m:r>
                  </m:sub>
                </m:sSub>
                <m:r>
                  <w:rPr>
                    <w:rFonts w:ascii="Cambria Math" w:hAnsi="Cambria Math" w:cstheme="majorBidi"/>
                    <w:strike/>
                    <w:color w:val="FF0000"/>
                    <w:sz w:val="22"/>
                    <w:szCs w:val="22"/>
                    <w:lang w:val="en-GB" w:eastAsia="fr-FR"/>
                  </w:rPr>
                  <m:t>=</m:t>
                </m:r>
                <m:sSub>
                  <m:sSubPr>
                    <m:ctrlPr>
                      <w:rPr>
                        <w:rFonts w:ascii="Cambria Math" w:hAnsi="Cambria Math" w:cstheme="majorBidi"/>
                        <w:strike/>
                        <w:color w:val="FF0000"/>
                        <w:sz w:val="22"/>
                        <w:szCs w:val="22"/>
                        <w:lang w:val="en-GB" w:eastAsia="fr-FR"/>
                      </w:rPr>
                    </m:ctrlPr>
                  </m:sSubPr>
                  <m:e>
                    <m:r>
                      <m:rPr>
                        <m:sty m:val="p"/>
                      </m:rPr>
                      <w:rPr>
                        <w:rFonts w:ascii="Cambria Math" w:hAnsi="Cambria Math" w:cstheme="majorBidi"/>
                        <w:strike/>
                        <w:color w:val="FF0000"/>
                        <w:sz w:val="22"/>
                        <w:szCs w:val="22"/>
                        <w:lang w:val="en-GB" w:eastAsia="fr-FR"/>
                      </w:rPr>
                      <m:t>C</m:t>
                    </m:r>
                  </m:e>
                  <m:sub>
                    <m:r>
                      <m:rPr>
                        <m:sty m:val="p"/>
                      </m:rPr>
                      <w:rPr>
                        <w:rFonts w:ascii="Cambria Math" w:hAnsi="Cambria Math" w:cstheme="majorBidi"/>
                        <w:strike/>
                        <w:color w:val="FF0000"/>
                        <w:sz w:val="22"/>
                        <w:szCs w:val="22"/>
                        <w:lang w:val="en-GB" w:eastAsia="fr-FR"/>
                      </w:rPr>
                      <m:t xml:space="preserve">NaOH </m:t>
                    </m:r>
                  </m:sub>
                </m:sSub>
                <m:r>
                  <w:rPr>
                    <w:rFonts w:ascii="Cambria Math" w:hAnsi="Cambria Math" w:cstheme="majorBidi"/>
                    <w:strike/>
                    <w:color w:val="FF0000"/>
                    <w:sz w:val="22"/>
                    <w:szCs w:val="22"/>
                    <w:lang w:val="en-GB" w:eastAsia="fr-FR"/>
                  </w:rPr>
                  <m:t>×2.2</m:t>
                </m:r>
              </m:oMath>
            </m:oMathPara>
          </w:p>
        </w:tc>
        <w:tc>
          <w:tcPr>
            <w:tcW w:w="2440" w:type="dxa"/>
            <w:tcBorders>
              <w:top w:val="nil"/>
              <w:left w:val="nil"/>
              <w:bottom w:val="nil"/>
              <w:right w:val="nil"/>
            </w:tcBorders>
            <w:vAlign w:val="center"/>
            <w:hideMark/>
          </w:tcPr>
          <w:p w14:paraId="00202431" w14:textId="31789E37" w:rsidR="000B3B57" w:rsidRPr="00E91D19" w:rsidRDefault="00AC592F" w:rsidP="00626839">
            <w:pPr>
              <w:numPr>
                <w:ilvl w:val="12"/>
                <w:numId w:val="0"/>
              </w:numPr>
              <w:tabs>
                <w:tab w:val="num" w:pos="360"/>
                <w:tab w:val="left" w:pos="900"/>
                <w:tab w:val="left" w:pos="1418"/>
              </w:tabs>
              <w:kinsoku/>
              <w:overflowPunct/>
              <w:snapToGrid/>
              <w:spacing w:after="120"/>
              <w:ind w:right="432"/>
              <w:jc w:val="center"/>
              <w:rPr>
                <w:rFonts w:asciiTheme="majorBidi" w:hAnsiTheme="majorBidi" w:cstheme="majorBidi"/>
                <w:b/>
                <w:bCs/>
                <w:lang w:val="en-GB" w:eastAsia="fr-FR"/>
              </w:rPr>
            </w:pPr>
            <m:oMathPara>
              <m:oMath>
                <m:sSub>
                  <m:sSubPr>
                    <m:ctrlPr>
                      <w:rPr>
                        <w:rFonts w:ascii="Cambria Math" w:hAnsi="Cambria Math" w:cstheme="majorBidi"/>
                        <w:b/>
                        <w:bCs/>
                        <w:color w:val="0070C0"/>
                        <w:sz w:val="22"/>
                        <w:szCs w:val="22"/>
                        <w:lang w:val="en-GB" w:eastAsia="fr-FR"/>
                      </w:rPr>
                    </m:ctrlPr>
                  </m:sSubPr>
                  <m:e>
                    <m:r>
                      <m:rPr>
                        <m:sty m:val="b"/>
                      </m:rPr>
                      <w:rPr>
                        <w:rFonts w:ascii="Cambria Math" w:hAnsi="Cambria Math" w:cstheme="majorBidi"/>
                        <w:color w:val="0070C0"/>
                        <w:sz w:val="22"/>
                        <w:szCs w:val="22"/>
                        <w:lang w:val="en-GB" w:eastAsia="fr-FR"/>
                      </w:rPr>
                      <m:t>V</m:t>
                    </m:r>
                  </m:e>
                  <m:sub>
                    <m:r>
                      <m:rPr>
                        <m:sty m:val="b"/>
                      </m:rPr>
                      <w:rPr>
                        <w:rFonts w:ascii="Cambria Math" w:hAnsi="Cambria Math" w:cstheme="majorBidi"/>
                        <w:color w:val="0070C0"/>
                        <w:sz w:val="22"/>
                        <w:szCs w:val="22"/>
                        <w:lang w:val="en-GB" w:eastAsia="fr-FR"/>
                      </w:rPr>
                      <m:t>NO</m:t>
                    </m:r>
                  </m:sub>
                </m:sSub>
                <m:r>
                  <m:rPr>
                    <m:sty m:val="bi"/>
                  </m:rPr>
                  <w:rPr>
                    <w:rFonts w:ascii="Cambria Math" w:hAnsi="Cambria Math" w:cstheme="majorBidi"/>
                    <w:color w:val="0070C0"/>
                    <w:sz w:val="22"/>
                    <w:szCs w:val="22"/>
                    <w:lang w:val="en-GB" w:eastAsia="fr-FR"/>
                  </w:rPr>
                  <m:t>=</m:t>
                </m:r>
                <m:f>
                  <m:fPr>
                    <m:ctrlPr>
                      <w:rPr>
                        <w:rFonts w:ascii="Cambria Math" w:hAnsi="Cambria Math" w:cstheme="majorBidi"/>
                        <w:b/>
                        <w:bCs/>
                        <w:i/>
                        <w:color w:val="0070C0"/>
                        <w:sz w:val="22"/>
                        <w:szCs w:val="22"/>
                        <w:lang w:val="en-GB" w:eastAsia="fr-FR"/>
                      </w:rPr>
                    </m:ctrlPr>
                  </m:fPr>
                  <m:num>
                    <m:sSub>
                      <m:sSubPr>
                        <m:ctrlPr>
                          <w:rPr>
                            <w:rFonts w:ascii="Cambria Math" w:hAnsi="Cambria Math" w:cstheme="majorBidi"/>
                            <w:b/>
                            <w:bCs/>
                            <w:color w:val="0070C0"/>
                            <w:sz w:val="22"/>
                            <w:szCs w:val="22"/>
                            <w:lang w:val="en-GB" w:eastAsia="fr-FR"/>
                          </w:rPr>
                        </m:ctrlPr>
                      </m:sSubPr>
                      <m:e>
                        <m:r>
                          <m:rPr>
                            <m:sty m:val="b"/>
                          </m:rPr>
                          <w:rPr>
                            <w:rFonts w:ascii="Cambria Math" w:hAnsi="Cambria Math" w:cstheme="majorBidi"/>
                            <w:color w:val="0070C0"/>
                            <w:sz w:val="22"/>
                            <w:szCs w:val="22"/>
                            <w:lang w:val="en-GB" w:eastAsia="fr-FR"/>
                          </w:rPr>
                          <m:t>C</m:t>
                        </m:r>
                      </m:e>
                      <m:sub>
                        <m:r>
                          <m:rPr>
                            <m:sty m:val="b"/>
                          </m:rPr>
                          <w:rPr>
                            <w:rFonts w:ascii="Cambria Math" w:hAnsi="Cambria Math" w:cstheme="majorBidi"/>
                            <w:color w:val="0070C0"/>
                            <w:sz w:val="22"/>
                            <w:szCs w:val="22"/>
                            <w:lang w:val="en-GB" w:eastAsia="fr-FR"/>
                          </w:rPr>
                          <m:t xml:space="preserve">NaOH </m:t>
                        </m:r>
                      </m:sub>
                    </m:sSub>
                    <m:r>
                      <m:rPr>
                        <m:sty m:val="bi"/>
                      </m:rPr>
                      <w:rPr>
                        <w:rFonts w:ascii="Cambria Math" w:hAnsi="Cambria Math" w:cstheme="majorBidi"/>
                        <w:color w:val="0070C0"/>
                        <w:sz w:val="22"/>
                        <w:szCs w:val="22"/>
                        <w:lang w:val="en-GB" w:eastAsia="fr-FR"/>
                      </w:rPr>
                      <m:t>×2.24</m:t>
                    </m:r>
                  </m:num>
                  <m:den>
                    <m:sSub>
                      <m:sSubPr>
                        <m:ctrlPr>
                          <w:rPr>
                            <w:rFonts w:ascii="Cambria Math" w:hAnsi="Cambria Math" w:cstheme="majorBidi"/>
                            <w:b/>
                            <w:bCs/>
                            <w:color w:val="0070C0"/>
                            <w:sz w:val="22"/>
                            <w:szCs w:val="22"/>
                            <w:lang w:val="en-GB" w:eastAsia="fr-FR"/>
                          </w:rPr>
                        </m:ctrlPr>
                      </m:sSubPr>
                      <m:e>
                        <m:r>
                          <m:rPr>
                            <m:sty m:val="b"/>
                          </m:rPr>
                          <w:rPr>
                            <w:rFonts w:ascii="Cambria Math" w:hAnsi="Cambria Math" w:cstheme="majorBidi"/>
                            <w:color w:val="0070C0"/>
                            <w:sz w:val="22"/>
                            <w:szCs w:val="22"/>
                            <w:lang w:val="en-GB" w:eastAsia="fr-FR"/>
                          </w:rPr>
                          <m:t>m</m:t>
                        </m:r>
                      </m:e>
                      <m:sub>
                        <m:r>
                          <m:rPr>
                            <m:sty m:val="b"/>
                          </m:rPr>
                          <w:rPr>
                            <w:rFonts w:ascii="Cambria Math" w:hAnsi="Cambria Math" w:cstheme="majorBidi"/>
                            <w:color w:val="0070C0"/>
                            <w:sz w:val="22"/>
                            <w:szCs w:val="22"/>
                            <w:lang w:val="en-GB" w:eastAsia="fr-FR"/>
                          </w:rPr>
                          <m:t>NC</m:t>
                        </m:r>
                      </m:sub>
                    </m:sSub>
                  </m:den>
                </m:f>
              </m:oMath>
            </m:oMathPara>
          </w:p>
        </w:tc>
      </w:tr>
    </w:tbl>
    <w:p w14:paraId="48647561" w14:textId="2F438C11" w:rsidR="002B3B94" w:rsidRPr="00996625" w:rsidRDefault="00996625" w:rsidP="00996625">
      <w:pPr>
        <w:spacing w:before="240"/>
        <w:jc w:val="center"/>
        <w:rPr>
          <w:u w:val="single"/>
        </w:rPr>
      </w:pPr>
      <w:r>
        <w:rPr>
          <w:u w:val="single"/>
        </w:rPr>
        <w:tab/>
      </w:r>
      <w:r>
        <w:rPr>
          <w:u w:val="single"/>
        </w:rPr>
        <w:tab/>
      </w:r>
      <w:r>
        <w:rPr>
          <w:u w:val="single"/>
        </w:rPr>
        <w:tab/>
      </w:r>
    </w:p>
    <w:p w14:paraId="42B71420" w14:textId="77777777" w:rsidR="002B3B94" w:rsidRDefault="002B3B94" w:rsidP="000B2AB2"/>
    <w:sectPr w:rsidR="002B3B94" w:rsidSect="00111894">
      <w:headerReference w:type="even" r:id="rId12"/>
      <w:headerReference w:type="default" r:id="rId13"/>
      <w:footerReference w:type="even" r:id="rId14"/>
      <w:footerReference w:type="default" r:id="rId15"/>
      <w:footerReference w:type="first" r:id="rId16"/>
      <w:footnotePr>
        <w:numFmt w:val="chicago"/>
      </w:footnotePr>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074B5" w14:textId="77777777" w:rsidR="00B96A8B" w:rsidRPr="00C47B2E" w:rsidRDefault="00B96A8B" w:rsidP="00C47B2E">
      <w:pPr>
        <w:pStyle w:val="Footer"/>
      </w:pPr>
    </w:p>
  </w:endnote>
  <w:endnote w:type="continuationSeparator" w:id="0">
    <w:p w14:paraId="10A738B9" w14:textId="77777777" w:rsidR="00B96A8B" w:rsidRPr="00C47B2E" w:rsidRDefault="00B96A8B" w:rsidP="00C47B2E">
      <w:pPr>
        <w:pStyle w:val="Footer"/>
      </w:pPr>
    </w:p>
  </w:endnote>
  <w:endnote w:type="continuationNotice" w:id="1">
    <w:p w14:paraId="46E351DE" w14:textId="77777777" w:rsidR="00B96A8B" w:rsidRPr="00C47B2E" w:rsidRDefault="00B96A8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C205" w14:textId="3EDA610C" w:rsidR="00D94B05" w:rsidRPr="00A17727" w:rsidRDefault="00A17727" w:rsidP="00A17727">
    <w:pPr>
      <w:pStyle w:val="Footer"/>
      <w:tabs>
        <w:tab w:val="right" w:pos="9598"/>
        <w:tab w:val="right" w:pos="9638"/>
      </w:tabs>
      <w:rPr>
        <w:sz w:val="18"/>
      </w:rPr>
    </w:pPr>
    <w:r w:rsidRPr="00A17727">
      <w:rPr>
        <w:b/>
        <w:sz w:val="18"/>
      </w:rPr>
      <w:fldChar w:fldCharType="begin"/>
    </w:r>
    <w:r w:rsidRPr="00A17727">
      <w:rPr>
        <w:b/>
        <w:sz w:val="18"/>
      </w:rPr>
      <w:instrText xml:space="preserve"> PAGE  \* MERGEFORMAT </w:instrText>
    </w:r>
    <w:r w:rsidRPr="00A17727">
      <w:rPr>
        <w:b/>
        <w:sz w:val="18"/>
      </w:rPr>
      <w:fldChar w:fldCharType="separate"/>
    </w:r>
    <w:r w:rsidRPr="00A17727">
      <w:rPr>
        <w:b/>
        <w:noProof/>
        <w:sz w:val="18"/>
      </w:rPr>
      <w:t>2</w:t>
    </w:r>
    <w:r w:rsidRPr="00A177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B4E8" w14:textId="4B333F3B" w:rsidR="00D94B05" w:rsidRPr="00A17727" w:rsidRDefault="00A17727" w:rsidP="00A17727">
    <w:pPr>
      <w:pStyle w:val="Footer"/>
      <w:tabs>
        <w:tab w:val="left" w:pos="5775"/>
        <w:tab w:val="right" w:pos="9598"/>
        <w:tab w:val="right" w:pos="9638"/>
      </w:tabs>
      <w:rPr>
        <w:sz w:val="18"/>
      </w:rPr>
    </w:pPr>
    <w:r>
      <w:rPr>
        <w:b/>
        <w:sz w:val="18"/>
      </w:rPr>
      <w:tab/>
    </w:r>
    <w:r w:rsidRPr="00A17727">
      <w:rPr>
        <w:sz w:val="18"/>
      </w:rPr>
      <w:fldChar w:fldCharType="begin"/>
    </w:r>
    <w:r w:rsidRPr="00A17727">
      <w:rPr>
        <w:sz w:val="18"/>
      </w:rPr>
      <w:instrText xml:space="preserve"> PAGE  \* MERGEFORMAT </w:instrText>
    </w:r>
    <w:r w:rsidRPr="00A17727">
      <w:rPr>
        <w:sz w:val="18"/>
      </w:rPr>
      <w:fldChar w:fldCharType="separate"/>
    </w:r>
    <w:r w:rsidRPr="00A17727">
      <w:rPr>
        <w:noProof/>
        <w:sz w:val="18"/>
      </w:rPr>
      <w:t>3</w:t>
    </w:r>
    <w:r w:rsidRPr="00A1772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83DF" w14:textId="77777777" w:rsidR="00D94B05" w:rsidRPr="00A1772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24097B47" wp14:editId="1ACB1542">
          <wp:simplePos x="0" y="0"/>
          <wp:positionH relativeFrom="margin">
            <wp:posOffset>5003800</wp:posOffset>
          </wp:positionH>
          <wp:positionV relativeFrom="margin">
            <wp:posOffset>9323705</wp:posOffset>
          </wp:positionV>
          <wp:extent cx="923925" cy="228600"/>
          <wp:effectExtent l="0" t="0" r="9525" b="0"/>
          <wp:wrapNone/>
          <wp:docPr id="5"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B2084" w14:textId="77777777" w:rsidR="00B96A8B" w:rsidRPr="00C47B2E" w:rsidRDefault="00B96A8B" w:rsidP="00C47B2E">
      <w:pPr>
        <w:tabs>
          <w:tab w:val="right" w:pos="2155"/>
        </w:tabs>
        <w:spacing w:after="80" w:line="240" w:lineRule="auto"/>
        <w:ind w:left="680"/>
      </w:pPr>
      <w:r>
        <w:rPr>
          <w:u w:val="single"/>
        </w:rPr>
        <w:tab/>
      </w:r>
    </w:p>
  </w:footnote>
  <w:footnote w:type="continuationSeparator" w:id="0">
    <w:p w14:paraId="6F5DD638" w14:textId="77777777" w:rsidR="00B96A8B" w:rsidRPr="00C47B2E" w:rsidRDefault="00B96A8B" w:rsidP="005E716E">
      <w:pPr>
        <w:tabs>
          <w:tab w:val="right" w:pos="2155"/>
        </w:tabs>
        <w:spacing w:after="80" w:line="240" w:lineRule="auto"/>
        <w:ind w:left="680"/>
      </w:pPr>
      <w:r>
        <w:rPr>
          <w:u w:val="single"/>
        </w:rPr>
        <w:tab/>
      </w:r>
    </w:p>
  </w:footnote>
  <w:footnote w:type="continuationNotice" w:id="1">
    <w:p w14:paraId="00E5C120" w14:textId="77777777" w:rsidR="00B96A8B" w:rsidRPr="00C47B2E" w:rsidRDefault="00B96A8B" w:rsidP="00C47B2E">
      <w:pPr>
        <w:pStyle w:val="Footer"/>
      </w:pPr>
    </w:p>
  </w:footnote>
  <w:footnote w:id="2">
    <w:p w14:paraId="6569CAAB" w14:textId="40A5B0A1" w:rsidR="00A14403" w:rsidRPr="00A14403" w:rsidRDefault="00A14403" w:rsidP="00A14403">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60C8" w14:textId="2F18D884" w:rsidR="00A17727" w:rsidRPr="00996625" w:rsidRDefault="00996625">
    <w:pPr>
      <w:pStyle w:val="Header"/>
      <w:rPr>
        <w:lang w:val="fr-CH"/>
      </w:rPr>
    </w:pPr>
    <w:r>
      <w:rPr>
        <w:lang w:val="fr-CH"/>
      </w:rPr>
      <w:t>ST/SG/AC.10/C.3/2021/34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2F7E" w14:textId="69CFA45C" w:rsidR="00D94B05" w:rsidRPr="00A17727" w:rsidRDefault="00AC592F" w:rsidP="00A17727">
    <w:pPr>
      <w:pStyle w:val="Header"/>
      <w:jc w:val="right"/>
    </w:pPr>
    <w:r>
      <w:fldChar w:fldCharType="begin"/>
    </w:r>
    <w:r>
      <w:instrText xml:space="preserve"> TITLE  \* MERGEFORMAT </w:instrText>
    </w:r>
    <w:r>
      <w:fldChar w:fldCharType="separate"/>
    </w:r>
    <w:r w:rsidR="003B1E31">
      <w:t>ST/SG/AC.10/C.3/2021/32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0"/>
  </w:num>
  <w:num w:numId="7">
    <w:abstractNumId w:val="4"/>
  </w:num>
  <w:num w:numId="8">
    <w:abstractNumId w:val="1"/>
  </w:num>
  <w:num w:numId="9">
    <w:abstractNumId w:val="9"/>
  </w:num>
  <w:num w:numId="10">
    <w:abstractNumId w:val="1"/>
  </w:num>
  <w:num w:numId="11">
    <w:abstractNumId w:val="9"/>
  </w:num>
  <w:num w:numId="12">
    <w:abstractNumId w:val="3"/>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27"/>
    <w:rsid w:val="00046E92"/>
    <w:rsid w:val="00057BBF"/>
    <w:rsid w:val="00063C90"/>
    <w:rsid w:val="00074974"/>
    <w:rsid w:val="000A0ACE"/>
    <w:rsid w:val="000A0B4D"/>
    <w:rsid w:val="000A34F8"/>
    <w:rsid w:val="000B2AB2"/>
    <w:rsid w:val="000B3B57"/>
    <w:rsid w:val="00101B98"/>
    <w:rsid w:val="00111894"/>
    <w:rsid w:val="00136B91"/>
    <w:rsid w:val="001514D1"/>
    <w:rsid w:val="00164187"/>
    <w:rsid w:val="001824DF"/>
    <w:rsid w:val="00190467"/>
    <w:rsid w:val="001B59F8"/>
    <w:rsid w:val="00211307"/>
    <w:rsid w:val="00247E2C"/>
    <w:rsid w:val="00292495"/>
    <w:rsid w:val="002A2773"/>
    <w:rsid w:val="002A32CB"/>
    <w:rsid w:val="002B3B94"/>
    <w:rsid w:val="002D5B2C"/>
    <w:rsid w:val="002D6C53"/>
    <w:rsid w:val="002E5A19"/>
    <w:rsid w:val="002F5595"/>
    <w:rsid w:val="00334F6A"/>
    <w:rsid w:val="00337E84"/>
    <w:rsid w:val="00342AC8"/>
    <w:rsid w:val="00343302"/>
    <w:rsid w:val="00350D48"/>
    <w:rsid w:val="003730F4"/>
    <w:rsid w:val="00392D75"/>
    <w:rsid w:val="003979DE"/>
    <w:rsid w:val="003B1E31"/>
    <w:rsid w:val="003B3A86"/>
    <w:rsid w:val="003B4550"/>
    <w:rsid w:val="003D2A18"/>
    <w:rsid w:val="003E3D74"/>
    <w:rsid w:val="00413386"/>
    <w:rsid w:val="0044048B"/>
    <w:rsid w:val="00461253"/>
    <w:rsid w:val="004858F5"/>
    <w:rsid w:val="004A2814"/>
    <w:rsid w:val="004C0622"/>
    <w:rsid w:val="004C64C4"/>
    <w:rsid w:val="005042C2"/>
    <w:rsid w:val="005C6701"/>
    <w:rsid w:val="005D229F"/>
    <w:rsid w:val="005E4606"/>
    <w:rsid w:val="005E716E"/>
    <w:rsid w:val="00607F2B"/>
    <w:rsid w:val="006476E1"/>
    <w:rsid w:val="006604DF"/>
    <w:rsid w:val="00671529"/>
    <w:rsid w:val="006C1379"/>
    <w:rsid w:val="006D4238"/>
    <w:rsid w:val="006F68FC"/>
    <w:rsid w:val="00702104"/>
    <w:rsid w:val="0070489D"/>
    <w:rsid w:val="00711993"/>
    <w:rsid w:val="007268F9"/>
    <w:rsid w:val="0073134B"/>
    <w:rsid w:val="00737EA4"/>
    <w:rsid w:val="00750282"/>
    <w:rsid w:val="00764440"/>
    <w:rsid w:val="00767190"/>
    <w:rsid w:val="0077101B"/>
    <w:rsid w:val="00772018"/>
    <w:rsid w:val="007A3E20"/>
    <w:rsid w:val="007C52B0"/>
    <w:rsid w:val="007C6033"/>
    <w:rsid w:val="008147C8"/>
    <w:rsid w:val="0081753A"/>
    <w:rsid w:val="00857D23"/>
    <w:rsid w:val="00876179"/>
    <w:rsid w:val="008C4BD9"/>
    <w:rsid w:val="009411B4"/>
    <w:rsid w:val="00946F1D"/>
    <w:rsid w:val="00963831"/>
    <w:rsid w:val="00992B7D"/>
    <w:rsid w:val="00996625"/>
    <w:rsid w:val="009B70A0"/>
    <w:rsid w:val="009C4594"/>
    <w:rsid w:val="009D0139"/>
    <w:rsid w:val="009D717D"/>
    <w:rsid w:val="009E3FF9"/>
    <w:rsid w:val="009F5CDC"/>
    <w:rsid w:val="00A072D7"/>
    <w:rsid w:val="00A14403"/>
    <w:rsid w:val="00A1618E"/>
    <w:rsid w:val="00A17727"/>
    <w:rsid w:val="00A3608A"/>
    <w:rsid w:val="00A775CF"/>
    <w:rsid w:val="00AC592F"/>
    <w:rsid w:val="00AD1A9C"/>
    <w:rsid w:val="00AF2748"/>
    <w:rsid w:val="00AF5DE1"/>
    <w:rsid w:val="00B06045"/>
    <w:rsid w:val="00B206DD"/>
    <w:rsid w:val="00B232CB"/>
    <w:rsid w:val="00B52172"/>
    <w:rsid w:val="00B52EF4"/>
    <w:rsid w:val="00B777AD"/>
    <w:rsid w:val="00B96794"/>
    <w:rsid w:val="00B96A8B"/>
    <w:rsid w:val="00BB3832"/>
    <w:rsid w:val="00BF56D8"/>
    <w:rsid w:val="00C03015"/>
    <w:rsid w:val="00C0358D"/>
    <w:rsid w:val="00C26302"/>
    <w:rsid w:val="00C35A27"/>
    <w:rsid w:val="00C35E04"/>
    <w:rsid w:val="00C47B2E"/>
    <w:rsid w:val="00C50184"/>
    <w:rsid w:val="00C56A09"/>
    <w:rsid w:val="00C653A2"/>
    <w:rsid w:val="00C818C0"/>
    <w:rsid w:val="00CB39FC"/>
    <w:rsid w:val="00D14E12"/>
    <w:rsid w:val="00D556F0"/>
    <w:rsid w:val="00D63CD2"/>
    <w:rsid w:val="00D87DC2"/>
    <w:rsid w:val="00D94B05"/>
    <w:rsid w:val="00DB79FF"/>
    <w:rsid w:val="00DC69D1"/>
    <w:rsid w:val="00E02C2B"/>
    <w:rsid w:val="00E07C0E"/>
    <w:rsid w:val="00E1450C"/>
    <w:rsid w:val="00E21C27"/>
    <w:rsid w:val="00E26BCF"/>
    <w:rsid w:val="00E43E2B"/>
    <w:rsid w:val="00E52109"/>
    <w:rsid w:val="00E75317"/>
    <w:rsid w:val="00E82A75"/>
    <w:rsid w:val="00E91D19"/>
    <w:rsid w:val="00EA776B"/>
    <w:rsid w:val="00EB1E8D"/>
    <w:rsid w:val="00EC0CE6"/>
    <w:rsid w:val="00EC7C1D"/>
    <w:rsid w:val="00ED6C48"/>
    <w:rsid w:val="00EE3045"/>
    <w:rsid w:val="00F20510"/>
    <w:rsid w:val="00F65F5D"/>
    <w:rsid w:val="00F66157"/>
    <w:rsid w:val="00F86A3A"/>
    <w:rsid w:val="00FA0169"/>
    <w:rsid w:val="00FB0D3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D9C7A"/>
  <w15:docId w15:val="{E6B76A31-88CA-42E5-932D-31E2C9A6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37EA4"/>
    <w:rPr>
      <w:b/>
      <w:sz w:val="28"/>
    </w:rPr>
  </w:style>
  <w:style w:type="character" w:customStyle="1" w:styleId="SingleTxtGChar">
    <w:name w:val="_ Single Txt_G Char"/>
    <w:link w:val="SingleTxtG"/>
    <w:locked/>
    <w:rsid w:val="00737EA4"/>
  </w:style>
  <w:style w:type="character" w:customStyle="1" w:styleId="H1GChar">
    <w:name w:val="_ H_1_G Char"/>
    <w:link w:val="H1G"/>
    <w:locked/>
    <w:rsid w:val="00737EA4"/>
    <w:rPr>
      <w:b/>
      <w:sz w:val="24"/>
    </w:rPr>
  </w:style>
  <w:style w:type="paragraph" w:customStyle="1" w:styleId="Default">
    <w:name w:val="Default"/>
    <w:rsid w:val="00737EA4"/>
    <w:pPr>
      <w:autoSpaceDE w:val="0"/>
      <w:autoSpaceDN w:val="0"/>
      <w:adjustRightInd w:val="0"/>
      <w:spacing w:after="0" w:line="240" w:lineRule="auto"/>
    </w:pPr>
    <w:rPr>
      <w:rFonts w:eastAsia="Times New Roman"/>
      <w:color w:val="000000"/>
      <w:sz w:val="24"/>
      <w:szCs w:val="24"/>
      <w:lang w:val="sv-SE" w:eastAsia="sv-SE"/>
    </w:rPr>
  </w:style>
  <w:style w:type="table" w:customStyle="1" w:styleId="TableGrid2">
    <w:name w:val="Table Grid2"/>
    <w:basedOn w:val="TableNormal"/>
    <w:next w:val="TableGrid"/>
    <w:uiPriority w:val="39"/>
    <w:rsid w:val="000B3B57"/>
    <w:pPr>
      <w:suppressAutoHyphens/>
      <w:spacing w:after="0"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7363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C2A39-C749-4EAC-B836-5F7DE75F1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EF3D73F1-C91B-470E-B50A-053F5EF438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CA672-6957-44E3-AD4F-7A63D70D7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13</TotalTime>
  <Pages>2</Pages>
  <Words>403</Words>
  <Characters>2105</Characters>
  <Application>Microsoft Office Word</Application>
  <DocSecurity>0</DocSecurity>
  <Lines>52</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ST/SG/AC.10/C.3/2021/32</dc:title>
  <dc:subject/>
  <dc:creator>Laurence BERTHET</dc:creator>
  <cp:lastModifiedBy>Laurence Berthet</cp:lastModifiedBy>
  <cp:revision>15</cp:revision>
  <cp:lastPrinted>2021-08-22T09:58:00Z</cp:lastPrinted>
  <dcterms:created xsi:type="dcterms:W3CDTF">2021-08-19T14:18:00Z</dcterms:created>
  <dcterms:modified xsi:type="dcterms:W3CDTF">2021-08-23T09:29:00Z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