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440FE8A8" w14:textId="77777777" w:rsidTr="00DF5712">
        <w:trPr>
          <w:trHeight w:hRule="exact" w:val="851"/>
        </w:trPr>
        <w:tc>
          <w:tcPr>
            <w:tcW w:w="1276" w:type="dxa"/>
            <w:tcBorders>
              <w:bottom w:val="single" w:sz="4" w:space="0" w:color="auto"/>
            </w:tcBorders>
          </w:tcPr>
          <w:p w14:paraId="266D1402" w14:textId="77777777" w:rsidR="00A14420" w:rsidRPr="00DB58B5" w:rsidRDefault="00A14420" w:rsidP="000D49B7"/>
        </w:tc>
        <w:tc>
          <w:tcPr>
            <w:tcW w:w="2268" w:type="dxa"/>
            <w:tcBorders>
              <w:bottom w:val="single" w:sz="4" w:space="0" w:color="auto"/>
            </w:tcBorders>
            <w:vAlign w:val="bottom"/>
          </w:tcPr>
          <w:p w14:paraId="41A56313"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D69B49" w14:textId="0A50527B" w:rsidR="00A14420" w:rsidRPr="00DB58B5" w:rsidRDefault="000D49B7" w:rsidP="000D49B7">
            <w:pPr>
              <w:jc w:val="right"/>
            </w:pPr>
            <w:r w:rsidRPr="000D49B7">
              <w:rPr>
                <w:sz w:val="40"/>
              </w:rPr>
              <w:t>ECE</w:t>
            </w:r>
            <w:r>
              <w:t>/MP.PP/2021/8</w:t>
            </w:r>
          </w:p>
        </w:tc>
      </w:tr>
      <w:tr w:rsidR="00A14420" w:rsidRPr="00DB58B5" w14:paraId="38DF7A3B" w14:textId="77777777" w:rsidTr="00DF5712">
        <w:trPr>
          <w:trHeight w:hRule="exact" w:val="2835"/>
        </w:trPr>
        <w:tc>
          <w:tcPr>
            <w:tcW w:w="1276" w:type="dxa"/>
            <w:tcBorders>
              <w:top w:val="single" w:sz="4" w:space="0" w:color="auto"/>
              <w:bottom w:val="single" w:sz="12" w:space="0" w:color="auto"/>
            </w:tcBorders>
          </w:tcPr>
          <w:p w14:paraId="315D4428" w14:textId="77777777" w:rsidR="00A14420" w:rsidRPr="00DB58B5" w:rsidRDefault="00A14420" w:rsidP="00DF5712">
            <w:pPr>
              <w:spacing w:before="120"/>
              <w:jc w:val="center"/>
            </w:pPr>
            <w:r>
              <w:rPr>
                <w:noProof/>
                <w:lang w:eastAsia="fr-CH"/>
              </w:rPr>
              <w:drawing>
                <wp:inline distT="0" distB="0" distL="0" distR="0" wp14:anchorId="006692A0" wp14:editId="7A13B65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0C90A4"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32840C" w14:textId="77777777" w:rsidR="00A14420" w:rsidRDefault="000D49B7" w:rsidP="00DF5712">
            <w:pPr>
              <w:spacing w:before="240"/>
            </w:pPr>
            <w:r>
              <w:t>Distr. générale</w:t>
            </w:r>
          </w:p>
          <w:p w14:paraId="5248CAE6" w14:textId="77777777" w:rsidR="000D49B7" w:rsidRDefault="000D49B7" w:rsidP="000D49B7">
            <w:pPr>
              <w:spacing w:line="240" w:lineRule="exact"/>
            </w:pPr>
            <w:r>
              <w:t>21 juillet 2021</w:t>
            </w:r>
          </w:p>
          <w:p w14:paraId="54FA349F" w14:textId="77777777" w:rsidR="000D49B7" w:rsidRDefault="000D49B7" w:rsidP="000D49B7">
            <w:pPr>
              <w:spacing w:line="240" w:lineRule="exact"/>
            </w:pPr>
            <w:r>
              <w:t>Français</w:t>
            </w:r>
          </w:p>
          <w:p w14:paraId="1715C2D1" w14:textId="26E46825" w:rsidR="000D49B7" w:rsidRPr="00DB58B5" w:rsidRDefault="000D49B7" w:rsidP="000D49B7">
            <w:pPr>
              <w:spacing w:line="240" w:lineRule="exact"/>
            </w:pPr>
            <w:r>
              <w:t>Original : anglais</w:t>
            </w:r>
          </w:p>
        </w:tc>
      </w:tr>
    </w:tbl>
    <w:p w14:paraId="70610D03" w14:textId="3DA2A521" w:rsidR="00C554CE" w:rsidRDefault="00C554CE" w:rsidP="00C554CE">
      <w:pPr>
        <w:spacing w:before="120"/>
        <w:rPr>
          <w:b/>
          <w:sz w:val="28"/>
          <w:szCs w:val="28"/>
        </w:rPr>
      </w:pPr>
      <w:r w:rsidRPr="000312C0">
        <w:rPr>
          <w:b/>
          <w:sz w:val="28"/>
          <w:szCs w:val="28"/>
        </w:rPr>
        <w:t>Commission économique pour l</w:t>
      </w:r>
      <w:r w:rsidR="000D49B7">
        <w:rPr>
          <w:b/>
          <w:sz w:val="28"/>
          <w:szCs w:val="28"/>
        </w:rPr>
        <w:t>’</w:t>
      </w:r>
      <w:r w:rsidRPr="000312C0">
        <w:rPr>
          <w:b/>
          <w:sz w:val="28"/>
          <w:szCs w:val="28"/>
        </w:rPr>
        <w:t>Europe</w:t>
      </w:r>
    </w:p>
    <w:p w14:paraId="0A3DE363" w14:textId="094C8E97" w:rsidR="000D49B7" w:rsidRDefault="000D49B7" w:rsidP="000D49B7">
      <w:pPr>
        <w:spacing w:before="120"/>
        <w:rPr>
          <w:sz w:val="28"/>
          <w:szCs w:val="28"/>
        </w:rPr>
      </w:pPr>
      <w:r w:rsidRPr="002C560F">
        <w:rPr>
          <w:sz w:val="28"/>
          <w:szCs w:val="28"/>
        </w:rPr>
        <w:t>Réunion des Parties à la Convention sur l</w:t>
      </w:r>
      <w:r>
        <w:rPr>
          <w:sz w:val="28"/>
          <w:szCs w:val="28"/>
        </w:rPr>
        <w:t>’</w:t>
      </w:r>
      <w:r w:rsidRPr="002C560F">
        <w:rPr>
          <w:sz w:val="28"/>
          <w:szCs w:val="28"/>
        </w:rPr>
        <w:t>accès</w:t>
      </w:r>
      <w:r w:rsidRPr="002C560F">
        <w:rPr>
          <w:sz w:val="28"/>
          <w:szCs w:val="28"/>
        </w:rPr>
        <w:br/>
        <w:t>à l</w:t>
      </w:r>
      <w:r>
        <w:rPr>
          <w:sz w:val="28"/>
          <w:szCs w:val="28"/>
        </w:rPr>
        <w:t>’</w:t>
      </w:r>
      <w:r w:rsidRPr="002C560F">
        <w:rPr>
          <w:sz w:val="28"/>
          <w:szCs w:val="28"/>
        </w:rPr>
        <w:t>information, la participation du public</w:t>
      </w:r>
      <w:r w:rsidRPr="002C560F">
        <w:rPr>
          <w:sz w:val="28"/>
          <w:szCs w:val="28"/>
        </w:rPr>
        <w:br/>
        <w:t>au processus décisionnel et l</w:t>
      </w:r>
      <w:r>
        <w:rPr>
          <w:sz w:val="28"/>
          <w:szCs w:val="28"/>
        </w:rPr>
        <w:t>’</w:t>
      </w:r>
      <w:r w:rsidRPr="002C560F">
        <w:rPr>
          <w:sz w:val="28"/>
          <w:szCs w:val="28"/>
        </w:rPr>
        <w:t>accès à la justice</w:t>
      </w:r>
      <w:r w:rsidRPr="002C560F">
        <w:rPr>
          <w:sz w:val="28"/>
          <w:szCs w:val="28"/>
        </w:rPr>
        <w:br/>
        <w:t>en matière d</w:t>
      </w:r>
      <w:r>
        <w:rPr>
          <w:sz w:val="28"/>
          <w:szCs w:val="28"/>
        </w:rPr>
        <w:t>’</w:t>
      </w:r>
      <w:r w:rsidRPr="002C560F">
        <w:rPr>
          <w:sz w:val="28"/>
          <w:szCs w:val="28"/>
        </w:rPr>
        <w:t>environnement</w:t>
      </w:r>
    </w:p>
    <w:p w14:paraId="246BE328" w14:textId="77777777" w:rsidR="000D49B7" w:rsidRPr="000B14C8" w:rsidRDefault="000D49B7" w:rsidP="000D49B7">
      <w:pPr>
        <w:spacing w:before="120"/>
        <w:rPr>
          <w:b/>
          <w:lang w:val="fr-FR"/>
        </w:rPr>
      </w:pPr>
      <w:r w:rsidRPr="000B14C8">
        <w:rPr>
          <w:b/>
          <w:lang w:val="fr-FR"/>
        </w:rPr>
        <w:t>Septième session</w:t>
      </w:r>
    </w:p>
    <w:p w14:paraId="59F63387" w14:textId="77777777" w:rsidR="000D49B7" w:rsidRPr="002C560F" w:rsidRDefault="000D49B7" w:rsidP="000D49B7">
      <w:r w:rsidRPr="002C560F">
        <w:rPr>
          <w:lang w:val="fr-FR"/>
        </w:rPr>
        <w:t xml:space="preserve">Genève, </w:t>
      </w:r>
      <w:r>
        <w:rPr>
          <w:lang w:val="fr-FR"/>
        </w:rPr>
        <w:t>18-20 octobre</w:t>
      </w:r>
      <w:r w:rsidRPr="002C560F">
        <w:rPr>
          <w:lang w:val="fr-FR"/>
        </w:rPr>
        <w:t xml:space="preserve"> 2021</w:t>
      </w:r>
    </w:p>
    <w:p w14:paraId="55239C41" w14:textId="1664F847" w:rsidR="000D49B7" w:rsidRPr="002C560F" w:rsidRDefault="000D49B7" w:rsidP="000D49B7">
      <w:pPr>
        <w:rPr>
          <w:lang w:val="fr-FR"/>
        </w:rPr>
      </w:pPr>
      <w:r w:rsidRPr="002C560F">
        <w:rPr>
          <w:lang w:val="fr-FR"/>
        </w:rPr>
        <w:t xml:space="preserve">Point </w:t>
      </w:r>
      <w:r>
        <w:rPr>
          <w:lang w:val="fr-FR"/>
        </w:rPr>
        <w:t>6</w:t>
      </w:r>
      <w:r w:rsidRPr="002C560F">
        <w:rPr>
          <w:lang w:val="fr-FR"/>
        </w:rPr>
        <w:t xml:space="preserve"> a) de l</w:t>
      </w:r>
      <w:r>
        <w:rPr>
          <w:lang w:val="fr-FR"/>
        </w:rPr>
        <w:t>’</w:t>
      </w:r>
      <w:r w:rsidRPr="002C560F">
        <w:rPr>
          <w:lang w:val="fr-FR"/>
        </w:rPr>
        <w:t>ordre du jour provisoire</w:t>
      </w:r>
    </w:p>
    <w:p w14:paraId="522E5E20" w14:textId="6F7C0157" w:rsidR="000D49B7" w:rsidRPr="002C560F" w:rsidRDefault="000D49B7" w:rsidP="000D49B7">
      <w:pPr>
        <w:rPr>
          <w:lang w:val="fr-FR"/>
        </w:rPr>
      </w:pPr>
      <w:r>
        <w:rPr>
          <w:b/>
          <w:bCs/>
          <w:lang w:val="fr-FR"/>
        </w:rPr>
        <w:t xml:space="preserve">Questions de </w:t>
      </w:r>
      <w:r w:rsidRPr="00E025E0">
        <w:rPr>
          <w:b/>
          <w:bCs/>
          <w:lang w:val="fr-FR"/>
        </w:rPr>
        <w:t>fond</w:t>
      </w:r>
      <w:r w:rsidRPr="000B14C8">
        <w:rPr>
          <w:b/>
          <w:bCs/>
          <w:lang w:val="fr-FR"/>
        </w:rPr>
        <w:t> </w:t>
      </w:r>
      <w:r w:rsidRPr="00E025E0">
        <w:rPr>
          <w:b/>
          <w:bCs/>
          <w:lang w:val="fr-FR"/>
        </w:rPr>
        <w:t>:</w:t>
      </w:r>
      <w:r w:rsidRPr="003D331D">
        <w:rPr>
          <w:b/>
          <w:bCs/>
          <w:lang w:val="fr-FR"/>
        </w:rPr>
        <w:t xml:space="preserve"> accès à l</w:t>
      </w:r>
      <w:r>
        <w:rPr>
          <w:b/>
          <w:bCs/>
          <w:lang w:val="fr-FR"/>
        </w:rPr>
        <w:t>’</w:t>
      </w:r>
      <w:r w:rsidRPr="003D331D">
        <w:rPr>
          <w:b/>
          <w:bCs/>
          <w:lang w:val="fr-FR"/>
        </w:rPr>
        <w:t>information</w:t>
      </w:r>
      <w:r w:rsidRPr="000B14C8">
        <w:rPr>
          <w:b/>
          <w:bCs/>
          <w:lang w:val="fr-FR"/>
        </w:rPr>
        <w:t xml:space="preserve">, </w:t>
      </w:r>
      <w:r>
        <w:rPr>
          <w:b/>
          <w:bCs/>
          <w:lang w:val="fr-FR"/>
        </w:rPr>
        <w:br/>
      </w:r>
      <w:r>
        <w:rPr>
          <w:b/>
          <w:bCs/>
          <w:lang w:val="fr-FR"/>
        </w:rPr>
        <w:t>y compris</w:t>
      </w:r>
      <w:r w:rsidRPr="000B14C8">
        <w:rPr>
          <w:b/>
          <w:bCs/>
          <w:lang w:val="fr-FR"/>
        </w:rPr>
        <w:t xml:space="preserve"> </w:t>
      </w:r>
      <w:r>
        <w:rPr>
          <w:b/>
          <w:bCs/>
          <w:lang w:val="fr-FR"/>
        </w:rPr>
        <w:t>aux</w:t>
      </w:r>
      <w:r w:rsidRPr="000B14C8">
        <w:rPr>
          <w:b/>
          <w:bCs/>
          <w:lang w:val="fr-FR"/>
        </w:rPr>
        <w:t xml:space="preserve"> outils d</w:t>
      </w:r>
      <w:r>
        <w:rPr>
          <w:b/>
          <w:bCs/>
          <w:lang w:val="fr-FR"/>
        </w:rPr>
        <w:t>’</w:t>
      </w:r>
      <w:r w:rsidRPr="000B14C8">
        <w:rPr>
          <w:b/>
          <w:bCs/>
          <w:lang w:val="fr-FR"/>
        </w:rPr>
        <w:t>information électroniques</w:t>
      </w:r>
    </w:p>
    <w:p w14:paraId="57DDDCC5" w14:textId="34450E88" w:rsidR="000D49B7" w:rsidRPr="002C560F" w:rsidRDefault="000D49B7" w:rsidP="000D49B7">
      <w:pPr>
        <w:pStyle w:val="HChG"/>
        <w:rPr>
          <w:szCs w:val="28"/>
        </w:rPr>
      </w:pPr>
      <w:r w:rsidRPr="002C560F">
        <w:rPr>
          <w:lang w:val="fr-FR"/>
        </w:rPr>
        <w:tab/>
      </w:r>
      <w:r w:rsidRPr="002C560F">
        <w:rPr>
          <w:lang w:val="fr-FR"/>
        </w:rPr>
        <w:tab/>
      </w:r>
      <w:r w:rsidRPr="002C560F">
        <w:t>Projet de décision VII/</w:t>
      </w:r>
      <w:r>
        <w:t>1 sur la promotion d</w:t>
      </w:r>
      <w:r>
        <w:t>’</w:t>
      </w:r>
      <w:r w:rsidRPr="002C560F">
        <w:t>un accès effectif à l</w:t>
      </w:r>
      <w:r>
        <w:t>’</w:t>
      </w:r>
      <w:r w:rsidRPr="002C560F">
        <w:t>information</w:t>
      </w:r>
    </w:p>
    <w:p w14:paraId="13A9B654" w14:textId="3A15C5BE" w:rsidR="005F26E5" w:rsidRDefault="000D49B7" w:rsidP="000D49B7">
      <w:pPr>
        <w:pStyle w:val="H1G"/>
      </w:pPr>
      <w:r w:rsidRPr="002C560F">
        <w:tab/>
      </w:r>
      <w:r w:rsidRPr="002C560F">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0D49B7" w14:paraId="11D7498C" w14:textId="77777777">
        <w:trPr>
          <w:jc w:val="center"/>
        </w:trPr>
        <w:tc>
          <w:tcPr>
            <w:tcW w:w="9637" w:type="dxa"/>
            <w:shd w:val="clear" w:color="auto" w:fill="auto"/>
          </w:tcPr>
          <w:p w14:paraId="42F6D1B1" w14:textId="77777777" w:rsidR="000D49B7" w:rsidRDefault="000D49B7">
            <w:pPr>
              <w:spacing w:before="240" w:after="120"/>
              <w:ind w:left="255"/>
              <w:rPr>
                <w:i/>
                <w:sz w:val="24"/>
              </w:rPr>
            </w:pPr>
            <w:r>
              <w:rPr>
                <w:i/>
                <w:sz w:val="24"/>
              </w:rPr>
              <w:t>Résumé</w:t>
            </w:r>
          </w:p>
        </w:tc>
      </w:tr>
      <w:tr w:rsidR="000D49B7" w14:paraId="607BD763" w14:textId="77777777">
        <w:trPr>
          <w:jc w:val="center"/>
        </w:trPr>
        <w:tc>
          <w:tcPr>
            <w:tcW w:w="9637" w:type="dxa"/>
            <w:shd w:val="clear" w:color="auto" w:fill="auto"/>
          </w:tcPr>
          <w:p w14:paraId="0B2D35F6" w14:textId="129AC639" w:rsidR="000D49B7" w:rsidRDefault="000D49B7" w:rsidP="000D49B7">
            <w:pPr>
              <w:pStyle w:val="SingleTxtG"/>
              <w:ind w:firstLine="567"/>
            </w:pPr>
            <w:r w:rsidRPr="002C560F">
              <w:rPr>
                <w:lang w:val="fr-FR"/>
              </w:rPr>
              <w:t>On trouvera dans le présent document un projet de décision sur la promotion d</w:t>
            </w:r>
            <w:r>
              <w:rPr>
                <w:lang w:val="fr-FR"/>
              </w:rPr>
              <w:t>’</w:t>
            </w:r>
            <w:r w:rsidRPr="002C560F">
              <w:rPr>
                <w:lang w:val="fr-FR"/>
              </w:rPr>
              <w:t>un accès effectif à l</w:t>
            </w:r>
            <w:r>
              <w:rPr>
                <w:lang w:val="fr-FR"/>
              </w:rPr>
              <w:t>’</w:t>
            </w:r>
            <w:r w:rsidRPr="002C560F">
              <w:rPr>
                <w:lang w:val="fr-FR"/>
              </w:rPr>
              <w:t>information</w:t>
            </w:r>
            <w:r>
              <w:rPr>
                <w:lang w:val="fr-FR"/>
              </w:rPr>
              <w:t xml:space="preserve"> établi par le Bureau de la Réunion </w:t>
            </w:r>
            <w:r w:rsidRPr="002C560F">
              <w:rPr>
                <w:lang w:val="fr-FR"/>
              </w:rPr>
              <w:t xml:space="preserve">des Parties à la </w:t>
            </w:r>
            <w:r w:rsidRPr="002C560F">
              <w:rPr>
                <w:rStyle w:val="search-highlight"/>
              </w:rPr>
              <w:t>Convention sur l</w:t>
            </w:r>
            <w:r>
              <w:rPr>
                <w:rStyle w:val="search-highlight"/>
              </w:rPr>
              <w:t>’</w:t>
            </w:r>
            <w:r w:rsidRPr="002C560F">
              <w:rPr>
                <w:rStyle w:val="search-highlight"/>
              </w:rPr>
              <w:t>accès à l</w:t>
            </w:r>
            <w:r>
              <w:rPr>
                <w:rStyle w:val="search-highlight"/>
              </w:rPr>
              <w:t>’</w:t>
            </w:r>
            <w:r w:rsidRPr="002C560F">
              <w:rPr>
                <w:rStyle w:val="search-highlight"/>
              </w:rPr>
              <w:t>information, la participation du public au processus décisionnel et l</w:t>
            </w:r>
            <w:r>
              <w:rPr>
                <w:rStyle w:val="search-highlight"/>
              </w:rPr>
              <w:t>’</w:t>
            </w:r>
            <w:r w:rsidRPr="002C560F">
              <w:rPr>
                <w:rStyle w:val="search-highlight"/>
              </w:rPr>
              <w:t>accès à la justice en matière d</w:t>
            </w:r>
            <w:r>
              <w:rPr>
                <w:rStyle w:val="search-highlight"/>
              </w:rPr>
              <w:t>’</w:t>
            </w:r>
            <w:r w:rsidRPr="002C560F">
              <w:rPr>
                <w:rStyle w:val="search-highlight"/>
              </w:rPr>
              <w:t>environnement</w:t>
            </w:r>
            <w:r>
              <w:rPr>
                <w:rStyle w:val="search-highlight"/>
              </w:rPr>
              <w:t xml:space="preserve"> (Convention d</w:t>
            </w:r>
            <w:r>
              <w:rPr>
                <w:rStyle w:val="search-highlight"/>
              </w:rPr>
              <w:t>’</w:t>
            </w:r>
            <w:r>
              <w:rPr>
                <w:rStyle w:val="search-highlight"/>
              </w:rPr>
              <w:t>Aarhus).</w:t>
            </w:r>
          </w:p>
        </w:tc>
      </w:tr>
      <w:tr w:rsidR="000D49B7" w14:paraId="7A9229E4" w14:textId="77777777">
        <w:trPr>
          <w:jc w:val="center"/>
        </w:trPr>
        <w:tc>
          <w:tcPr>
            <w:tcW w:w="9637" w:type="dxa"/>
            <w:shd w:val="clear" w:color="auto" w:fill="auto"/>
          </w:tcPr>
          <w:p w14:paraId="43ED1D84" w14:textId="6BA62C86" w:rsidR="000D49B7" w:rsidRDefault="000D49B7" w:rsidP="000D49B7">
            <w:pPr>
              <w:pStyle w:val="SingleTxtG"/>
              <w:ind w:firstLine="567"/>
            </w:pPr>
            <w:r>
              <w:rPr>
                <w:rStyle w:val="search-highlight"/>
              </w:rPr>
              <w:t>À sa vingt-quatrième réunion (Genève, 1</w:t>
            </w:r>
            <w:r w:rsidRPr="00C15584">
              <w:rPr>
                <w:rStyle w:val="search-highlight"/>
                <w:vertAlign w:val="superscript"/>
              </w:rPr>
              <w:t>er</w:t>
            </w:r>
            <w:r w:rsidR="00C956FE" w:rsidRPr="00C956FE">
              <w:rPr>
                <w:rStyle w:val="search-highlight"/>
              </w:rPr>
              <w:t>-</w:t>
            </w:r>
            <w:r>
              <w:rPr>
                <w:rStyle w:val="search-highlight"/>
              </w:rPr>
              <w:t>3 juillet et 28 et 29 octobre 2020), le</w:t>
            </w:r>
            <w:r w:rsidR="00C15AFE">
              <w:rPr>
                <w:rStyle w:val="search-highlight"/>
              </w:rPr>
              <w:t> </w:t>
            </w:r>
            <w:r>
              <w:rPr>
                <w:rStyle w:val="search-highlight"/>
              </w:rPr>
              <w:t>Groupe de travail des parties à la Convention</w:t>
            </w:r>
            <w:r w:rsidRPr="002C560F">
              <w:rPr>
                <w:rStyle w:val="search-highlight"/>
              </w:rPr>
              <w:t xml:space="preserve"> </w:t>
            </w:r>
            <w:r w:rsidRPr="002C560F">
              <w:rPr>
                <w:lang w:val="fr-FR"/>
              </w:rPr>
              <w:t>a demandé au Bureau d</w:t>
            </w:r>
            <w:r>
              <w:rPr>
                <w:lang w:val="fr-FR"/>
              </w:rPr>
              <w:t>’</w:t>
            </w:r>
            <w:r w:rsidRPr="002C560F">
              <w:rPr>
                <w:lang w:val="fr-FR"/>
              </w:rPr>
              <w:t>é</w:t>
            </w:r>
            <w:r>
              <w:rPr>
                <w:lang w:val="fr-FR"/>
              </w:rPr>
              <w:t>tabli</w:t>
            </w:r>
            <w:r w:rsidRPr="002C560F">
              <w:rPr>
                <w:lang w:val="fr-FR"/>
              </w:rPr>
              <w:t>r un projet de décision sur l</w:t>
            </w:r>
            <w:r>
              <w:rPr>
                <w:lang w:val="fr-FR"/>
              </w:rPr>
              <w:t>’</w:t>
            </w:r>
            <w:r w:rsidRPr="002C560F">
              <w:rPr>
                <w:lang w:val="fr-FR"/>
              </w:rPr>
              <w:t>accès à l</w:t>
            </w:r>
            <w:r>
              <w:rPr>
                <w:lang w:val="fr-FR"/>
              </w:rPr>
              <w:t>’</w:t>
            </w:r>
            <w:r w:rsidRPr="002C560F">
              <w:rPr>
                <w:lang w:val="fr-FR"/>
              </w:rPr>
              <w:t>information en vue de le soumettre à la septième session de la Réunion des Parties (ECE/MP.PP/WG.1/2020/2).</w:t>
            </w:r>
          </w:p>
        </w:tc>
      </w:tr>
      <w:tr w:rsidR="000D49B7" w14:paraId="62D40519" w14:textId="77777777" w:rsidTr="000D49B7">
        <w:trPr>
          <w:jc w:val="center"/>
        </w:trPr>
        <w:tc>
          <w:tcPr>
            <w:tcW w:w="9637" w:type="dxa"/>
            <w:tcBorders>
              <w:bottom w:val="nil"/>
            </w:tcBorders>
            <w:shd w:val="clear" w:color="auto" w:fill="auto"/>
          </w:tcPr>
          <w:p w14:paraId="55D18B26" w14:textId="61070C29" w:rsidR="000D49B7" w:rsidRPr="000D49B7" w:rsidRDefault="000D49B7" w:rsidP="000D49B7">
            <w:pPr>
              <w:pStyle w:val="SingleTxtG"/>
              <w:ind w:firstLine="567"/>
              <w:rPr>
                <w:spacing w:val="-2"/>
              </w:rPr>
            </w:pPr>
            <w:r w:rsidRPr="000D49B7">
              <w:rPr>
                <w:spacing w:val="-2"/>
                <w:lang w:val="fr-FR"/>
              </w:rPr>
              <w:t>Le Bureau a établi un projet initial en s</w:t>
            </w:r>
            <w:r>
              <w:rPr>
                <w:spacing w:val="-2"/>
                <w:lang w:val="fr-FR"/>
              </w:rPr>
              <w:t>’</w:t>
            </w:r>
            <w:r w:rsidRPr="000D49B7">
              <w:rPr>
                <w:spacing w:val="-2"/>
                <w:lang w:val="fr-FR"/>
              </w:rPr>
              <w:t>appuyant sur : les textes pertinents issus de la vingt-quatrième réunion du Groupe de travail des Parties ; la note établie par la Présidente de l</w:t>
            </w:r>
            <w:r>
              <w:rPr>
                <w:spacing w:val="-2"/>
                <w:lang w:val="fr-FR"/>
              </w:rPr>
              <w:t>’</w:t>
            </w:r>
            <w:r w:rsidRPr="000D49B7">
              <w:rPr>
                <w:spacing w:val="-2"/>
                <w:lang w:val="fr-FR"/>
              </w:rPr>
              <w:t>Équipe spéciale de l</w:t>
            </w:r>
            <w:r>
              <w:rPr>
                <w:spacing w:val="-2"/>
                <w:lang w:val="fr-FR"/>
              </w:rPr>
              <w:t>’</w:t>
            </w:r>
            <w:r w:rsidRPr="000D49B7">
              <w:rPr>
                <w:spacing w:val="-2"/>
                <w:lang w:val="fr-FR"/>
              </w:rPr>
              <w:t>accès à l</w:t>
            </w:r>
            <w:r>
              <w:rPr>
                <w:spacing w:val="-2"/>
                <w:lang w:val="fr-FR"/>
              </w:rPr>
              <w:t>’</w:t>
            </w:r>
            <w:r w:rsidRPr="000D49B7">
              <w:rPr>
                <w:spacing w:val="-2"/>
                <w:lang w:val="fr-FR"/>
              </w:rPr>
              <w:t>information (« Note by the Chair of the Task Force on Access to Information ») (AC/WGP-24/Inf.1, en anglais uniquement) ; les textes issus de la séance thématique tenue par le Groupe de travail des Parties ; les travaux menés par l</w:t>
            </w:r>
            <w:r>
              <w:rPr>
                <w:spacing w:val="-2"/>
                <w:lang w:val="fr-FR"/>
              </w:rPr>
              <w:t>’</w:t>
            </w:r>
            <w:r w:rsidRPr="000D49B7">
              <w:rPr>
                <w:spacing w:val="-2"/>
              </w:rPr>
              <w:t>Équipe spéciale de l</w:t>
            </w:r>
            <w:r>
              <w:rPr>
                <w:spacing w:val="-2"/>
              </w:rPr>
              <w:t>’</w:t>
            </w:r>
            <w:r w:rsidRPr="000D49B7">
              <w:rPr>
                <w:spacing w:val="-2"/>
              </w:rPr>
              <w:t>accès à l</w:t>
            </w:r>
            <w:r>
              <w:rPr>
                <w:spacing w:val="-2"/>
              </w:rPr>
              <w:t>’</w:t>
            </w:r>
            <w:r w:rsidRPr="000D49B7">
              <w:rPr>
                <w:spacing w:val="-2"/>
              </w:rPr>
              <w:t>information</w:t>
            </w:r>
            <w:r w:rsidRPr="000D49B7">
              <w:rPr>
                <w:spacing w:val="-2"/>
                <w:lang w:val="fr-FR"/>
              </w:rPr>
              <w:t xml:space="preserve"> au cours de la période intersessions</w:t>
            </w:r>
            <w:r w:rsidRPr="000D49B7">
              <w:rPr>
                <w:spacing w:val="-2"/>
              </w:rPr>
              <w:t>,</w:t>
            </w:r>
            <w:r w:rsidRPr="000D49B7">
              <w:rPr>
                <w:spacing w:val="-2"/>
                <w:lang w:val="fr-FR"/>
              </w:rPr>
              <w:t xml:space="preserve"> et la décision VI/1 sur la promotion d</w:t>
            </w:r>
            <w:r>
              <w:rPr>
                <w:spacing w:val="-2"/>
                <w:lang w:val="fr-FR"/>
              </w:rPr>
              <w:t>’</w:t>
            </w:r>
            <w:r w:rsidRPr="000D49B7">
              <w:rPr>
                <w:spacing w:val="-2"/>
                <w:lang w:val="fr-FR"/>
              </w:rPr>
              <w:t>un accès effectif à l</w:t>
            </w:r>
            <w:r>
              <w:rPr>
                <w:spacing w:val="-2"/>
                <w:lang w:val="fr-FR"/>
              </w:rPr>
              <w:t>’</w:t>
            </w:r>
            <w:r w:rsidRPr="000D49B7">
              <w:rPr>
                <w:spacing w:val="-2"/>
                <w:lang w:val="fr-FR"/>
              </w:rPr>
              <w:t>information (ECE/MP.PP/2017/2/Add.1) adoptée par la Réunion des Parties à sa sixième session (Budva (Monténégro), 11 au 14 septembre 2017).</w:t>
            </w:r>
          </w:p>
        </w:tc>
      </w:tr>
      <w:tr w:rsidR="000D49B7" w14:paraId="2D98797F" w14:textId="77777777" w:rsidTr="000D49B7">
        <w:trPr>
          <w:jc w:val="center"/>
        </w:trPr>
        <w:tc>
          <w:tcPr>
            <w:tcW w:w="9637" w:type="dxa"/>
            <w:tcBorders>
              <w:top w:val="nil"/>
              <w:bottom w:val="nil"/>
            </w:tcBorders>
            <w:shd w:val="clear" w:color="auto" w:fill="auto"/>
          </w:tcPr>
          <w:p w14:paraId="76E796FE" w14:textId="1B219936" w:rsidR="000D49B7" w:rsidRPr="000D49B7" w:rsidRDefault="000D49B7" w:rsidP="000D49B7">
            <w:pPr>
              <w:pStyle w:val="SingleTxtG"/>
              <w:ind w:firstLine="567"/>
            </w:pPr>
            <w:r w:rsidRPr="000D49B7">
              <w:rPr>
                <w:color w:val="333333"/>
                <w:shd w:val="clear" w:color="auto" w:fill="FFFFFF"/>
              </w:rPr>
              <w:t>Le projet de décision a fait l</w:t>
            </w:r>
            <w:r>
              <w:rPr>
                <w:color w:val="333333"/>
                <w:shd w:val="clear" w:color="auto" w:fill="FFFFFF"/>
              </w:rPr>
              <w:t>’</w:t>
            </w:r>
            <w:r w:rsidRPr="000D49B7">
              <w:rPr>
                <w:color w:val="333333"/>
                <w:shd w:val="clear" w:color="auto" w:fill="FFFFFF"/>
              </w:rPr>
              <w:t xml:space="preserve">objet de consultations ouvertes entre les correspondants nationaux et les parties prenantes après la vingt-quatrième réunion du </w:t>
            </w:r>
            <w:r w:rsidRPr="000D49B7">
              <w:rPr>
                <w:rStyle w:val="search-highlight"/>
              </w:rPr>
              <w:t>Groupe</w:t>
            </w:r>
            <w:r w:rsidRPr="000D49B7">
              <w:rPr>
                <w:color w:val="333333"/>
                <w:shd w:val="clear" w:color="auto" w:fill="FFFFFF"/>
              </w:rPr>
              <w:t xml:space="preserve"> de travail</w:t>
            </w:r>
            <w:r w:rsidRPr="000D49B7">
              <w:rPr>
                <w:lang w:val="fr-FR"/>
              </w:rPr>
              <w:t xml:space="preserve">. </w:t>
            </w:r>
            <w:r w:rsidRPr="000D49B7">
              <w:rPr>
                <w:color w:val="333333"/>
                <w:shd w:val="clear" w:color="auto" w:fill="FFFFFF"/>
              </w:rPr>
              <w:t>Le</w:t>
            </w:r>
            <w:r w:rsidR="00C15AFE">
              <w:rPr>
                <w:color w:val="333333"/>
                <w:shd w:val="clear" w:color="auto" w:fill="FFFFFF"/>
              </w:rPr>
              <w:t> </w:t>
            </w:r>
            <w:r w:rsidRPr="000D49B7">
              <w:rPr>
                <w:color w:val="333333"/>
                <w:shd w:val="clear" w:color="auto" w:fill="FFFFFF"/>
              </w:rPr>
              <w:t>Bureau l</w:t>
            </w:r>
            <w:r>
              <w:rPr>
                <w:color w:val="333333"/>
                <w:shd w:val="clear" w:color="auto" w:fill="FFFFFF"/>
              </w:rPr>
              <w:t>’</w:t>
            </w:r>
            <w:r w:rsidRPr="000D49B7">
              <w:rPr>
                <w:color w:val="333333"/>
                <w:shd w:val="clear" w:color="auto" w:fill="FFFFFF"/>
              </w:rPr>
              <w:t>a ensuite révisé à la lumière des observations reçues et l</w:t>
            </w:r>
            <w:r>
              <w:rPr>
                <w:color w:val="333333"/>
                <w:shd w:val="clear" w:color="auto" w:fill="FFFFFF"/>
              </w:rPr>
              <w:t>’</w:t>
            </w:r>
            <w:r w:rsidRPr="000D49B7">
              <w:rPr>
                <w:color w:val="333333"/>
                <w:shd w:val="clear" w:color="auto" w:fill="FFFFFF"/>
              </w:rPr>
              <w:t>a soumis au Groupe de travail, à sa vingt-cinquième réunion (Genève, 3 mai et 7 et 8 juin 2021), afin que celui-ci l</w:t>
            </w:r>
            <w:r>
              <w:rPr>
                <w:color w:val="333333"/>
                <w:shd w:val="clear" w:color="auto" w:fill="FFFFFF"/>
              </w:rPr>
              <w:t>’</w:t>
            </w:r>
            <w:r w:rsidRPr="000D49B7">
              <w:rPr>
                <w:color w:val="333333"/>
                <w:shd w:val="clear" w:color="auto" w:fill="FFFFFF"/>
              </w:rPr>
              <w:t>examine et l</w:t>
            </w:r>
            <w:r>
              <w:rPr>
                <w:color w:val="333333"/>
                <w:shd w:val="clear" w:color="auto" w:fill="FFFFFF"/>
              </w:rPr>
              <w:t>’</w:t>
            </w:r>
            <w:r w:rsidRPr="000D49B7">
              <w:rPr>
                <w:color w:val="333333"/>
                <w:shd w:val="clear" w:color="auto" w:fill="FFFFFF"/>
              </w:rPr>
              <w:t>approuve en vue de sa soumission ultérieure à la Réunion des Parties pour examen à sa septième session</w:t>
            </w:r>
            <w:r w:rsidRPr="000D49B7">
              <w:rPr>
                <w:lang w:val="fr-FR"/>
              </w:rPr>
              <w:t>.</w:t>
            </w:r>
          </w:p>
        </w:tc>
      </w:tr>
      <w:tr w:rsidR="000D49B7" w14:paraId="66DE49EB" w14:textId="77777777" w:rsidTr="000D49B7">
        <w:trPr>
          <w:jc w:val="center"/>
        </w:trPr>
        <w:tc>
          <w:tcPr>
            <w:tcW w:w="9637" w:type="dxa"/>
            <w:tcBorders>
              <w:top w:val="nil"/>
            </w:tcBorders>
            <w:shd w:val="clear" w:color="auto" w:fill="auto"/>
          </w:tcPr>
          <w:p w14:paraId="2245B285" w14:textId="215AE10E" w:rsidR="000D49B7" w:rsidRDefault="000D49B7" w:rsidP="000D49B7">
            <w:pPr>
              <w:pStyle w:val="SingleTxtG"/>
              <w:ind w:firstLine="567"/>
            </w:pPr>
            <w:r w:rsidRPr="00FF77E5">
              <w:lastRenderedPageBreak/>
              <w:t>À sa vingt</w:t>
            </w:r>
            <w:r>
              <w:t>-cinqu</w:t>
            </w:r>
            <w:r w:rsidRPr="00FF77E5">
              <w:t xml:space="preserve">ième réunion, le Groupe de travail a révisé et </w:t>
            </w:r>
            <w:r w:rsidRPr="000D49B7">
              <w:rPr>
                <w:rStyle w:val="search-highlight"/>
              </w:rPr>
              <w:t>approuvé</w:t>
            </w:r>
            <w:r w:rsidRPr="00FF77E5">
              <w:t>, tel qu</w:t>
            </w:r>
            <w:r>
              <w:t>’</w:t>
            </w:r>
            <w:r w:rsidRPr="00FF77E5">
              <w:t xml:space="preserve">il avait été modifié pendant la réunion, le projet de décision </w:t>
            </w:r>
            <w:r>
              <w:t>sur la promotion d</w:t>
            </w:r>
            <w:r>
              <w:t>’</w:t>
            </w:r>
            <w:r>
              <w:t>un accès effectif à l</w:t>
            </w:r>
            <w:r>
              <w:t>’</w:t>
            </w:r>
            <w:r>
              <w:t>information</w:t>
            </w:r>
            <w:r w:rsidRPr="00FF77E5">
              <w:t xml:space="preserve"> (AC/WGP-2</w:t>
            </w:r>
            <w:r>
              <w:t>5</w:t>
            </w:r>
            <w:r w:rsidRPr="00FF77E5">
              <w:t>/CRP.</w:t>
            </w:r>
            <w:r>
              <w:t>3</w:t>
            </w:r>
            <w:r w:rsidRPr="00FF77E5">
              <w:t>) et a prié le secrétariat de le soumettre à la Réunion des Parties afin qu</w:t>
            </w:r>
            <w:r>
              <w:t>’</w:t>
            </w:r>
            <w:r w:rsidRPr="00FF77E5">
              <w:t>elle l</w:t>
            </w:r>
            <w:r>
              <w:t>’</w:t>
            </w:r>
            <w:r w:rsidRPr="00FF77E5">
              <w:t>examine à sa s</w:t>
            </w:r>
            <w:r>
              <w:t>ept</w:t>
            </w:r>
            <w:r w:rsidRPr="00FF77E5">
              <w:t>ième session</w:t>
            </w:r>
            <w:r>
              <w:t>.</w:t>
            </w:r>
          </w:p>
        </w:tc>
      </w:tr>
      <w:tr w:rsidR="000D49B7" w14:paraId="297B6361" w14:textId="77777777">
        <w:trPr>
          <w:jc w:val="center"/>
        </w:trPr>
        <w:tc>
          <w:tcPr>
            <w:tcW w:w="9637" w:type="dxa"/>
            <w:shd w:val="clear" w:color="auto" w:fill="auto"/>
          </w:tcPr>
          <w:p w14:paraId="0A02D393" w14:textId="77777777" w:rsidR="000D49B7" w:rsidRDefault="000D49B7"/>
        </w:tc>
      </w:tr>
    </w:tbl>
    <w:p w14:paraId="704FDDA4" w14:textId="60BD28FE" w:rsidR="000D49B7" w:rsidRDefault="000D49B7" w:rsidP="000D49B7">
      <w:r>
        <w:br w:type="page"/>
      </w:r>
    </w:p>
    <w:p w14:paraId="7A3F2714" w14:textId="77777777" w:rsidR="000D49B7" w:rsidRPr="00BD7689" w:rsidRDefault="000D49B7" w:rsidP="000D49B7">
      <w:pPr>
        <w:pStyle w:val="SingleTxtG"/>
        <w:ind w:firstLine="567"/>
      </w:pPr>
      <w:r w:rsidRPr="00BD7689">
        <w:rPr>
          <w:i/>
        </w:rPr>
        <w:lastRenderedPageBreak/>
        <w:t>La Réunion des Parties</w:t>
      </w:r>
      <w:r w:rsidRPr="00BD7689">
        <w:t>,</w:t>
      </w:r>
    </w:p>
    <w:p w14:paraId="63CB181C" w14:textId="43D19093" w:rsidR="000D49B7" w:rsidRPr="00BD7689" w:rsidRDefault="000D49B7" w:rsidP="000D49B7">
      <w:pPr>
        <w:pStyle w:val="SingleTxtG"/>
        <w:ind w:firstLine="567"/>
      </w:pPr>
      <w:r w:rsidRPr="00BD7689">
        <w:rPr>
          <w:i/>
        </w:rPr>
        <w:t>Rappelant</w:t>
      </w:r>
      <w:r w:rsidRPr="00BD7689">
        <w:t xml:space="preserve"> les dispositions des articles 4 et 5 et d</w:t>
      </w:r>
      <w:r w:rsidRPr="00BD7689">
        <w:t>’</w:t>
      </w:r>
      <w:r w:rsidRPr="00BD7689">
        <w:t>autres dispositions pertinentes de la Convention sur l</w:t>
      </w:r>
      <w:r w:rsidRPr="00BD7689">
        <w:t>’</w:t>
      </w:r>
      <w:r w:rsidRPr="00BD7689">
        <w:t>accès à l</w:t>
      </w:r>
      <w:r w:rsidRPr="00BD7689">
        <w:t>’</w:t>
      </w:r>
      <w:r w:rsidRPr="00BD7689">
        <w:t>information, la participation du public au processus décisionnel et l</w:t>
      </w:r>
      <w:r w:rsidRPr="00BD7689">
        <w:t>’</w:t>
      </w:r>
      <w:r w:rsidRPr="00BD7689">
        <w:t>accès à la justice en matière d</w:t>
      </w:r>
      <w:r w:rsidRPr="00BD7689">
        <w:t>’</w:t>
      </w:r>
      <w:r w:rsidRPr="00BD7689">
        <w:t>environnement (Convention d</w:t>
      </w:r>
      <w:r w:rsidRPr="00BD7689">
        <w:t>’</w:t>
      </w:r>
      <w:r w:rsidRPr="00BD7689">
        <w:t>Aarhus),</w:t>
      </w:r>
    </w:p>
    <w:p w14:paraId="0168CF1B" w14:textId="283A4B22" w:rsidR="000D49B7" w:rsidRPr="00BD7689" w:rsidRDefault="000D49B7" w:rsidP="000D49B7">
      <w:pPr>
        <w:pStyle w:val="SingleTxtG"/>
        <w:ind w:firstLine="567"/>
      </w:pPr>
      <w:r w:rsidRPr="00BD7689">
        <w:rPr>
          <w:i/>
        </w:rPr>
        <w:t xml:space="preserve">Rappelant également </w:t>
      </w:r>
      <w:r w:rsidRPr="00BD7689">
        <w:t>ses décisions I/6</w:t>
      </w:r>
      <w:r w:rsidRPr="00BD7689">
        <w:rPr>
          <w:rStyle w:val="Appelnotedebasdep"/>
          <w:sz w:val="20"/>
        </w:rPr>
        <w:footnoteReference w:id="2"/>
      </w:r>
      <w:r w:rsidRPr="00BD7689">
        <w:t>, II/3</w:t>
      </w:r>
      <w:r w:rsidRPr="00BD7689">
        <w:rPr>
          <w:rStyle w:val="Appelnotedebasdep"/>
          <w:sz w:val="20"/>
        </w:rPr>
        <w:footnoteReference w:id="3"/>
      </w:r>
      <w:r w:rsidRPr="00BD7689">
        <w:t xml:space="preserve"> et III/2</w:t>
      </w:r>
      <w:r w:rsidRPr="00BD7689">
        <w:rPr>
          <w:rStyle w:val="Appelnotedebasdep"/>
          <w:sz w:val="20"/>
        </w:rPr>
        <w:footnoteReference w:id="4"/>
      </w:r>
      <w:r w:rsidRPr="00BD7689">
        <w:t xml:space="preserve"> concernant les outils d</w:t>
      </w:r>
      <w:r w:rsidRPr="00BD7689">
        <w:t>’</w:t>
      </w:r>
      <w:r w:rsidRPr="00BD7689">
        <w:t>information électroniques et le centre d</w:t>
      </w:r>
      <w:r w:rsidRPr="00BD7689">
        <w:t>’</w:t>
      </w:r>
      <w:r w:rsidRPr="00BD7689">
        <w:t>échange d</w:t>
      </w:r>
      <w:r w:rsidRPr="00BD7689">
        <w:t>’</w:t>
      </w:r>
      <w:r w:rsidRPr="00BD7689">
        <w:t>informations, les décisions IV/1</w:t>
      </w:r>
      <w:r w:rsidRPr="00BD7689">
        <w:rPr>
          <w:rStyle w:val="Appelnotedebasdep"/>
          <w:sz w:val="20"/>
        </w:rPr>
        <w:footnoteReference w:id="5"/>
      </w:r>
      <w:r w:rsidRPr="00BD7689">
        <w:t>, V/1</w:t>
      </w:r>
      <w:r w:rsidRPr="00BD7689">
        <w:rPr>
          <w:rStyle w:val="Appelnotedebasdep"/>
          <w:sz w:val="20"/>
        </w:rPr>
        <w:footnoteReference w:id="6"/>
      </w:r>
      <w:r w:rsidRPr="00BD7689">
        <w:t xml:space="preserve"> et VI/I</w:t>
      </w:r>
      <w:r w:rsidRPr="00BD7689">
        <w:rPr>
          <w:rStyle w:val="Appelnotedebasdep"/>
          <w:sz w:val="20"/>
        </w:rPr>
        <w:footnoteReference w:id="7"/>
      </w:r>
      <w:r w:rsidRPr="00BD7689">
        <w:t xml:space="preserve"> sur la promotion de l</w:t>
      </w:r>
      <w:r w:rsidRPr="00BD7689">
        <w:t>’</w:t>
      </w:r>
      <w:r w:rsidRPr="00BD7689">
        <w:t>accès à l</w:t>
      </w:r>
      <w:r w:rsidRPr="00BD7689">
        <w:t>’</w:t>
      </w:r>
      <w:r w:rsidRPr="00BD7689">
        <w:t>information, la décision VII/11 sur le plan stratégique pour 2022-2030</w:t>
      </w:r>
      <w:r w:rsidRPr="00BD7689">
        <w:rPr>
          <w:rStyle w:val="Appelnotedebasdep"/>
          <w:sz w:val="20"/>
        </w:rPr>
        <w:footnoteReference w:id="8"/>
      </w:r>
      <w:r w:rsidRPr="00BD7689">
        <w:t xml:space="preserve"> et la décision VII/5 sur le programme de travail pour 2022-2025</w:t>
      </w:r>
      <w:r w:rsidRPr="00BD7689">
        <w:rPr>
          <w:rStyle w:val="Appelnotedebasdep"/>
          <w:sz w:val="20"/>
        </w:rPr>
        <w:footnoteReference w:id="9"/>
      </w:r>
      <w:r w:rsidRPr="00BD7689">
        <w:t>,</w:t>
      </w:r>
    </w:p>
    <w:p w14:paraId="2CDDE59F" w14:textId="5C6E39C7" w:rsidR="000D49B7" w:rsidRPr="00BD7689" w:rsidRDefault="000D49B7" w:rsidP="000D49B7">
      <w:pPr>
        <w:pStyle w:val="SingleTxtG"/>
        <w:ind w:firstLine="567"/>
      </w:pPr>
      <w:r w:rsidRPr="00BD7689">
        <w:rPr>
          <w:i/>
        </w:rPr>
        <w:t>Consciente</w:t>
      </w:r>
      <w:r w:rsidRPr="00BD7689">
        <w:t xml:space="preserve"> qu</w:t>
      </w:r>
      <w:r w:rsidRPr="00BD7689">
        <w:t>’</w:t>
      </w:r>
      <w:r w:rsidRPr="00BD7689">
        <w:t>un accès effectif du public à l</w:t>
      </w:r>
      <w:r w:rsidRPr="00BD7689">
        <w:t>’</w:t>
      </w:r>
      <w:r w:rsidRPr="00BD7689">
        <w:t>information sur l</w:t>
      </w:r>
      <w:r w:rsidRPr="00BD7689">
        <w:t>’</w:t>
      </w:r>
      <w:r w:rsidRPr="00BD7689">
        <w:t xml:space="preserve">environnement est essentiel pour </w:t>
      </w:r>
      <w:r w:rsidRPr="00BD7689">
        <w:rPr>
          <w:color w:val="333333"/>
          <w:shd w:val="clear" w:color="auto" w:fill="FFFFFF"/>
        </w:rPr>
        <w:t>garantir la transparence et l</w:t>
      </w:r>
      <w:r w:rsidRPr="00BD7689">
        <w:rPr>
          <w:color w:val="333333"/>
          <w:shd w:val="clear" w:color="auto" w:fill="FFFFFF"/>
        </w:rPr>
        <w:t>’</w:t>
      </w:r>
      <w:r w:rsidRPr="00BD7689">
        <w:rPr>
          <w:color w:val="333333"/>
          <w:shd w:val="clear" w:color="auto" w:fill="FFFFFF"/>
        </w:rPr>
        <w:t>efficacité des autorités publiques et des institutions judiciaires et qu</w:t>
      </w:r>
      <w:r w:rsidRPr="00BD7689">
        <w:rPr>
          <w:color w:val="333333"/>
          <w:shd w:val="clear" w:color="auto" w:fill="FFFFFF"/>
        </w:rPr>
        <w:t>’</w:t>
      </w:r>
      <w:r w:rsidRPr="00BD7689">
        <w:rPr>
          <w:color w:val="333333"/>
          <w:shd w:val="clear" w:color="auto" w:fill="FFFFFF"/>
        </w:rPr>
        <w:t xml:space="preserve">il est donc indispensable à la bonne application de toutes les dispositions de la Convention et à la réalisation </w:t>
      </w:r>
      <w:r w:rsidRPr="00BD7689">
        <w:t>d</w:t>
      </w:r>
      <w:r w:rsidRPr="00BD7689">
        <w:t>’</w:t>
      </w:r>
      <w:r w:rsidRPr="00BD7689">
        <w:t>un certain nombre des objectifs de développement durable, en particulier la cible 10 de l</w:t>
      </w:r>
      <w:r w:rsidRPr="00BD7689">
        <w:t>’</w:t>
      </w:r>
      <w:r w:rsidRPr="00BD7689">
        <w:t>objectif de développement durable 16,</w:t>
      </w:r>
    </w:p>
    <w:p w14:paraId="57BEE20C" w14:textId="53A292A2" w:rsidR="000D49B7" w:rsidRPr="00BD7689" w:rsidRDefault="000D49B7" w:rsidP="000D49B7">
      <w:pPr>
        <w:pStyle w:val="SingleTxtG"/>
        <w:ind w:firstLine="567"/>
      </w:pPr>
      <w:r w:rsidRPr="00BD7689">
        <w:rPr>
          <w:i/>
        </w:rPr>
        <w:t>Consciente</w:t>
      </w:r>
      <w:r w:rsidRPr="00BD7689">
        <w:t xml:space="preserve"> </w:t>
      </w:r>
      <w:r w:rsidRPr="00BD7689">
        <w:rPr>
          <w:i/>
          <w:iCs/>
        </w:rPr>
        <w:t xml:space="preserve">également </w:t>
      </w:r>
      <w:r w:rsidRPr="00BD7689">
        <w:t>de</w:t>
      </w:r>
      <w:r w:rsidRPr="00BD7689">
        <w:rPr>
          <w:i/>
          <w:iCs/>
        </w:rPr>
        <w:t xml:space="preserve"> </w:t>
      </w:r>
      <w:r w:rsidRPr="00BD7689">
        <w:t>la nécessité de veiller à ce que les outils électroniques modernes d</w:t>
      </w:r>
      <w:r w:rsidRPr="00BD7689">
        <w:t>’</w:t>
      </w:r>
      <w:r w:rsidRPr="00BD7689">
        <w:t>information et de communication soient pleinement utilisés de façon à garantir la mise en œuvre effective du pilier de la Convention consacré à l</w:t>
      </w:r>
      <w:r w:rsidRPr="00BD7689">
        <w:t>’</w:t>
      </w:r>
      <w:r w:rsidRPr="00BD7689">
        <w:t>information et à r</w:t>
      </w:r>
      <w:r w:rsidRPr="00BD7689">
        <w:rPr>
          <w:color w:val="333333"/>
          <w:shd w:val="clear" w:color="auto" w:fill="FFFFFF"/>
        </w:rPr>
        <w:t>elever les défis que posent l</w:t>
      </w:r>
      <w:r w:rsidRPr="00BD7689">
        <w:rPr>
          <w:color w:val="333333"/>
          <w:shd w:val="clear" w:color="auto" w:fill="FFFFFF"/>
        </w:rPr>
        <w:t>’</w:t>
      </w:r>
      <w:r w:rsidRPr="00BD7689">
        <w:rPr>
          <w:color w:val="333333"/>
          <w:shd w:val="clear" w:color="auto" w:fill="FFFFFF"/>
        </w:rPr>
        <w:t>évaluation et le suivi de la réalisation des objectifs de développement durable</w:t>
      </w:r>
      <w:r w:rsidRPr="00BD7689">
        <w:t>,</w:t>
      </w:r>
    </w:p>
    <w:p w14:paraId="50F2D12B" w14:textId="063C0F6C" w:rsidR="000D49B7" w:rsidRPr="00BD7689" w:rsidRDefault="000D49B7" w:rsidP="000D49B7">
      <w:pPr>
        <w:pStyle w:val="SingleTxtG"/>
        <w:ind w:firstLine="567"/>
        <w:rPr>
          <w:lang w:val="fr-FR"/>
        </w:rPr>
      </w:pPr>
      <w:r w:rsidRPr="00BD7689">
        <w:rPr>
          <w:i/>
          <w:iCs/>
          <w:color w:val="333333"/>
          <w:shd w:val="clear" w:color="auto" w:fill="FFFFFF"/>
        </w:rPr>
        <w:t>Constatant</w:t>
      </w:r>
      <w:r w:rsidRPr="00BD7689">
        <w:rPr>
          <w:color w:val="333333"/>
          <w:shd w:val="clear" w:color="auto" w:fill="FFFFFF"/>
        </w:rPr>
        <w:t xml:space="preserve"> l</w:t>
      </w:r>
      <w:r w:rsidRPr="00BD7689">
        <w:rPr>
          <w:color w:val="333333"/>
          <w:shd w:val="clear" w:color="auto" w:fill="FFFFFF"/>
        </w:rPr>
        <w:t>’</w:t>
      </w:r>
      <w:r w:rsidRPr="00BD7689">
        <w:rPr>
          <w:color w:val="333333"/>
          <w:shd w:val="clear" w:color="auto" w:fill="FFFFFF"/>
        </w:rPr>
        <w:t>importance que revêtent la transparence, une évaluation efficace des risques en cas de menace imminente pour la santé humaine et l</w:t>
      </w:r>
      <w:r w:rsidRPr="00BD7689">
        <w:rPr>
          <w:color w:val="333333"/>
          <w:shd w:val="clear" w:color="auto" w:fill="FFFFFF"/>
        </w:rPr>
        <w:t>’</w:t>
      </w:r>
      <w:r w:rsidRPr="00BD7689">
        <w:rPr>
          <w:color w:val="333333"/>
          <w:shd w:val="clear" w:color="auto" w:fill="FFFFFF"/>
        </w:rPr>
        <w:t>environnement, et la promotion de la connaissance des risques environnementaux et de catastrophes,</w:t>
      </w:r>
    </w:p>
    <w:p w14:paraId="0E4F48DF" w14:textId="7F3FB13D" w:rsidR="000D49B7" w:rsidRPr="00BD7689" w:rsidRDefault="000D49B7" w:rsidP="000D49B7">
      <w:pPr>
        <w:pStyle w:val="SingleTxtG"/>
        <w:ind w:firstLine="567"/>
        <w:rPr>
          <w:lang w:val="fr-FR"/>
        </w:rPr>
      </w:pPr>
      <w:r w:rsidRPr="00BD7689">
        <w:rPr>
          <w:i/>
          <w:iCs/>
          <w:color w:val="333333"/>
          <w:shd w:val="clear" w:color="auto" w:fill="FFFFFF"/>
          <w:lang w:val="fr-FR"/>
        </w:rPr>
        <w:t>Constatant</w:t>
      </w:r>
      <w:r w:rsidRPr="00BD7689">
        <w:rPr>
          <w:color w:val="333333"/>
          <w:shd w:val="clear" w:color="auto" w:fill="FFFFFF"/>
          <w:lang w:val="fr-FR"/>
        </w:rPr>
        <w:t xml:space="preserve"> </w:t>
      </w:r>
      <w:r w:rsidRPr="00BD7689">
        <w:rPr>
          <w:i/>
          <w:iCs/>
          <w:lang w:val="fr-FR"/>
        </w:rPr>
        <w:t xml:space="preserve">également </w:t>
      </w:r>
      <w:r w:rsidRPr="00BD7689">
        <w:rPr>
          <w:lang w:val="fr-FR"/>
        </w:rPr>
        <w:t xml:space="preserve">que la disponibilité de données </w:t>
      </w:r>
      <w:r w:rsidRPr="00BD7689">
        <w:rPr>
          <w:color w:val="333333"/>
          <w:shd w:val="clear" w:color="auto" w:fill="FFFFFF"/>
        </w:rPr>
        <w:t>spatiales et des technologies de pointe connexes est essentielle pour surveiller et combattre les changements climatiques et d</w:t>
      </w:r>
      <w:r w:rsidRPr="00BD7689">
        <w:rPr>
          <w:color w:val="333333"/>
          <w:shd w:val="clear" w:color="auto" w:fill="FFFFFF"/>
        </w:rPr>
        <w:t>’</w:t>
      </w:r>
      <w:r w:rsidRPr="00BD7689">
        <w:rPr>
          <w:color w:val="333333"/>
          <w:shd w:val="clear" w:color="auto" w:fill="FFFFFF"/>
        </w:rPr>
        <w:t>autres problèmes relatifs à l</w:t>
      </w:r>
      <w:r w:rsidRPr="00BD7689">
        <w:rPr>
          <w:color w:val="333333"/>
          <w:shd w:val="clear" w:color="auto" w:fill="FFFFFF"/>
        </w:rPr>
        <w:t>’</w:t>
      </w:r>
      <w:r w:rsidRPr="00BD7689">
        <w:rPr>
          <w:color w:val="333333"/>
          <w:shd w:val="clear" w:color="auto" w:fill="FFFFFF"/>
        </w:rPr>
        <w:t>environnement,</w:t>
      </w:r>
      <w:r w:rsidRPr="00BD7689">
        <w:rPr>
          <w:lang w:val="fr-FR"/>
        </w:rPr>
        <w:t xml:space="preserve"> </w:t>
      </w:r>
    </w:p>
    <w:p w14:paraId="12AB5C38" w14:textId="0D6567C0" w:rsidR="000D49B7" w:rsidRPr="00BD7689" w:rsidRDefault="000D49B7" w:rsidP="000D49B7">
      <w:pPr>
        <w:pStyle w:val="SingleTxtG"/>
        <w:ind w:firstLine="567"/>
        <w:rPr>
          <w:lang w:val="fr-FR"/>
        </w:rPr>
      </w:pPr>
      <w:r w:rsidRPr="00BD7689">
        <w:rPr>
          <w:i/>
          <w:iCs/>
          <w:color w:val="333333"/>
          <w:shd w:val="clear" w:color="auto" w:fill="FFFFFF"/>
        </w:rPr>
        <w:t>Soulignant</w:t>
      </w:r>
      <w:r w:rsidRPr="00BD7689">
        <w:rPr>
          <w:color w:val="333333"/>
          <w:shd w:val="clear" w:color="auto" w:fill="FFFFFF"/>
        </w:rPr>
        <w:t xml:space="preserve"> que des systèmes numériques d</w:t>
      </w:r>
      <w:r w:rsidRPr="00BD7689">
        <w:rPr>
          <w:color w:val="333333"/>
          <w:shd w:val="clear" w:color="auto" w:fill="FFFFFF"/>
        </w:rPr>
        <w:t>’</w:t>
      </w:r>
      <w:r w:rsidRPr="00BD7689">
        <w:rPr>
          <w:color w:val="333333"/>
          <w:shd w:val="clear" w:color="auto" w:fill="FFFFFF"/>
        </w:rPr>
        <w:t>information sur l</w:t>
      </w:r>
      <w:r w:rsidRPr="00BD7689">
        <w:rPr>
          <w:color w:val="333333"/>
          <w:shd w:val="clear" w:color="auto" w:fill="FFFFFF"/>
        </w:rPr>
        <w:t>’</w:t>
      </w:r>
      <w:r w:rsidRPr="00BD7689">
        <w:rPr>
          <w:color w:val="333333"/>
          <w:shd w:val="clear" w:color="auto" w:fill="FFFFFF"/>
        </w:rPr>
        <w:t>environnement efficaces et accessibles au public à l</w:t>
      </w:r>
      <w:r w:rsidRPr="00BD7689">
        <w:rPr>
          <w:color w:val="333333"/>
          <w:shd w:val="clear" w:color="auto" w:fill="FFFFFF"/>
        </w:rPr>
        <w:t>’</w:t>
      </w:r>
      <w:r w:rsidRPr="00BD7689">
        <w:rPr>
          <w:color w:val="333333"/>
          <w:shd w:val="clear" w:color="auto" w:fill="FFFFFF"/>
        </w:rPr>
        <w:t>échelle nationale sont indispensables à la réalisation des objectifs et cibles de développement durable liés à l</w:t>
      </w:r>
      <w:r w:rsidRPr="00BD7689">
        <w:rPr>
          <w:color w:val="333333"/>
          <w:shd w:val="clear" w:color="auto" w:fill="FFFFFF"/>
        </w:rPr>
        <w:t>’</w:t>
      </w:r>
      <w:r w:rsidRPr="00BD7689">
        <w:rPr>
          <w:color w:val="333333"/>
          <w:shd w:val="clear" w:color="auto" w:fill="FFFFFF"/>
        </w:rPr>
        <w:t>environnement, et à l</w:t>
      </w:r>
      <w:r w:rsidRPr="00BD7689">
        <w:rPr>
          <w:color w:val="333333"/>
          <w:shd w:val="clear" w:color="auto" w:fill="FFFFFF"/>
        </w:rPr>
        <w:t>’</w:t>
      </w:r>
      <w:r w:rsidRPr="00BD7689">
        <w:rPr>
          <w:color w:val="333333"/>
          <w:shd w:val="clear" w:color="auto" w:fill="FFFFFF"/>
        </w:rPr>
        <w:t>application de l</w:t>
      </w:r>
      <w:r w:rsidRPr="00BD7689">
        <w:rPr>
          <w:color w:val="333333"/>
          <w:shd w:val="clear" w:color="auto" w:fill="FFFFFF"/>
        </w:rPr>
        <w:t>’</w:t>
      </w:r>
      <w:r w:rsidRPr="00BD7689">
        <w:rPr>
          <w:color w:val="333333"/>
          <w:shd w:val="clear" w:color="auto" w:fill="FFFFFF"/>
        </w:rPr>
        <w:t>Accord de Paris et d</w:t>
      </w:r>
      <w:r w:rsidRPr="00BD7689">
        <w:rPr>
          <w:color w:val="333333"/>
          <w:shd w:val="clear" w:color="auto" w:fill="FFFFFF"/>
        </w:rPr>
        <w:t>’</w:t>
      </w:r>
      <w:r w:rsidRPr="00BD7689">
        <w:rPr>
          <w:color w:val="333333"/>
          <w:shd w:val="clear" w:color="auto" w:fill="FFFFFF"/>
        </w:rPr>
        <w:t>autres accords multilatéraux relatifs à l</w:t>
      </w:r>
      <w:r w:rsidRPr="00BD7689">
        <w:rPr>
          <w:color w:val="333333"/>
          <w:shd w:val="clear" w:color="auto" w:fill="FFFFFF"/>
        </w:rPr>
        <w:t>’</w:t>
      </w:r>
      <w:r w:rsidRPr="00BD7689">
        <w:rPr>
          <w:color w:val="333333"/>
          <w:shd w:val="clear" w:color="auto" w:fill="FFFFFF"/>
        </w:rPr>
        <w:t>environnement, du Cadre de Sendai pour la réduction des risques de catastrophe (2015-2030), d</w:t>
      </w:r>
      <w:r w:rsidRPr="00BD7689">
        <w:rPr>
          <w:color w:val="333333"/>
          <w:shd w:val="clear" w:color="auto" w:fill="FFFFFF"/>
        </w:rPr>
        <w:t>’</w:t>
      </w:r>
      <w:r w:rsidRPr="00BD7689">
        <w:rPr>
          <w:color w:val="333333"/>
          <w:shd w:val="clear" w:color="auto" w:fill="FFFFFF"/>
        </w:rPr>
        <w:t>un certain nombre de résolutions du Conseil des droits de l</w:t>
      </w:r>
      <w:r w:rsidRPr="00BD7689">
        <w:rPr>
          <w:color w:val="333333"/>
          <w:shd w:val="clear" w:color="auto" w:fill="FFFFFF"/>
        </w:rPr>
        <w:t>’</w:t>
      </w:r>
      <w:r w:rsidRPr="00BD7689">
        <w:rPr>
          <w:color w:val="333333"/>
          <w:shd w:val="clear" w:color="auto" w:fill="FFFFFF"/>
        </w:rPr>
        <w:t>homme et des engagements pertinents pris dans le cadre de l</w:t>
      </w:r>
      <w:r w:rsidRPr="00BD7689">
        <w:rPr>
          <w:color w:val="333333"/>
          <w:shd w:val="clear" w:color="auto" w:fill="FFFFFF"/>
        </w:rPr>
        <w:t>’</w:t>
      </w:r>
      <w:r w:rsidRPr="00BD7689">
        <w:rPr>
          <w:color w:val="333333"/>
          <w:shd w:val="clear" w:color="auto" w:fill="FFFFFF"/>
        </w:rPr>
        <w:t>Organisation météorologique mondiale, de l</w:t>
      </w:r>
      <w:r w:rsidRPr="00BD7689">
        <w:rPr>
          <w:color w:val="333333"/>
          <w:shd w:val="clear" w:color="auto" w:fill="FFFFFF"/>
        </w:rPr>
        <w:t>’</w:t>
      </w:r>
      <w:r w:rsidRPr="00BD7689">
        <w:rPr>
          <w:color w:val="333333"/>
          <w:shd w:val="clear" w:color="auto" w:fill="FFFFFF"/>
        </w:rPr>
        <w:t>Organisation mondiale de la Santé, de l</w:t>
      </w:r>
      <w:r w:rsidRPr="00BD7689">
        <w:rPr>
          <w:color w:val="333333"/>
          <w:shd w:val="clear" w:color="auto" w:fill="FFFFFF"/>
        </w:rPr>
        <w:t>’</w:t>
      </w:r>
      <w:r w:rsidRPr="00BD7689">
        <w:rPr>
          <w:color w:val="333333"/>
          <w:shd w:val="clear" w:color="auto" w:fill="FFFFFF"/>
        </w:rPr>
        <w:t>Assemblée des Nations Unies pour l</w:t>
      </w:r>
      <w:r w:rsidRPr="00BD7689">
        <w:rPr>
          <w:color w:val="333333"/>
          <w:shd w:val="clear" w:color="auto" w:fill="FFFFFF"/>
        </w:rPr>
        <w:t>’</w:t>
      </w:r>
      <w:r w:rsidRPr="00BD7689">
        <w:rPr>
          <w:color w:val="333333"/>
          <w:shd w:val="clear" w:color="auto" w:fill="FFFFFF"/>
        </w:rPr>
        <w:t>environnement du Programme des Nations Unies pour l</w:t>
      </w:r>
      <w:r w:rsidRPr="00BD7689">
        <w:rPr>
          <w:color w:val="333333"/>
          <w:shd w:val="clear" w:color="auto" w:fill="FFFFFF"/>
        </w:rPr>
        <w:t>’</w:t>
      </w:r>
      <w:r w:rsidRPr="00BD7689">
        <w:rPr>
          <w:color w:val="333333"/>
          <w:shd w:val="clear" w:color="auto" w:fill="FFFFFF"/>
        </w:rPr>
        <w:t>environnement, de la Conférence ministérielle « Un environnement pour l</w:t>
      </w:r>
      <w:r w:rsidRPr="00BD7689">
        <w:rPr>
          <w:color w:val="333333"/>
          <w:shd w:val="clear" w:color="auto" w:fill="FFFFFF"/>
        </w:rPr>
        <w:t>’</w:t>
      </w:r>
      <w:r w:rsidRPr="00BD7689">
        <w:rPr>
          <w:color w:val="333333"/>
          <w:shd w:val="clear" w:color="auto" w:fill="FFFFFF"/>
        </w:rPr>
        <w:t>Europe » et du Groupe sur l</w:t>
      </w:r>
      <w:r w:rsidRPr="00BD7689">
        <w:rPr>
          <w:color w:val="333333"/>
          <w:shd w:val="clear" w:color="auto" w:fill="FFFFFF"/>
        </w:rPr>
        <w:t>’</w:t>
      </w:r>
      <w:r w:rsidRPr="00BD7689">
        <w:rPr>
          <w:color w:val="333333"/>
          <w:shd w:val="clear" w:color="auto" w:fill="FFFFFF"/>
        </w:rPr>
        <w:t>observation de la terre</w:t>
      </w:r>
      <w:r w:rsidRPr="00BD7689">
        <w:rPr>
          <w:lang w:val="fr-FR"/>
        </w:rPr>
        <w:t>,</w:t>
      </w:r>
    </w:p>
    <w:p w14:paraId="52FD9594" w14:textId="3AAF4D17" w:rsidR="000D49B7" w:rsidRPr="00BD7689" w:rsidRDefault="000D49B7" w:rsidP="000D49B7">
      <w:pPr>
        <w:pStyle w:val="SingleTxtG"/>
        <w:ind w:firstLine="567"/>
        <w:rPr>
          <w:i/>
          <w:lang w:val="fr-FR"/>
        </w:rPr>
      </w:pPr>
      <w:r w:rsidRPr="00BD7689">
        <w:rPr>
          <w:i/>
          <w:iCs/>
          <w:color w:val="333333"/>
          <w:shd w:val="clear" w:color="auto" w:fill="FFFFFF"/>
        </w:rPr>
        <w:t>Consciente</w:t>
      </w:r>
      <w:r w:rsidRPr="00BD7689">
        <w:rPr>
          <w:color w:val="333333"/>
          <w:shd w:val="clear" w:color="auto" w:fill="FFFFFF"/>
        </w:rPr>
        <w:t xml:space="preserve"> qu</w:t>
      </w:r>
      <w:r w:rsidRPr="00BD7689">
        <w:rPr>
          <w:color w:val="333333"/>
          <w:shd w:val="clear" w:color="auto" w:fill="FFFFFF"/>
        </w:rPr>
        <w:t>’</w:t>
      </w:r>
      <w:r w:rsidRPr="00BD7689">
        <w:rPr>
          <w:color w:val="333333"/>
          <w:shd w:val="clear" w:color="auto" w:fill="FFFFFF"/>
        </w:rPr>
        <w:t>un accès effectif du public aux informations sur les produits liées à l</w:t>
      </w:r>
      <w:r w:rsidRPr="00BD7689">
        <w:rPr>
          <w:color w:val="333333"/>
          <w:shd w:val="clear" w:color="auto" w:fill="FFFFFF"/>
        </w:rPr>
        <w:t>’</w:t>
      </w:r>
      <w:r w:rsidRPr="00BD7689">
        <w:rPr>
          <w:color w:val="333333"/>
          <w:shd w:val="clear" w:color="auto" w:fill="FFFFFF"/>
        </w:rPr>
        <w:t>environnement grâce à l</w:t>
      </w:r>
      <w:r w:rsidRPr="00BD7689">
        <w:rPr>
          <w:color w:val="333333"/>
          <w:shd w:val="clear" w:color="auto" w:fill="FFFFFF"/>
        </w:rPr>
        <w:t>’</w:t>
      </w:r>
      <w:r w:rsidRPr="00BD7689">
        <w:rPr>
          <w:color w:val="333333"/>
          <w:shd w:val="clear" w:color="auto" w:fill="FFFFFF"/>
        </w:rPr>
        <w:t>utilisation des technologies numériques peut aider les Parties à atteindre un certain nombre d</w:t>
      </w:r>
      <w:r w:rsidRPr="00BD7689">
        <w:rPr>
          <w:color w:val="333333"/>
          <w:shd w:val="clear" w:color="auto" w:fill="FFFFFF"/>
        </w:rPr>
        <w:t>’</w:t>
      </w:r>
      <w:r w:rsidRPr="00BD7689">
        <w:rPr>
          <w:color w:val="333333"/>
          <w:shd w:val="clear" w:color="auto" w:fill="FFFFFF"/>
        </w:rPr>
        <w:t>objectifs de développement durable, en particulier les objectifs</w:t>
      </w:r>
      <w:r w:rsidR="00BD7689">
        <w:rPr>
          <w:color w:val="333333"/>
          <w:shd w:val="clear" w:color="auto" w:fill="FFFFFF"/>
        </w:rPr>
        <w:t> </w:t>
      </w:r>
      <w:r w:rsidRPr="00BD7689">
        <w:rPr>
          <w:color w:val="333333"/>
          <w:shd w:val="clear" w:color="auto" w:fill="FFFFFF"/>
        </w:rPr>
        <w:t>8, 11, 12 et 13, et à mettre en œuvre efficacement les initiatives liées au pacte vert pour l</w:t>
      </w:r>
      <w:r w:rsidRPr="00BD7689">
        <w:rPr>
          <w:color w:val="333333"/>
          <w:shd w:val="clear" w:color="auto" w:fill="FFFFFF"/>
        </w:rPr>
        <w:t>’</w:t>
      </w:r>
      <w:r w:rsidRPr="00BD7689">
        <w:rPr>
          <w:color w:val="333333"/>
          <w:shd w:val="clear" w:color="auto" w:fill="FFFFFF"/>
        </w:rPr>
        <w:t>Europe, à la transition vers une économie verte et circulaire, à l</w:t>
      </w:r>
      <w:r w:rsidRPr="00BD7689">
        <w:rPr>
          <w:color w:val="333333"/>
          <w:shd w:val="clear" w:color="auto" w:fill="FFFFFF"/>
        </w:rPr>
        <w:t>’</w:t>
      </w:r>
      <w:r w:rsidRPr="00BD7689">
        <w:rPr>
          <w:color w:val="333333"/>
          <w:shd w:val="clear" w:color="auto" w:fill="FFFFFF"/>
        </w:rPr>
        <w:t>écologisation des marchés publics et aux approches « zéro déchet »</w:t>
      </w:r>
      <w:r w:rsidRPr="00BD7689">
        <w:rPr>
          <w:lang w:val="fr-FR"/>
        </w:rPr>
        <w:t>,</w:t>
      </w:r>
      <w:r w:rsidRPr="00BD7689">
        <w:rPr>
          <w:i/>
          <w:lang w:val="fr-FR"/>
        </w:rPr>
        <w:t xml:space="preserve"> </w:t>
      </w:r>
    </w:p>
    <w:p w14:paraId="6560224F" w14:textId="48B83EAE" w:rsidR="000D49B7" w:rsidRPr="00BD7689" w:rsidRDefault="000D49B7" w:rsidP="000D49B7">
      <w:pPr>
        <w:pStyle w:val="SingleTxtG"/>
        <w:ind w:firstLine="567"/>
        <w:rPr>
          <w:i/>
          <w:lang w:val="fr-FR"/>
        </w:rPr>
      </w:pPr>
      <w:r w:rsidRPr="00BD7689">
        <w:rPr>
          <w:i/>
          <w:lang w:val="fr-FR"/>
        </w:rPr>
        <w:t xml:space="preserve">Consciente également </w:t>
      </w:r>
      <w:r w:rsidRPr="00BD7689">
        <w:rPr>
          <w:lang w:val="fr-FR"/>
        </w:rPr>
        <w:t>que</w:t>
      </w:r>
      <w:r w:rsidRPr="00BD7689">
        <w:rPr>
          <w:i/>
          <w:lang w:val="fr-FR"/>
        </w:rPr>
        <w:t xml:space="preserve"> </w:t>
      </w:r>
      <w:r w:rsidRPr="00BD7689">
        <w:rPr>
          <w:lang w:val="fr-FR"/>
        </w:rPr>
        <w:t>les progrès des technologies numériques ont donné aux Parties de nouveaux moyens de s</w:t>
      </w:r>
      <w:r w:rsidRPr="00BD7689">
        <w:rPr>
          <w:lang w:val="fr-FR"/>
        </w:rPr>
        <w:t>’</w:t>
      </w:r>
      <w:r w:rsidRPr="00BD7689">
        <w:rPr>
          <w:lang w:val="fr-FR"/>
        </w:rPr>
        <w:t>acquitter de l</w:t>
      </w:r>
      <w:r w:rsidRPr="00BD7689">
        <w:rPr>
          <w:lang w:val="fr-FR"/>
        </w:rPr>
        <w:t>’</w:t>
      </w:r>
      <w:r w:rsidRPr="00BD7689">
        <w:rPr>
          <w:lang w:val="fr-FR"/>
        </w:rPr>
        <w:t>obligation qui leur incombe au titre de l</w:t>
      </w:r>
      <w:r w:rsidRPr="00BD7689">
        <w:rPr>
          <w:lang w:val="fr-FR"/>
        </w:rPr>
        <w:t>’</w:t>
      </w:r>
      <w:r w:rsidRPr="00BD7689">
        <w:rPr>
          <w:lang w:val="fr-FR"/>
        </w:rPr>
        <w:t>article 5 (par. 8) de la Convention d</w:t>
      </w:r>
      <w:r w:rsidRPr="00BD7689">
        <w:rPr>
          <w:color w:val="333333"/>
          <w:shd w:val="clear" w:color="auto" w:fill="FFFFFF"/>
        </w:rPr>
        <w:t>’</w:t>
      </w:r>
      <w:r w:rsidRPr="00BD7689">
        <w:rPr>
          <w:color w:val="333333"/>
          <w:shd w:val="clear" w:color="auto" w:fill="FFFFFF"/>
        </w:rPr>
        <w:t>élaborer des mécanismes en vue de faire en sorte que des informations suffisantes sur les produits soient mises à la disposition du public d</w:t>
      </w:r>
      <w:r w:rsidRPr="00BD7689">
        <w:rPr>
          <w:color w:val="333333"/>
          <w:shd w:val="clear" w:color="auto" w:fill="FFFFFF"/>
        </w:rPr>
        <w:t>’</w:t>
      </w:r>
      <w:r w:rsidRPr="00BD7689">
        <w:rPr>
          <w:color w:val="333333"/>
          <w:shd w:val="clear" w:color="auto" w:fill="FFFFFF"/>
        </w:rPr>
        <w:t xml:space="preserve">une </w:t>
      </w:r>
      <w:r w:rsidRPr="00BD7689">
        <w:rPr>
          <w:color w:val="333333"/>
          <w:shd w:val="clear" w:color="auto" w:fill="FFFFFF"/>
        </w:rPr>
        <w:lastRenderedPageBreak/>
        <w:t>manière qui permette aux consommateurs de faire des choix écologiques en connaissance de cause</w:t>
      </w:r>
      <w:r w:rsidRPr="00BD7689">
        <w:rPr>
          <w:lang w:val="fr-FR"/>
        </w:rPr>
        <w:t xml:space="preserve">, </w:t>
      </w:r>
    </w:p>
    <w:p w14:paraId="34111ED8" w14:textId="64C2A0F3" w:rsidR="000D49B7" w:rsidRPr="00BD7689" w:rsidRDefault="000D49B7" w:rsidP="000D49B7">
      <w:pPr>
        <w:pStyle w:val="SingleTxtG"/>
        <w:ind w:firstLine="567"/>
      </w:pPr>
      <w:r w:rsidRPr="00BD7689">
        <w:rPr>
          <w:i/>
        </w:rPr>
        <w:t>Consciente en outre</w:t>
      </w:r>
      <w:r w:rsidRPr="00BD7689">
        <w:t xml:space="preserve"> que les rapports nationaux de mise en œuvre, les conclusions du Comité d</w:t>
      </w:r>
      <w:r w:rsidRPr="00BD7689">
        <w:t>’</w:t>
      </w:r>
      <w:r w:rsidRPr="00BD7689">
        <w:t>examen du respect des dispositions, la jurisprudence pertinente des Parties et les travaux menés à ce jour sous les auspices de l</w:t>
      </w:r>
      <w:r w:rsidRPr="00BD7689">
        <w:t>’</w:t>
      </w:r>
      <w:r w:rsidRPr="00BD7689">
        <w:t>Équipe spéciale de l</w:t>
      </w:r>
      <w:r w:rsidRPr="00BD7689">
        <w:t>’</w:t>
      </w:r>
      <w:r w:rsidRPr="00BD7689">
        <w:t>accès à l</w:t>
      </w:r>
      <w:r w:rsidRPr="00BD7689">
        <w:t>’</w:t>
      </w:r>
      <w:r w:rsidRPr="00BD7689">
        <w:t>information ont tous montré qu</w:t>
      </w:r>
      <w:r w:rsidRPr="00BD7689">
        <w:t>’</w:t>
      </w:r>
      <w:r w:rsidRPr="00BD7689">
        <w:t>il restait des difficultés à surmonter pour mettre pleinement en œuvre le pilier de la Convention consacré à l</w:t>
      </w:r>
      <w:r w:rsidRPr="00BD7689">
        <w:t>’</w:t>
      </w:r>
      <w:r w:rsidRPr="00BD7689">
        <w:t>information, et aussi pour permettre au public d</w:t>
      </w:r>
      <w:r w:rsidRPr="00BD7689">
        <w:t>’</w:t>
      </w:r>
      <w:r w:rsidRPr="00BD7689">
        <w:t>accéder pleinement à l</w:t>
      </w:r>
      <w:r w:rsidRPr="00BD7689">
        <w:t>’</w:t>
      </w:r>
      <w:r w:rsidRPr="00BD7689">
        <w:t>information d</w:t>
      </w:r>
      <w:r w:rsidRPr="00BD7689">
        <w:t>’</w:t>
      </w:r>
      <w:r w:rsidRPr="00BD7689">
        <w:t>une manière qui soit transparente et efficace,</w:t>
      </w:r>
    </w:p>
    <w:p w14:paraId="0FD91EC3" w14:textId="611CD9E4" w:rsidR="000D49B7" w:rsidRPr="00BD7689" w:rsidRDefault="000D49B7" w:rsidP="000D49B7">
      <w:pPr>
        <w:pStyle w:val="SingleTxtG"/>
        <w:ind w:firstLine="567"/>
      </w:pPr>
      <w:r w:rsidRPr="00BD7689">
        <w:rPr>
          <w:i/>
        </w:rPr>
        <w:t>Ayant examiné</w:t>
      </w:r>
      <w:r w:rsidRPr="00BD7689">
        <w:t xml:space="preserve"> les rapports de l</w:t>
      </w:r>
      <w:r w:rsidRPr="00BD7689">
        <w:t>’</w:t>
      </w:r>
      <w:r w:rsidRPr="00BD7689">
        <w:t>Équipe spéciale de l</w:t>
      </w:r>
      <w:r w:rsidRPr="00BD7689">
        <w:t>’</w:t>
      </w:r>
      <w:r w:rsidRPr="00BD7689">
        <w:t>accès à l</w:t>
      </w:r>
      <w:r w:rsidRPr="00BD7689">
        <w:t>’</w:t>
      </w:r>
      <w:r w:rsidRPr="00BD7689">
        <w:t>information et les textes issus de la séance thématique tenue par le Groupe de travail des Parties au cours de la période écoulée depuis la sixième session de la Réunion des Parties</w:t>
      </w:r>
      <w:r w:rsidRPr="00BD7689">
        <w:rPr>
          <w:rStyle w:val="Appelnotedebasdep"/>
          <w:sz w:val="20"/>
        </w:rPr>
        <w:footnoteReference w:id="10"/>
      </w:r>
      <w:r w:rsidR="002C2C2E" w:rsidRPr="00BD7689">
        <w:t>,</w:t>
      </w:r>
    </w:p>
    <w:p w14:paraId="177DCD99" w14:textId="405D21A8" w:rsidR="000D49B7" w:rsidRPr="00BD7689" w:rsidRDefault="000D49B7" w:rsidP="000D49B7">
      <w:pPr>
        <w:pStyle w:val="SingleTxtG"/>
        <w:ind w:firstLine="567"/>
      </w:pPr>
      <w:r w:rsidRPr="00BD7689">
        <w:t>1.</w:t>
      </w:r>
      <w:r w:rsidRPr="00BD7689">
        <w:tab/>
      </w:r>
      <w:r w:rsidRPr="00BD7689">
        <w:rPr>
          <w:i/>
          <w:iCs/>
        </w:rPr>
        <w:t>Prend note</w:t>
      </w:r>
      <w:r w:rsidRPr="00BD7689">
        <w:t xml:space="preserve"> </w:t>
      </w:r>
      <w:r w:rsidRPr="00BD7689">
        <w:rPr>
          <w:i/>
        </w:rPr>
        <w:t>avec satisfaction</w:t>
      </w:r>
      <w:r w:rsidRPr="00BD7689">
        <w:t xml:space="preserve"> des travaux effectués par l</w:t>
      </w:r>
      <w:r w:rsidRPr="00BD7689">
        <w:t>’</w:t>
      </w:r>
      <w:r w:rsidRPr="00BD7689">
        <w:t>Équipe spéciale de l</w:t>
      </w:r>
      <w:r w:rsidRPr="00BD7689">
        <w:t>’</w:t>
      </w:r>
      <w:r w:rsidRPr="00BD7689">
        <w:t>accès à l</w:t>
      </w:r>
      <w:r w:rsidRPr="00BD7689">
        <w:t>’</w:t>
      </w:r>
      <w:r w:rsidRPr="00BD7689">
        <w:t>information et remercie la République de Moldova d</w:t>
      </w:r>
      <w:r w:rsidRPr="00BD7689">
        <w:t>’</w:t>
      </w:r>
      <w:r w:rsidRPr="00BD7689">
        <w:t>avoir dirigé ces travaux ;</w:t>
      </w:r>
    </w:p>
    <w:p w14:paraId="5045273F" w14:textId="44884436" w:rsidR="000D49B7" w:rsidRPr="00BD7689" w:rsidRDefault="000D49B7" w:rsidP="000D49B7">
      <w:pPr>
        <w:pStyle w:val="SingleTxtG"/>
        <w:ind w:firstLine="567"/>
        <w:rPr>
          <w:lang w:val="fr-FR"/>
        </w:rPr>
      </w:pPr>
      <w:r w:rsidRPr="00BD7689">
        <w:rPr>
          <w:lang w:val="fr-FR"/>
        </w:rPr>
        <w:t>2.</w:t>
      </w:r>
      <w:r w:rsidRPr="00BD7689">
        <w:rPr>
          <w:lang w:val="fr-FR"/>
        </w:rPr>
        <w:tab/>
      </w:r>
      <w:r w:rsidRPr="00BD7689">
        <w:rPr>
          <w:i/>
          <w:iCs/>
          <w:lang w:val="fr-FR"/>
        </w:rPr>
        <w:t>Adopte</w:t>
      </w:r>
      <w:r w:rsidRPr="00BD7689">
        <w:rPr>
          <w:lang w:val="fr-FR"/>
        </w:rPr>
        <w:t xml:space="preserve"> la version actualisée des r</w:t>
      </w:r>
      <w:r w:rsidRPr="00BD7689">
        <w:rPr>
          <w:color w:val="333333"/>
          <w:shd w:val="clear" w:color="auto" w:fill="FFFFFF"/>
          <w:lang w:val="fr-FR"/>
        </w:rPr>
        <w:t>ecommandations sur l</w:t>
      </w:r>
      <w:r w:rsidRPr="00BD7689">
        <w:rPr>
          <w:color w:val="333333"/>
          <w:shd w:val="clear" w:color="auto" w:fill="FFFFFF"/>
          <w:lang w:val="fr-FR"/>
        </w:rPr>
        <w:t>’</w:t>
      </w:r>
      <w:r w:rsidRPr="00BD7689">
        <w:rPr>
          <w:color w:val="333333"/>
          <w:shd w:val="clear" w:color="auto" w:fill="FFFFFF"/>
          <w:lang w:val="fr-FR"/>
        </w:rPr>
        <w:t>utilisation plus efficace des outils électroniques d</w:t>
      </w:r>
      <w:r w:rsidRPr="00BD7689">
        <w:rPr>
          <w:color w:val="333333"/>
          <w:shd w:val="clear" w:color="auto" w:fill="FFFFFF"/>
          <w:lang w:val="fr-FR"/>
        </w:rPr>
        <w:t>’</w:t>
      </w:r>
      <w:r w:rsidRPr="00BD7689">
        <w:rPr>
          <w:color w:val="333333"/>
          <w:shd w:val="clear" w:color="auto" w:fill="FFFFFF"/>
          <w:lang w:val="fr-FR"/>
        </w:rPr>
        <w:t>information</w:t>
      </w:r>
      <w:r w:rsidRPr="00BD7689">
        <w:rPr>
          <w:lang w:val="fr-FR"/>
        </w:rPr>
        <w:t xml:space="preserve"> (ECE/MP.PP/2021/20) et invite les Parties, les signataires et les autres États intéressés et parties prenantes à les utiliser comme lignes directrices concernant l</w:t>
      </w:r>
      <w:r w:rsidRPr="00BD7689">
        <w:rPr>
          <w:lang w:val="fr-FR"/>
        </w:rPr>
        <w:t>’</w:t>
      </w:r>
      <w:r w:rsidRPr="00BD7689">
        <w:rPr>
          <w:lang w:val="fr-FR"/>
        </w:rPr>
        <w:t>application de la Convention et le respect d</w:t>
      </w:r>
      <w:r w:rsidRPr="00BD7689">
        <w:rPr>
          <w:lang w:val="fr-FR"/>
        </w:rPr>
        <w:t>’</w:t>
      </w:r>
      <w:r w:rsidRPr="00BD7689">
        <w:rPr>
          <w:lang w:val="fr-FR"/>
        </w:rPr>
        <w:t>autres engagements internationaux pertinents ;</w:t>
      </w:r>
    </w:p>
    <w:p w14:paraId="07FF6C5D" w14:textId="75103BFC" w:rsidR="000D49B7" w:rsidRPr="00BD7689" w:rsidRDefault="000D49B7" w:rsidP="000D49B7">
      <w:pPr>
        <w:pStyle w:val="SingleTxtG"/>
        <w:ind w:firstLine="567"/>
      </w:pPr>
      <w:r w:rsidRPr="00BD7689">
        <w:t>3.</w:t>
      </w:r>
      <w:r w:rsidRPr="00BD7689">
        <w:tab/>
      </w:r>
      <w:r w:rsidRPr="00BD7689">
        <w:rPr>
          <w:i/>
        </w:rPr>
        <w:t>Se félicite</w:t>
      </w:r>
      <w:r w:rsidRPr="00BD7689">
        <w:t xml:space="preserve"> des initiatives prises par les Parties, les signataires, les organisations partenaires et d</w:t>
      </w:r>
      <w:r w:rsidRPr="00BD7689">
        <w:t>’</w:t>
      </w:r>
      <w:r w:rsidRPr="00BD7689">
        <w:t>autres parties prenantes en vue d</w:t>
      </w:r>
      <w:r w:rsidRPr="00BD7689">
        <w:t>’</w:t>
      </w:r>
      <w:r w:rsidRPr="00BD7689">
        <w:t>élargir et d</w:t>
      </w:r>
      <w:r w:rsidRPr="00BD7689">
        <w:t>’</w:t>
      </w:r>
      <w:r w:rsidRPr="00BD7689">
        <w:t>améliorer l</w:t>
      </w:r>
      <w:r w:rsidRPr="00BD7689">
        <w:t>’</w:t>
      </w:r>
      <w:r w:rsidRPr="00BD7689">
        <w:t>accès du public à l</w:t>
      </w:r>
      <w:r w:rsidRPr="00BD7689">
        <w:t>’</w:t>
      </w:r>
      <w:r w:rsidRPr="00BD7689">
        <w:t>information sur l</w:t>
      </w:r>
      <w:r w:rsidRPr="00BD7689">
        <w:t>’</w:t>
      </w:r>
      <w:r w:rsidRPr="00BD7689">
        <w:t>environnement, y compris aux outils d</w:t>
      </w:r>
      <w:r w:rsidRPr="00BD7689">
        <w:t>’</w:t>
      </w:r>
      <w:r w:rsidRPr="00BD7689">
        <w:t>information électroniques, à des initiatives relatives à l</w:t>
      </w:r>
      <w:r w:rsidRPr="00BD7689">
        <w:t>’</w:t>
      </w:r>
      <w:r w:rsidRPr="00BD7689">
        <w:t>administration en ligne</w:t>
      </w:r>
      <w:r w:rsidRPr="00BD7689">
        <w:rPr>
          <w:rStyle w:val="Appelnotedebasdep"/>
          <w:sz w:val="20"/>
        </w:rPr>
        <w:footnoteReference w:id="11"/>
      </w:r>
      <w:r w:rsidRPr="00BD7689">
        <w:t>, aux données publiques en libre accès</w:t>
      </w:r>
      <w:r w:rsidRPr="00BD7689">
        <w:rPr>
          <w:rStyle w:val="Appelnotedebasdep"/>
          <w:sz w:val="20"/>
        </w:rPr>
        <w:footnoteReference w:id="12"/>
      </w:r>
      <w:r w:rsidRPr="00BD7689">
        <w:t>, au Système de partage d</w:t>
      </w:r>
      <w:r w:rsidRPr="00BD7689">
        <w:t>’</w:t>
      </w:r>
      <w:r w:rsidRPr="00BD7689">
        <w:t>informations sur l</w:t>
      </w:r>
      <w:r w:rsidRPr="00BD7689">
        <w:t>’</w:t>
      </w:r>
      <w:r w:rsidRPr="00BD7689">
        <w:t>environnement dans la région paneuropéenne et à d</w:t>
      </w:r>
      <w:r w:rsidRPr="00BD7689">
        <w:t>’</w:t>
      </w:r>
      <w:r w:rsidRPr="00BD7689">
        <w:t>autres initiatives similaires ;</w:t>
      </w:r>
    </w:p>
    <w:p w14:paraId="6CECE268" w14:textId="5E6BEA5F" w:rsidR="000D49B7" w:rsidRPr="00BD7689" w:rsidRDefault="000D49B7" w:rsidP="000D49B7">
      <w:pPr>
        <w:pStyle w:val="SingleTxtG"/>
        <w:ind w:firstLine="567"/>
      </w:pPr>
      <w:r w:rsidRPr="00BD7689">
        <w:t>4</w:t>
      </w:r>
      <w:r w:rsidRPr="00BD7689">
        <w:tab/>
      </w:r>
      <w:r w:rsidRPr="00BD7689">
        <w:rPr>
          <w:i/>
          <w:iCs/>
        </w:rPr>
        <w:t xml:space="preserve">Se félicite également </w:t>
      </w:r>
      <w:r w:rsidRPr="00BD7689">
        <w:t>des initiatives prises par les Parties, les signataires, les organisations partenaires et d</w:t>
      </w:r>
      <w:r w:rsidRPr="00BD7689">
        <w:t>’</w:t>
      </w:r>
      <w:r w:rsidRPr="00BD7689">
        <w:t>autres parties prenantes pour mettre en commun des informations relatives à l</w:t>
      </w:r>
      <w:r w:rsidRPr="00BD7689">
        <w:t>’</w:t>
      </w:r>
      <w:r w:rsidRPr="00BD7689">
        <w:t>environnement fiables</w:t>
      </w:r>
      <w:r w:rsidRPr="00BD7689">
        <w:rPr>
          <w:rFonts w:asciiTheme="majorBidi" w:hAnsiTheme="majorBidi" w:cstheme="majorBidi"/>
          <w:lang w:val="fr-FR"/>
        </w:rPr>
        <w:t>, en particulier en s</w:t>
      </w:r>
      <w:r w:rsidRPr="00BD7689">
        <w:rPr>
          <w:rFonts w:asciiTheme="majorBidi" w:hAnsiTheme="majorBidi" w:cstheme="majorBidi"/>
          <w:lang w:val="fr-FR"/>
        </w:rPr>
        <w:t>’</w:t>
      </w:r>
      <w:r w:rsidRPr="00BD7689">
        <w:rPr>
          <w:rFonts w:asciiTheme="majorBidi" w:hAnsiTheme="majorBidi" w:cstheme="majorBidi"/>
          <w:lang w:val="fr-FR"/>
        </w:rPr>
        <w:t>appuyant sur des initiatives de sciences participatives,</w:t>
      </w:r>
      <w:r w:rsidRPr="00BD7689">
        <w:rPr>
          <w:rFonts w:asciiTheme="majorBidi" w:hAnsiTheme="majorBidi"/>
          <w:lang w:val="fr-FR"/>
        </w:rPr>
        <w:t xml:space="preserve"> </w:t>
      </w:r>
      <w:r w:rsidRPr="00BD7689">
        <w:t>créer des points d</w:t>
      </w:r>
      <w:r w:rsidRPr="00BD7689">
        <w:t>’</w:t>
      </w:r>
      <w:r w:rsidRPr="00BD7689">
        <w:t>accès Web uniques, conçus pour être faciles à utiliser, qui regroupent des données et des informations provenant de différentes sources fiables, et de les désigner nœud national du Mécanisme d</w:t>
      </w:r>
      <w:r w:rsidRPr="00BD7689">
        <w:t>’</w:t>
      </w:r>
      <w:r w:rsidRPr="00BD7689">
        <w:t>échange d</w:t>
      </w:r>
      <w:r w:rsidRPr="00BD7689">
        <w:t>’</w:t>
      </w:r>
      <w:r w:rsidRPr="00BD7689">
        <w:t>informations d</w:t>
      </w:r>
      <w:r w:rsidRPr="00BD7689">
        <w:t>’</w:t>
      </w:r>
      <w:r w:rsidRPr="00BD7689">
        <w:t>Aarhus pour la démocratie environnementale ;</w:t>
      </w:r>
    </w:p>
    <w:p w14:paraId="56B69994" w14:textId="19E594E7" w:rsidR="000D49B7" w:rsidRPr="00BD7689" w:rsidRDefault="000D49B7" w:rsidP="000D49B7">
      <w:pPr>
        <w:pStyle w:val="SingleTxtG"/>
        <w:ind w:firstLine="567"/>
      </w:pPr>
      <w:r w:rsidRPr="00BD7689">
        <w:t>5.</w:t>
      </w:r>
      <w:r w:rsidRPr="00BD7689">
        <w:tab/>
      </w:r>
      <w:r w:rsidRPr="00BD7689">
        <w:rPr>
          <w:i/>
          <w:iCs/>
        </w:rPr>
        <w:t xml:space="preserve">Engage </w:t>
      </w:r>
      <w:r w:rsidRPr="00BD7689">
        <w:t>les Parties, les signataires, les organisations partenaires et les autres parties prenantes à continuer de renforcer la mise en œuvre, à l</w:t>
      </w:r>
      <w:r w:rsidRPr="00BD7689">
        <w:t>’</w:t>
      </w:r>
      <w:r w:rsidRPr="00BD7689">
        <w:t>échelle nationale, du pilier de la Convention consacré à l</w:t>
      </w:r>
      <w:r w:rsidRPr="00BD7689">
        <w:t>’</w:t>
      </w:r>
      <w:r w:rsidRPr="00BD7689">
        <w:t>information, en particulier l</w:t>
      </w:r>
      <w:r w:rsidRPr="00BD7689">
        <w:t>’</w:t>
      </w:r>
      <w:r w:rsidRPr="00BD7689">
        <w:t>accès du public aux informations concernant la qualité de l</w:t>
      </w:r>
      <w:r w:rsidRPr="00BD7689">
        <w:t>’</w:t>
      </w:r>
      <w:r w:rsidRPr="00BD7689">
        <w:t>environnement et les émissions dans l</w:t>
      </w:r>
      <w:r w:rsidRPr="00BD7689">
        <w:t>’</w:t>
      </w:r>
      <w:r w:rsidRPr="00BD7689">
        <w:t>environnement conformément à la Convention, les produits et déchets dangereux, les produits en rapport avec l</w:t>
      </w:r>
      <w:r w:rsidRPr="00BD7689">
        <w:t>’</w:t>
      </w:r>
      <w:r w:rsidRPr="00BD7689">
        <w:t>environnement et les processus décisionnels en matière d</w:t>
      </w:r>
      <w:r w:rsidRPr="00BD7689">
        <w:t>’</w:t>
      </w:r>
      <w:r w:rsidRPr="00BD7689">
        <w:t>environnement ;</w:t>
      </w:r>
    </w:p>
    <w:p w14:paraId="362EAEE3" w14:textId="59262933" w:rsidR="000D49B7" w:rsidRPr="00BD7689" w:rsidRDefault="000D49B7" w:rsidP="000D49B7">
      <w:pPr>
        <w:pStyle w:val="SingleTxtG"/>
        <w:ind w:firstLine="567"/>
      </w:pPr>
      <w:r w:rsidRPr="00BD7689">
        <w:t>6.</w:t>
      </w:r>
      <w:r w:rsidRPr="00BD7689">
        <w:tab/>
      </w:r>
      <w:r w:rsidRPr="00BD7689">
        <w:rPr>
          <w:i/>
        </w:rPr>
        <w:t>Prie instamment</w:t>
      </w:r>
      <w:r w:rsidRPr="00BD7689">
        <w:t xml:space="preserve"> les Parties et les signataires : a)</w:t>
      </w:r>
      <w:r w:rsidR="00695D40">
        <w:t> </w:t>
      </w:r>
      <w:r w:rsidRPr="00BD7689">
        <w:t>de veiller à ce que la teneur des informations sur l</w:t>
      </w:r>
      <w:r w:rsidRPr="00BD7689">
        <w:t>’</w:t>
      </w:r>
      <w:r w:rsidRPr="00BD7689">
        <w:t>environnement soit interprétée dans un sens large, conformément aux prescriptions de la Convention : i)</w:t>
      </w:r>
      <w:r w:rsidR="00695D40">
        <w:t> </w:t>
      </w:r>
      <w:r w:rsidRPr="00BD7689">
        <w:t>lorsque des dispositions réglementaires, des textes législatifs et des documents d</w:t>
      </w:r>
      <w:r w:rsidRPr="00BD7689">
        <w:t>’</w:t>
      </w:r>
      <w:r w:rsidRPr="00BD7689">
        <w:t>orientation relatifs à l</w:t>
      </w:r>
      <w:r w:rsidRPr="00BD7689">
        <w:t>’</w:t>
      </w:r>
      <w:r w:rsidRPr="00BD7689">
        <w:t>accès aux informations sur l</w:t>
      </w:r>
      <w:r w:rsidRPr="00BD7689">
        <w:t>’</w:t>
      </w:r>
      <w:r w:rsidRPr="00BD7689">
        <w:t>environnement sont élaborés, ii)</w:t>
      </w:r>
      <w:r w:rsidR="00695D40">
        <w:t> </w:t>
      </w:r>
      <w:r w:rsidRPr="00BD7689">
        <w:t>lorsqu</w:t>
      </w:r>
      <w:r w:rsidRPr="00BD7689">
        <w:t>’</w:t>
      </w:r>
      <w:r w:rsidRPr="00BD7689">
        <w:t>il est décidé de divulguer ces informations ; b)</w:t>
      </w:r>
      <w:r w:rsidR="00695D40">
        <w:t> </w:t>
      </w:r>
      <w:r w:rsidRPr="00BD7689">
        <w:t>à mobiliser à cette fin les spécialistes de l</w:t>
      </w:r>
      <w:r w:rsidRPr="00BD7689">
        <w:t>’</w:t>
      </w:r>
      <w:r w:rsidRPr="00BD7689">
        <w:t>environnement compétents dans les cas</w:t>
      </w:r>
      <w:r w:rsidR="00695D40">
        <w:t> </w:t>
      </w:r>
      <w:r w:rsidRPr="00BD7689">
        <w:t>i) et ii) ;</w:t>
      </w:r>
    </w:p>
    <w:p w14:paraId="37F8186D" w14:textId="451EE603" w:rsidR="000D49B7" w:rsidRPr="00BD7689" w:rsidRDefault="000D49B7" w:rsidP="000D49B7">
      <w:pPr>
        <w:pStyle w:val="SingleTxtG"/>
        <w:ind w:firstLine="567"/>
      </w:pPr>
      <w:r w:rsidRPr="00BD7689">
        <w:t>7.</w:t>
      </w:r>
      <w:r w:rsidRPr="00BD7689">
        <w:tab/>
      </w:r>
      <w:r w:rsidRPr="00BD7689">
        <w:rPr>
          <w:i/>
          <w:iCs/>
        </w:rPr>
        <w:t xml:space="preserve">Invite </w:t>
      </w:r>
      <w:r w:rsidRPr="00BD7689">
        <w:t>les Parties et les signataires à suivre en permanence l</w:t>
      </w:r>
      <w:r w:rsidRPr="00BD7689">
        <w:t>’</w:t>
      </w:r>
      <w:r w:rsidRPr="00BD7689">
        <w:t>application des exceptions à la divulgation d</w:t>
      </w:r>
      <w:r w:rsidRPr="00BD7689">
        <w:t>’</w:t>
      </w:r>
      <w:r w:rsidRPr="00BD7689">
        <w:t>informations sur l</w:t>
      </w:r>
      <w:r w:rsidRPr="00BD7689">
        <w:t>’</w:t>
      </w:r>
      <w:r w:rsidRPr="00BD7689">
        <w:t>environnement et à prendre, selon qu</w:t>
      </w:r>
      <w:r w:rsidRPr="00BD7689">
        <w:t>’</w:t>
      </w:r>
      <w:r w:rsidRPr="00BD7689">
        <w:t xml:space="preserve">il conviendra, les mesures nécessaires pour mettre en place un cadre juridique clair et prévisible </w:t>
      </w:r>
      <w:r w:rsidRPr="00BD7689">
        <w:lastRenderedPageBreak/>
        <w:t>afin de garantir l</w:t>
      </w:r>
      <w:r w:rsidRPr="00BD7689">
        <w:t>’</w:t>
      </w:r>
      <w:r w:rsidRPr="00BD7689">
        <w:t>application restrictive de ces exceptions et la pleine divulgation d</w:t>
      </w:r>
      <w:r w:rsidRPr="00BD7689">
        <w:t>’</w:t>
      </w:r>
      <w:r w:rsidRPr="00BD7689">
        <w:t>informations sur les émissions conformément à la Convention ;</w:t>
      </w:r>
    </w:p>
    <w:p w14:paraId="43CDDEE5" w14:textId="2C537DC4" w:rsidR="000D49B7" w:rsidRPr="00BD7689" w:rsidRDefault="000D49B7" w:rsidP="000D49B7">
      <w:pPr>
        <w:pStyle w:val="SingleTxtG"/>
        <w:ind w:firstLine="567"/>
        <w:rPr>
          <w:lang w:val="fr-FR"/>
        </w:rPr>
      </w:pPr>
      <w:r w:rsidRPr="00BD7689">
        <w:rPr>
          <w:lang w:val="fr-FR"/>
        </w:rPr>
        <w:t>8.</w:t>
      </w:r>
      <w:r w:rsidRPr="00BD7689">
        <w:rPr>
          <w:lang w:val="fr-FR"/>
        </w:rPr>
        <w:tab/>
      </w:r>
      <w:r w:rsidRPr="00BD7689">
        <w:rPr>
          <w:i/>
          <w:iCs/>
          <w:lang w:val="fr-FR"/>
        </w:rPr>
        <w:t>Invite également</w:t>
      </w:r>
      <w:r w:rsidRPr="00BD7689">
        <w:rPr>
          <w:lang w:val="fr-FR"/>
        </w:rPr>
        <w:t xml:space="preserve"> les Parties et les signataires à continuer de développer et d</w:t>
      </w:r>
      <w:r w:rsidRPr="00BD7689">
        <w:rPr>
          <w:lang w:val="fr-FR"/>
        </w:rPr>
        <w:t>’</w:t>
      </w:r>
      <w:r w:rsidRPr="00BD7689">
        <w:rPr>
          <w:lang w:val="fr-FR"/>
        </w:rPr>
        <w:t>améliorer les cadres destinés à promouvoir l</w:t>
      </w:r>
      <w:r w:rsidRPr="00BD7689">
        <w:rPr>
          <w:lang w:val="fr-FR"/>
        </w:rPr>
        <w:t>’</w:t>
      </w:r>
      <w:r w:rsidRPr="00BD7689">
        <w:rPr>
          <w:lang w:val="fr-FR"/>
        </w:rPr>
        <w:t>utilisation, par les opérateurs dont les activités ont un impact important sur l</w:t>
      </w:r>
      <w:r w:rsidRPr="00BD7689">
        <w:rPr>
          <w:lang w:val="fr-FR"/>
        </w:rPr>
        <w:t>’</w:t>
      </w:r>
      <w:r w:rsidRPr="00BD7689">
        <w:rPr>
          <w:lang w:val="fr-FR"/>
        </w:rPr>
        <w:t>environnement, d</w:t>
      </w:r>
      <w:r w:rsidRPr="00BD7689">
        <w:rPr>
          <w:lang w:val="fr-FR"/>
        </w:rPr>
        <w:t>’</w:t>
      </w:r>
      <w:r w:rsidRPr="00BD7689">
        <w:rPr>
          <w:lang w:val="fr-FR"/>
        </w:rPr>
        <w:t>outils comme l</w:t>
      </w:r>
      <w:r w:rsidRPr="00BD7689">
        <w:rPr>
          <w:lang w:val="fr-FR"/>
        </w:rPr>
        <w:t>’</w:t>
      </w:r>
      <w:r w:rsidRPr="00BD7689">
        <w:rPr>
          <w:lang w:val="fr-FR"/>
        </w:rPr>
        <w:t>écoétiquetage, l</w:t>
      </w:r>
      <w:r w:rsidRPr="00BD7689">
        <w:rPr>
          <w:lang w:val="fr-FR"/>
        </w:rPr>
        <w:t>’</w:t>
      </w:r>
      <w:r w:rsidRPr="00BD7689">
        <w:rPr>
          <w:lang w:val="fr-FR"/>
        </w:rPr>
        <w:t>é</w:t>
      </w:r>
      <w:r w:rsidRPr="00BD7689">
        <w:rPr>
          <w:color w:val="333333"/>
          <w:shd w:val="clear" w:color="auto" w:fill="FFFFFF"/>
        </w:rPr>
        <w:t>tiquetage énergétique</w:t>
      </w:r>
      <w:r w:rsidRPr="00BD7689">
        <w:rPr>
          <w:lang w:val="fr-FR"/>
        </w:rPr>
        <w:t>, les passeports de produit, les déclarations de produit, l</w:t>
      </w:r>
      <w:r w:rsidRPr="00BD7689">
        <w:rPr>
          <w:lang w:val="fr-FR"/>
        </w:rPr>
        <w:t>’</w:t>
      </w:r>
      <w:r w:rsidRPr="00BD7689">
        <w:rPr>
          <w:lang w:val="fr-FR"/>
        </w:rPr>
        <w:t>étiquetage de mise en garde et d</w:t>
      </w:r>
      <w:r w:rsidRPr="00BD7689">
        <w:rPr>
          <w:lang w:val="fr-FR"/>
        </w:rPr>
        <w:t>’</w:t>
      </w:r>
      <w:r w:rsidRPr="00BD7689">
        <w:rPr>
          <w:lang w:val="fr-FR"/>
        </w:rPr>
        <w:t>autres outils d</w:t>
      </w:r>
      <w:r w:rsidRPr="00BD7689">
        <w:rPr>
          <w:lang w:val="fr-FR"/>
        </w:rPr>
        <w:t>’</w:t>
      </w:r>
      <w:r w:rsidRPr="00BD7689">
        <w:rPr>
          <w:lang w:val="fr-FR"/>
        </w:rPr>
        <w:t>information des consommateurs ;</w:t>
      </w:r>
    </w:p>
    <w:p w14:paraId="4BECD41A" w14:textId="25E7BF62" w:rsidR="000D49B7" w:rsidRPr="00BD7689" w:rsidRDefault="000D49B7" w:rsidP="000D49B7">
      <w:pPr>
        <w:pStyle w:val="SingleTxtG"/>
        <w:ind w:firstLine="567"/>
        <w:rPr>
          <w:spacing w:val="2"/>
          <w:lang w:val="fr-FR"/>
        </w:rPr>
      </w:pPr>
      <w:r w:rsidRPr="00BD7689">
        <w:rPr>
          <w:spacing w:val="2"/>
          <w:lang w:val="fr-FR"/>
        </w:rPr>
        <w:t>9.</w:t>
      </w:r>
      <w:r w:rsidRPr="00BD7689">
        <w:rPr>
          <w:spacing w:val="2"/>
          <w:lang w:val="fr-FR"/>
        </w:rPr>
        <w:tab/>
      </w:r>
      <w:r w:rsidRPr="00BD7689">
        <w:rPr>
          <w:i/>
          <w:iCs/>
          <w:spacing w:val="2"/>
          <w:lang w:val="fr-FR"/>
        </w:rPr>
        <w:t>Invite en outre</w:t>
      </w:r>
      <w:r w:rsidRPr="00BD7689">
        <w:rPr>
          <w:spacing w:val="2"/>
          <w:lang w:val="fr-FR"/>
        </w:rPr>
        <w:t xml:space="preserve"> les Parties et les signataires à établir des mécanismes de passage des marchés publics qui respectent l</w:t>
      </w:r>
      <w:r w:rsidRPr="00BD7689">
        <w:rPr>
          <w:spacing w:val="2"/>
          <w:lang w:val="fr-FR"/>
        </w:rPr>
        <w:t>’</w:t>
      </w:r>
      <w:r w:rsidRPr="00BD7689">
        <w:rPr>
          <w:spacing w:val="2"/>
          <w:lang w:val="fr-FR"/>
        </w:rPr>
        <w:t xml:space="preserve">environnement, à promouvoir </w:t>
      </w:r>
      <w:r w:rsidRPr="00BD7689">
        <w:rPr>
          <w:color w:val="333333"/>
          <w:spacing w:val="2"/>
          <w:shd w:val="clear" w:color="auto" w:fill="FFFFFF"/>
        </w:rPr>
        <w:t>l</w:t>
      </w:r>
      <w:r w:rsidRPr="00BD7689">
        <w:rPr>
          <w:color w:val="333333"/>
          <w:spacing w:val="2"/>
          <w:shd w:val="clear" w:color="auto" w:fill="FFFFFF"/>
        </w:rPr>
        <w:t>’</w:t>
      </w:r>
      <w:r w:rsidRPr="00BD7689">
        <w:rPr>
          <w:color w:val="333333"/>
          <w:spacing w:val="2"/>
          <w:shd w:val="clear" w:color="auto" w:fill="FFFFFF"/>
        </w:rPr>
        <w:t>utilisation des registres des rejets et transferts de polluants,</w:t>
      </w:r>
      <w:r w:rsidRPr="00BD7689">
        <w:rPr>
          <w:spacing w:val="2"/>
          <w:lang w:val="fr-FR"/>
        </w:rPr>
        <w:t xml:space="preserve"> et à faciliter les dialogues multipartites dans les différents secteurs de l</w:t>
      </w:r>
      <w:r w:rsidRPr="00BD7689">
        <w:rPr>
          <w:spacing w:val="2"/>
          <w:lang w:val="fr-FR"/>
        </w:rPr>
        <w:t>’</w:t>
      </w:r>
      <w:r w:rsidRPr="00BD7689">
        <w:rPr>
          <w:spacing w:val="2"/>
          <w:lang w:val="fr-FR"/>
        </w:rPr>
        <w:t>économie, en rassemblant, par exemple, fournisseurs, producteurs, exploitants d</w:t>
      </w:r>
      <w:r w:rsidRPr="00BD7689">
        <w:rPr>
          <w:spacing w:val="2"/>
          <w:lang w:val="fr-FR"/>
        </w:rPr>
        <w:t>’</w:t>
      </w:r>
      <w:r w:rsidRPr="00BD7689">
        <w:rPr>
          <w:spacing w:val="2"/>
          <w:lang w:val="fr-FR"/>
        </w:rPr>
        <w:t>installations, distributeurs, consommateurs et représentants d</w:t>
      </w:r>
      <w:r w:rsidRPr="00BD7689">
        <w:rPr>
          <w:spacing w:val="2"/>
          <w:lang w:val="fr-FR"/>
        </w:rPr>
        <w:t>’</w:t>
      </w:r>
      <w:r w:rsidRPr="00BD7689">
        <w:rPr>
          <w:spacing w:val="2"/>
          <w:lang w:val="fr-FR"/>
        </w:rPr>
        <w:t>organisations non gouvernementales de protection de l</w:t>
      </w:r>
      <w:r w:rsidRPr="00BD7689">
        <w:rPr>
          <w:spacing w:val="2"/>
          <w:lang w:val="fr-FR"/>
        </w:rPr>
        <w:t>’</w:t>
      </w:r>
      <w:r w:rsidRPr="00BD7689">
        <w:rPr>
          <w:spacing w:val="2"/>
          <w:lang w:val="fr-FR"/>
        </w:rPr>
        <w:t xml:space="preserve">environnement et autres membres du public intéressés en vue de </w:t>
      </w:r>
      <w:r w:rsidRPr="00BD7689">
        <w:rPr>
          <w:color w:val="333333"/>
          <w:spacing w:val="2"/>
          <w:shd w:val="clear" w:color="auto" w:fill="FFFFFF"/>
        </w:rPr>
        <w:t>promouvoir la transparence totale des produits de consommation, la traçabilité, la responsabilité et l</w:t>
      </w:r>
      <w:r w:rsidRPr="00BD7689">
        <w:rPr>
          <w:color w:val="333333"/>
          <w:spacing w:val="2"/>
          <w:shd w:val="clear" w:color="auto" w:fill="FFFFFF"/>
        </w:rPr>
        <w:t>’</w:t>
      </w:r>
      <w:r w:rsidRPr="00BD7689">
        <w:rPr>
          <w:color w:val="333333"/>
          <w:spacing w:val="2"/>
          <w:shd w:val="clear" w:color="auto" w:fill="FFFFFF"/>
        </w:rPr>
        <w:t>interopérabilité des systèmes d</w:t>
      </w:r>
      <w:r w:rsidRPr="00BD7689">
        <w:rPr>
          <w:color w:val="333333"/>
          <w:spacing w:val="2"/>
          <w:shd w:val="clear" w:color="auto" w:fill="FFFFFF"/>
        </w:rPr>
        <w:t>’</w:t>
      </w:r>
      <w:r w:rsidRPr="00BD7689">
        <w:rPr>
          <w:color w:val="333333"/>
          <w:spacing w:val="2"/>
          <w:shd w:val="clear" w:color="auto" w:fill="FFFFFF"/>
        </w:rPr>
        <w:t>information sur les produits en s</w:t>
      </w:r>
      <w:r w:rsidRPr="00BD7689">
        <w:rPr>
          <w:color w:val="333333"/>
          <w:spacing w:val="2"/>
          <w:shd w:val="clear" w:color="auto" w:fill="FFFFFF"/>
        </w:rPr>
        <w:t>’</w:t>
      </w:r>
      <w:r w:rsidRPr="00BD7689">
        <w:rPr>
          <w:color w:val="333333"/>
          <w:spacing w:val="2"/>
          <w:shd w:val="clear" w:color="auto" w:fill="FFFFFF"/>
        </w:rPr>
        <w:t>appuyant sur les meilleures technologies numériques de pointe disponibles et sur les principes relatifs aux données ouvertes </w:t>
      </w:r>
      <w:r w:rsidRPr="00BD7689">
        <w:rPr>
          <w:spacing w:val="2"/>
          <w:lang w:val="fr-FR"/>
        </w:rPr>
        <w:t>;</w:t>
      </w:r>
    </w:p>
    <w:p w14:paraId="5791CC46" w14:textId="29906220" w:rsidR="000D49B7" w:rsidRPr="00BD7689" w:rsidRDefault="000D49B7" w:rsidP="000D49B7">
      <w:pPr>
        <w:pStyle w:val="SingleTxtG"/>
        <w:ind w:firstLine="567"/>
      </w:pPr>
      <w:r w:rsidRPr="00BD7689">
        <w:t>10.</w:t>
      </w:r>
      <w:r w:rsidRPr="00BD7689">
        <w:rPr>
          <w:lang w:val="fr-FR"/>
        </w:rPr>
        <w:tab/>
      </w:r>
      <w:r w:rsidRPr="00BD7689">
        <w:rPr>
          <w:i/>
          <w:iCs/>
        </w:rPr>
        <w:t xml:space="preserve">Invite </w:t>
      </w:r>
      <w:r w:rsidRPr="00BD7689">
        <w:t>les Parties, les signataires, les organisations internationales, les organisations non gouvernementales et d</w:t>
      </w:r>
      <w:r w:rsidRPr="00BD7689">
        <w:t>’</w:t>
      </w:r>
      <w:r w:rsidRPr="00BD7689">
        <w:t>autres parties prenantes à continuer de mettre en commun les bonnes pratiques, les études de cas, les résultats de projets et autres éléments utiles par le biais du mécanisme d</w:t>
      </w:r>
      <w:r w:rsidRPr="00BD7689">
        <w:t>’</w:t>
      </w:r>
      <w:r w:rsidRPr="00BD7689">
        <w:t>échange d</w:t>
      </w:r>
      <w:r w:rsidRPr="00BD7689">
        <w:t>’</w:t>
      </w:r>
      <w:r w:rsidRPr="00BD7689">
        <w:t>informations d</w:t>
      </w:r>
      <w:r w:rsidRPr="00BD7689">
        <w:t>’</w:t>
      </w:r>
      <w:r w:rsidRPr="00BD7689">
        <w:t>Aarhus et de bases de données en ligne, et à soutenir la mise en place de points nodaux nationaux ;</w:t>
      </w:r>
    </w:p>
    <w:p w14:paraId="0F5689AD" w14:textId="6C126188" w:rsidR="000D49B7" w:rsidRPr="00BD7689" w:rsidRDefault="000D49B7" w:rsidP="000D49B7">
      <w:pPr>
        <w:pStyle w:val="SingleTxtG"/>
        <w:ind w:firstLine="567"/>
      </w:pPr>
      <w:r w:rsidRPr="00BD7689">
        <w:t>11.</w:t>
      </w:r>
      <w:r w:rsidRPr="00BD7689">
        <w:tab/>
      </w:r>
      <w:r w:rsidRPr="00BD7689">
        <w:rPr>
          <w:i/>
          <w:iCs/>
        </w:rPr>
        <w:t xml:space="preserve">Invite également </w:t>
      </w:r>
      <w:r w:rsidRPr="00BD7689">
        <w:t>les Parties, les signataires, les organisations partenaires et d</w:t>
      </w:r>
      <w:r w:rsidRPr="00BD7689">
        <w:t>’</w:t>
      </w:r>
      <w:r w:rsidRPr="00BD7689">
        <w:t>autres parties prenantes à promouvoir une plus large utilisation des outils d</w:t>
      </w:r>
      <w:r w:rsidRPr="00BD7689">
        <w:t>’</w:t>
      </w:r>
      <w:r w:rsidRPr="00BD7689">
        <w:t>information électroniques modernes en tant que moyen efficace de mettre en pratique les dispositions de la Convention, notamment par des partenariats public-privé</w:t>
      </w:r>
      <w:r w:rsidRPr="00BD7689">
        <w:rPr>
          <w:rStyle w:val="Appelnotedebasdep"/>
          <w:sz w:val="20"/>
        </w:rPr>
        <w:footnoteReference w:id="13"/>
      </w:r>
      <w:r w:rsidRPr="00BD7689">
        <w:t xml:space="preserve"> ; </w:t>
      </w:r>
    </w:p>
    <w:p w14:paraId="05EC6913" w14:textId="7659E378" w:rsidR="000D49B7" w:rsidRPr="00BD7689" w:rsidRDefault="000D49B7" w:rsidP="000D49B7">
      <w:pPr>
        <w:pStyle w:val="SingleTxtG"/>
        <w:ind w:firstLine="567"/>
      </w:pPr>
      <w:r w:rsidRPr="00BD7689">
        <w:t>12.</w:t>
      </w:r>
      <w:r w:rsidRPr="00BD7689">
        <w:tab/>
      </w:r>
      <w:r w:rsidRPr="00BD7689">
        <w:rPr>
          <w:i/>
          <w:iCs/>
        </w:rPr>
        <w:t xml:space="preserve">Réaffirme </w:t>
      </w:r>
      <w:r w:rsidRPr="00BD7689">
        <w:t>que les centres Aarhus, les médias, les bibliothèques publiques et d</w:t>
      </w:r>
      <w:r w:rsidRPr="00BD7689">
        <w:t>’</w:t>
      </w:r>
      <w:r w:rsidRPr="00BD7689">
        <w:t>autres sites d</w:t>
      </w:r>
      <w:r w:rsidRPr="00BD7689">
        <w:t>’</w:t>
      </w:r>
      <w:r w:rsidRPr="00BD7689">
        <w:t>information jouent un rôle important dans l</w:t>
      </w:r>
      <w:r w:rsidRPr="00BD7689">
        <w:t>’</w:t>
      </w:r>
      <w:r w:rsidRPr="00BD7689">
        <w:t>action visant à faciliter l</w:t>
      </w:r>
      <w:r w:rsidRPr="00BD7689">
        <w:t>’</w:t>
      </w:r>
      <w:r w:rsidRPr="00BD7689">
        <w:t>accès du public à l</w:t>
      </w:r>
      <w:r w:rsidRPr="00BD7689">
        <w:t>’</w:t>
      </w:r>
      <w:r w:rsidRPr="00BD7689">
        <w:t>information sur l</w:t>
      </w:r>
      <w:r w:rsidRPr="00BD7689">
        <w:t>’</w:t>
      </w:r>
      <w:r w:rsidRPr="00BD7689">
        <w:t xml:space="preserve">environnement et </w:t>
      </w:r>
      <w:r w:rsidRPr="00BD7689">
        <w:rPr>
          <w:iCs/>
        </w:rPr>
        <w:t>invite</w:t>
      </w:r>
      <w:r w:rsidRPr="00BD7689">
        <w:rPr>
          <w:i/>
          <w:iCs/>
        </w:rPr>
        <w:t xml:space="preserve"> </w:t>
      </w:r>
      <w:r w:rsidRPr="00BD7689">
        <w:t>les Parties, les signataires, les organisations internationales, les organisations non gouvernementales et d</w:t>
      </w:r>
      <w:r w:rsidRPr="00BD7689">
        <w:t>’</w:t>
      </w:r>
      <w:r w:rsidRPr="00BD7689">
        <w:t>autres parties prenantes à appuyer les activités de ces organismes ;</w:t>
      </w:r>
    </w:p>
    <w:p w14:paraId="5987AC5B" w14:textId="754E0E02" w:rsidR="000D49B7" w:rsidRPr="00BD7689" w:rsidRDefault="000D49B7" w:rsidP="000D49B7">
      <w:pPr>
        <w:pStyle w:val="SingleTxtG"/>
        <w:ind w:firstLine="567"/>
      </w:pPr>
      <w:r w:rsidRPr="00BD7689">
        <w:t>13.</w:t>
      </w:r>
      <w:r w:rsidRPr="00BD7689">
        <w:tab/>
      </w:r>
      <w:r w:rsidRPr="00BD7689">
        <w:rPr>
          <w:i/>
          <w:iCs/>
        </w:rPr>
        <w:t xml:space="preserve">Décide </w:t>
      </w:r>
      <w:r w:rsidRPr="00BD7689">
        <w:t>de prolonger la durée du mandat de l</w:t>
      </w:r>
      <w:r w:rsidRPr="00BD7689">
        <w:t>’</w:t>
      </w:r>
      <w:r w:rsidRPr="00BD7689">
        <w:t>Équipe spéciale de l</w:t>
      </w:r>
      <w:r w:rsidRPr="00BD7689">
        <w:t>’</w:t>
      </w:r>
      <w:r w:rsidRPr="00BD7689">
        <w:t>accès à l</w:t>
      </w:r>
      <w:r w:rsidRPr="00BD7689">
        <w:t>’</w:t>
      </w:r>
      <w:r w:rsidRPr="00BD7689">
        <w:t>information, placée sous l</w:t>
      </w:r>
      <w:r w:rsidRPr="00BD7689">
        <w:t>’</w:t>
      </w:r>
      <w:r w:rsidRPr="00BD7689">
        <w:t>autorité du Groupe de travail des Parties à la Convention ;</w:t>
      </w:r>
    </w:p>
    <w:p w14:paraId="44EC1093" w14:textId="6EE2FC83" w:rsidR="000D49B7" w:rsidRPr="00BD7689" w:rsidRDefault="000D49B7" w:rsidP="000D49B7">
      <w:pPr>
        <w:pStyle w:val="SingleTxtG"/>
        <w:ind w:firstLine="567"/>
      </w:pPr>
      <w:r w:rsidRPr="00BD7689">
        <w:t>14.</w:t>
      </w:r>
      <w:r w:rsidRPr="00BD7689">
        <w:tab/>
      </w:r>
      <w:r w:rsidRPr="00BD7689">
        <w:rPr>
          <w:i/>
        </w:rPr>
        <w:t>Se félicite</w:t>
      </w:r>
      <w:r w:rsidRPr="00BD7689">
        <w:t xml:space="preserve"> de l</w:t>
      </w:r>
      <w:r w:rsidRPr="00BD7689">
        <w:t>’</w:t>
      </w:r>
      <w:r w:rsidRPr="00BD7689">
        <w:t>offre de la République de Moldova de diriger l</w:t>
      </w:r>
      <w:r w:rsidRPr="00BD7689">
        <w:t>’</w:t>
      </w:r>
      <w:r w:rsidRPr="00BD7689">
        <w:t>Équipe spéciale de l</w:t>
      </w:r>
      <w:r w:rsidRPr="00BD7689">
        <w:t>’</w:t>
      </w:r>
      <w:r w:rsidRPr="00BD7689">
        <w:t>accès à l</w:t>
      </w:r>
      <w:r w:rsidRPr="00BD7689">
        <w:t>’</w:t>
      </w:r>
      <w:r w:rsidRPr="00BD7689">
        <w:t>information ;</w:t>
      </w:r>
    </w:p>
    <w:p w14:paraId="2F44B85C" w14:textId="78A75D3E" w:rsidR="000D49B7" w:rsidRPr="00BD7689" w:rsidRDefault="000D49B7" w:rsidP="000D49B7">
      <w:pPr>
        <w:pStyle w:val="SingleTxtG"/>
        <w:ind w:firstLine="567"/>
      </w:pPr>
      <w:r w:rsidRPr="00BD7689">
        <w:t>15.</w:t>
      </w:r>
      <w:r w:rsidRPr="00BD7689">
        <w:tab/>
      </w:r>
      <w:r w:rsidRPr="00BD7689">
        <w:rPr>
          <w:i/>
        </w:rPr>
        <w:t>Demande</w:t>
      </w:r>
      <w:r w:rsidRPr="00BD7689">
        <w:t xml:space="preserve"> à l</w:t>
      </w:r>
      <w:r w:rsidRPr="00BD7689">
        <w:t>’</w:t>
      </w:r>
      <w:r w:rsidRPr="00BD7689">
        <w:t>Équipe spéciale de l</w:t>
      </w:r>
      <w:r w:rsidRPr="00BD7689">
        <w:t>’</w:t>
      </w:r>
      <w:r w:rsidRPr="00BD7689">
        <w:t>accès à l</w:t>
      </w:r>
      <w:r w:rsidRPr="00BD7689">
        <w:t>’</w:t>
      </w:r>
      <w:r w:rsidRPr="00BD7689">
        <w:t>information de promouvoir, sous réserve des ressources disponibles, l</w:t>
      </w:r>
      <w:r w:rsidRPr="00BD7689">
        <w:t>’</w:t>
      </w:r>
      <w:r w:rsidRPr="00BD7689">
        <w:t>échange de renseignements, d</w:t>
      </w:r>
      <w:r w:rsidRPr="00BD7689">
        <w:t>’</w:t>
      </w:r>
      <w:r w:rsidRPr="00BD7689">
        <w:t>études de cas et de bonnes pratiques et d</w:t>
      </w:r>
      <w:r w:rsidRPr="00BD7689">
        <w:t>’</w:t>
      </w:r>
      <w:r w:rsidRPr="00BD7689">
        <w:t>examiner les perspectives de travaux complémentaires concernant le renforcement de l</w:t>
      </w:r>
      <w:r w:rsidRPr="00BD7689">
        <w:t>’</w:t>
      </w:r>
      <w:r w:rsidRPr="00BD7689">
        <w:t>accès du public à l</w:t>
      </w:r>
      <w:r w:rsidRPr="00BD7689">
        <w:t>’</w:t>
      </w:r>
      <w:r w:rsidRPr="00BD7689">
        <w:t>information sur l</w:t>
      </w:r>
      <w:r w:rsidRPr="00BD7689">
        <w:t>’</w:t>
      </w:r>
      <w:r w:rsidRPr="00BD7689">
        <w:t xml:space="preserve">environnement, en accordant une attention particulière à : </w:t>
      </w:r>
    </w:p>
    <w:p w14:paraId="7A617CE8" w14:textId="675EE113" w:rsidR="000D49B7" w:rsidRPr="00BD7689" w:rsidRDefault="000D49B7" w:rsidP="000D49B7">
      <w:pPr>
        <w:pStyle w:val="SingleTxtG"/>
        <w:keepNext/>
        <w:keepLines/>
        <w:ind w:firstLine="567"/>
      </w:pPr>
      <w:r w:rsidRPr="00BD7689">
        <w:t>a)</w:t>
      </w:r>
      <w:r w:rsidRPr="00BD7689">
        <w:tab/>
        <w:t>La diffusion active d</w:t>
      </w:r>
      <w:r w:rsidRPr="00BD7689">
        <w:t>’</w:t>
      </w:r>
      <w:r w:rsidRPr="00BD7689">
        <w:t>informations sur l</w:t>
      </w:r>
      <w:r w:rsidRPr="00BD7689">
        <w:t>’</w:t>
      </w:r>
      <w:r w:rsidRPr="00BD7689">
        <w:t>environnement, en mettant l</w:t>
      </w:r>
      <w:r w:rsidRPr="00BD7689">
        <w:t>’</w:t>
      </w:r>
      <w:r w:rsidRPr="00BD7689">
        <w:t>accent sur :</w:t>
      </w:r>
    </w:p>
    <w:p w14:paraId="0901C82C" w14:textId="77777777" w:rsidR="000D49B7" w:rsidRPr="00BD7689" w:rsidRDefault="000D49B7" w:rsidP="000D49B7">
      <w:pPr>
        <w:pStyle w:val="SingleTxtG"/>
        <w:ind w:left="1701"/>
      </w:pPr>
      <w:r w:rsidRPr="00BD7689">
        <w:t>i)</w:t>
      </w:r>
      <w:r w:rsidRPr="00BD7689">
        <w:tab/>
        <w:t>La mise en œuvre de la version actualisée des recommandations visées au paragraphe 2 ci-dessus ;</w:t>
      </w:r>
    </w:p>
    <w:p w14:paraId="2468E513" w14:textId="7AA26827" w:rsidR="000D49B7" w:rsidRPr="00BD7689" w:rsidRDefault="000D49B7" w:rsidP="000D49B7">
      <w:pPr>
        <w:pStyle w:val="SingleTxtG"/>
        <w:ind w:left="1701"/>
      </w:pPr>
      <w:r w:rsidRPr="00BD7689">
        <w:t>ii)</w:t>
      </w:r>
      <w:r w:rsidRPr="00BD7689">
        <w:tab/>
        <w:t>L</w:t>
      </w:r>
      <w:r w:rsidRPr="00BD7689">
        <w:t>’</w:t>
      </w:r>
      <w:r w:rsidRPr="00BD7689">
        <w:t>utilisation, par le public, des technologies modernes pour compiler, échanger et utiliser des données et informations sur l</w:t>
      </w:r>
      <w:r w:rsidRPr="00BD7689">
        <w:t>’</w:t>
      </w:r>
      <w:r w:rsidRPr="00BD7689">
        <w:t>environnement ;</w:t>
      </w:r>
    </w:p>
    <w:p w14:paraId="6728E05E" w14:textId="6E92FF8A" w:rsidR="000D49B7" w:rsidRPr="00BD7689" w:rsidRDefault="000D49B7" w:rsidP="000D49B7">
      <w:pPr>
        <w:pStyle w:val="SingleTxtG"/>
        <w:ind w:left="1701"/>
      </w:pPr>
      <w:r w:rsidRPr="00BD7689">
        <w:lastRenderedPageBreak/>
        <w:t>iii)</w:t>
      </w:r>
      <w:r w:rsidRPr="00BD7689">
        <w:tab/>
        <w:t>La fourniture d</w:t>
      </w:r>
      <w:r w:rsidRPr="00BD7689">
        <w:t>’</w:t>
      </w:r>
      <w:r w:rsidRPr="00BD7689">
        <w:t>informations aux autorités publiques par des tierces parties, que ce soit de manière régulière ou en cas de menace imminente pour la santé humaine et l</w:t>
      </w:r>
      <w:r w:rsidRPr="00BD7689">
        <w:t>’</w:t>
      </w:r>
      <w:r w:rsidRPr="00BD7689">
        <w:t>environnement ;</w:t>
      </w:r>
    </w:p>
    <w:p w14:paraId="26346784" w14:textId="2E28C1CF" w:rsidR="000D49B7" w:rsidRPr="00BD7689" w:rsidRDefault="000D49B7" w:rsidP="000D49B7">
      <w:pPr>
        <w:pStyle w:val="SingleTxtG"/>
        <w:keepNext/>
        <w:keepLines/>
        <w:ind w:firstLine="567"/>
      </w:pPr>
      <w:r w:rsidRPr="00BD7689">
        <w:t>b)</w:t>
      </w:r>
      <w:r w:rsidRPr="00BD7689">
        <w:tab/>
        <w:t>L</w:t>
      </w:r>
      <w:r w:rsidRPr="00BD7689">
        <w:t>’</w:t>
      </w:r>
      <w:r w:rsidRPr="00BD7689">
        <w:t>accès du public aux informations sur l</w:t>
      </w:r>
      <w:r w:rsidRPr="00BD7689">
        <w:t>’</w:t>
      </w:r>
      <w:r w:rsidRPr="00BD7689">
        <w:t>environnement, en mettant l</w:t>
      </w:r>
      <w:r w:rsidRPr="00BD7689">
        <w:t>’</w:t>
      </w:r>
      <w:r w:rsidRPr="00BD7689">
        <w:t>accent sur :</w:t>
      </w:r>
    </w:p>
    <w:p w14:paraId="437405F9" w14:textId="0F8ADEEA" w:rsidR="000D49B7" w:rsidRPr="00BD7689" w:rsidRDefault="000D49B7" w:rsidP="000D49B7">
      <w:pPr>
        <w:pStyle w:val="SingleTxtG"/>
        <w:ind w:left="1701"/>
      </w:pPr>
      <w:r w:rsidRPr="00BD7689">
        <w:t>i)</w:t>
      </w:r>
      <w:r w:rsidRPr="00BD7689">
        <w:tab/>
        <w:t>La portée des informations sur l</w:t>
      </w:r>
      <w:r w:rsidRPr="00BD7689">
        <w:t>’</w:t>
      </w:r>
      <w:r w:rsidRPr="00BD7689">
        <w:t>environnement au sens de l</w:t>
      </w:r>
      <w:r w:rsidRPr="00BD7689">
        <w:t>’</w:t>
      </w:r>
      <w:r w:rsidRPr="00BD7689">
        <w:t>article 2 (par. 3) de la Convention ;</w:t>
      </w:r>
    </w:p>
    <w:p w14:paraId="55160530" w14:textId="5D92E0D0" w:rsidR="000D49B7" w:rsidRPr="00BD7689" w:rsidRDefault="000D49B7" w:rsidP="000D49B7">
      <w:pPr>
        <w:pStyle w:val="SingleTxtG"/>
        <w:ind w:left="1701"/>
      </w:pPr>
      <w:r w:rsidRPr="00BD7689">
        <w:t>ii)</w:t>
      </w:r>
      <w:r w:rsidRPr="00BD7689">
        <w:tab/>
        <w:t>La transparence des autorités publiques concernant les questions environnementales et l</w:t>
      </w:r>
      <w:r w:rsidRPr="00BD7689">
        <w:t>’</w:t>
      </w:r>
      <w:r w:rsidRPr="00BD7689">
        <w:t>application de restrictions à l</w:t>
      </w:r>
      <w:r w:rsidRPr="00BD7689">
        <w:t>’</w:t>
      </w:r>
      <w:r w:rsidRPr="00BD7689">
        <w:t>accès aux informations sur l</w:t>
      </w:r>
      <w:r w:rsidRPr="00BD7689">
        <w:t>’</w:t>
      </w:r>
      <w:r w:rsidRPr="00BD7689">
        <w:t>environnement, conformément aux dispositions de la Convention ;</w:t>
      </w:r>
    </w:p>
    <w:p w14:paraId="48D1D336" w14:textId="0C316DE1" w:rsidR="000D49B7" w:rsidRPr="00BD7689" w:rsidRDefault="000D49B7" w:rsidP="000D49B7">
      <w:pPr>
        <w:pStyle w:val="SingleTxtG"/>
        <w:ind w:left="1701"/>
      </w:pPr>
      <w:r w:rsidRPr="00BD7689">
        <w:t>iii)</w:t>
      </w:r>
      <w:r w:rsidRPr="00BD7689">
        <w:tab/>
        <w:t>L</w:t>
      </w:r>
      <w:r w:rsidRPr="00BD7689">
        <w:t>’</w:t>
      </w:r>
      <w:r w:rsidRPr="00BD7689">
        <w:t>accès aux informations sur les produits ayant trait à l</w:t>
      </w:r>
      <w:r w:rsidRPr="00BD7689">
        <w:t>’</w:t>
      </w:r>
      <w:r w:rsidRPr="00BD7689">
        <w:t>environnement ;</w:t>
      </w:r>
    </w:p>
    <w:p w14:paraId="34A0911D" w14:textId="7E3107DC" w:rsidR="000D49B7" w:rsidRPr="00BD7689" w:rsidRDefault="000D49B7" w:rsidP="000D49B7">
      <w:pPr>
        <w:pStyle w:val="SingleTxtG"/>
        <w:ind w:left="1701"/>
      </w:pPr>
      <w:r w:rsidRPr="00BD7689">
        <w:t>iv)</w:t>
      </w:r>
      <w:r w:rsidRPr="00BD7689">
        <w:tab/>
        <w:t>L</w:t>
      </w:r>
      <w:r w:rsidRPr="00BD7689">
        <w:t>’</w:t>
      </w:r>
      <w:r w:rsidRPr="00BD7689">
        <w:t>accès aux informations sur les émissions dans l</w:t>
      </w:r>
      <w:r w:rsidRPr="00BD7689">
        <w:t>’</w:t>
      </w:r>
      <w:r w:rsidRPr="00BD7689">
        <w:t>environnement ;</w:t>
      </w:r>
    </w:p>
    <w:p w14:paraId="0EEBDEDA" w14:textId="191C6F0F" w:rsidR="000D49B7" w:rsidRPr="00BD7689" w:rsidRDefault="000D49B7" w:rsidP="000D49B7">
      <w:pPr>
        <w:pStyle w:val="SingleTxtG"/>
        <w:ind w:firstLine="567"/>
        <w:rPr>
          <w:color w:val="000000"/>
        </w:rPr>
      </w:pPr>
      <w:r w:rsidRPr="00BD7689">
        <w:t>c)</w:t>
      </w:r>
      <w:r w:rsidRPr="00BD7689">
        <w:tab/>
        <w:t xml:space="preserve">La </w:t>
      </w:r>
      <w:r w:rsidRPr="00BD7689">
        <w:rPr>
          <w:color w:val="333333"/>
          <w:shd w:val="clear" w:color="auto" w:fill="FFFFFF"/>
        </w:rPr>
        <w:t>protection des lanceurs d</w:t>
      </w:r>
      <w:r w:rsidRPr="00BD7689">
        <w:rPr>
          <w:color w:val="333333"/>
          <w:shd w:val="clear" w:color="auto" w:fill="FFFFFF"/>
        </w:rPr>
        <w:t>’</w:t>
      </w:r>
      <w:r w:rsidRPr="00BD7689">
        <w:rPr>
          <w:color w:val="333333"/>
          <w:shd w:val="clear" w:color="auto" w:fill="FFFFFF"/>
        </w:rPr>
        <w:t>alerte</w:t>
      </w:r>
      <w:r w:rsidRPr="00BD7689">
        <w:rPr>
          <w:color w:val="000000"/>
        </w:rPr>
        <w:t xml:space="preserve"> et autres personnes exerçant leurs droits en conformité avec les dispositions de la Convention, contre le harcèlement et d</w:t>
      </w:r>
      <w:r w:rsidRPr="00BD7689">
        <w:rPr>
          <w:color w:val="000000"/>
        </w:rPr>
        <w:t>’</w:t>
      </w:r>
      <w:r w:rsidRPr="00BD7689">
        <w:rPr>
          <w:color w:val="000000"/>
        </w:rPr>
        <w:t>autres formes de représailles en cas de signalement d</w:t>
      </w:r>
      <w:r w:rsidRPr="00BD7689">
        <w:rPr>
          <w:color w:val="000000"/>
        </w:rPr>
        <w:t>’</w:t>
      </w:r>
      <w:r w:rsidRPr="00BD7689">
        <w:rPr>
          <w:color w:val="000000"/>
        </w:rPr>
        <w:t>atteintes à l</w:t>
      </w:r>
      <w:r w:rsidRPr="00BD7689">
        <w:rPr>
          <w:color w:val="000000"/>
        </w:rPr>
        <w:t>’</w:t>
      </w:r>
      <w:r w:rsidRPr="00BD7689">
        <w:rPr>
          <w:color w:val="000000"/>
        </w:rPr>
        <w:t>environnement ;</w:t>
      </w:r>
    </w:p>
    <w:p w14:paraId="09D11875" w14:textId="3F2B36EF" w:rsidR="000D49B7" w:rsidRPr="00BD7689" w:rsidRDefault="000D49B7" w:rsidP="000D49B7">
      <w:pPr>
        <w:pStyle w:val="SingleTxtG"/>
        <w:ind w:firstLine="567"/>
        <w:rPr>
          <w:lang w:val="fr-FR"/>
        </w:rPr>
      </w:pPr>
      <w:r w:rsidRPr="00BD7689">
        <w:rPr>
          <w:lang w:val="fr-FR"/>
        </w:rPr>
        <w:t>d)</w:t>
      </w:r>
      <w:r w:rsidRPr="00BD7689">
        <w:rPr>
          <w:lang w:val="fr-FR"/>
        </w:rPr>
        <w:tab/>
      </w:r>
      <w:r w:rsidRPr="00BD7689">
        <w:rPr>
          <w:color w:val="333333"/>
          <w:shd w:val="clear" w:color="auto" w:fill="FFFFFF"/>
        </w:rPr>
        <w:t>Dans la limite des ressources disponibles, élaborer des documents d</w:t>
      </w:r>
      <w:r w:rsidRPr="00BD7689">
        <w:rPr>
          <w:color w:val="333333"/>
          <w:shd w:val="clear" w:color="auto" w:fill="FFFFFF"/>
        </w:rPr>
        <w:t>’</w:t>
      </w:r>
      <w:r w:rsidRPr="00BD7689">
        <w:rPr>
          <w:color w:val="333333"/>
          <w:shd w:val="clear" w:color="auto" w:fill="FFFFFF"/>
        </w:rPr>
        <w:t>analyse, d</w:t>
      </w:r>
      <w:r w:rsidRPr="00BD7689">
        <w:rPr>
          <w:color w:val="333333"/>
          <w:shd w:val="clear" w:color="auto" w:fill="FFFFFF"/>
        </w:rPr>
        <w:t>’</w:t>
      </w:r>
      <w:r w:rsidRPr="00BD7689">
        <w:rPr>
          <w:color w:val="333333"/>
          <w:shd w:val="clear" w:color="auto" w:fill="FFFFFF"/>
        </w:rPr>
        <w:t>orientation et de formation à l</w:t>
      </w:r>
      <w:r w:rsidRPr="00BD7689">
        <w:rPr>
          <w:color w:val="333333"/>
          <w:shd w:val="clear" w:color="auto" w:fill="FFFFFF"/>
        </w:rPr>
        <w:t>’</w:t>
      </w:r>
      <w:r w:rsidRPr="00BD7689">
        <w:rPr>
          <w:color w:val="333333"/>
          <w:shd w:val="clear" w:color="auto" w:fill="FFFFFF"/>
        </w:rPr>
        <w:t>appui des activités mentionnées aux alinéas a), b) et c) ci</w:t>
      </w:r>
      <w:r w:rsidR="00695D40">
        <w:rPr>
          <w:color w:val="333333"/>
          <w:shd w:val="clear" w:color="auto" w:fill="FFFFFF"/>
        </w:rPr>
        <w:noBreakHyphen/>
      </w:r>
      <w:r w:rsidRPr="00BD7689">
        <w:rPr>
          <w:color w:val="333333"/>
          <w:shd w:val="clear" w:color="auto" w:fill="FFFFFF"/>
        </w:rPr>
        <w:t>dessus </w:t>
      </w:r>
      <w:r w:rsidRPr="00BD7689">
        <w:rPr>
          <w:lang w:val="fr-FR"/>
        </w:rPr>
        <w:t>;</w:t>
      </w:r>
    </w:p>
    <w:p w14:paraId="35A3EA04" w14:textId="22691ADF" w:rsidR="000D49B7" w:rsidRPr="00BD7689" w:rsidRDefault="000D49B7" w:rsidP="000D49B7">
      <w:pPr>
        <w:pStyle w:val="SingleTxtG"/>
        <w:ind w:firstLine="567"/>
      </w:pPr>
      <w:r w:rsidRPr="00695D40">
        <w:t>e)</w:t>
      </w:r>
      <w:r w:rsidRPr="00695D40">
        <w:tab/>
        <w:t>L</w:t>
      </w:r>
      <w:r w:rsidRPr="00695D40">
        <w:t>’</w:t>
      </w:r>
      <w:r w:rsidRPr="00695D40">
        <w:t>enrichissement continu du Mécanisme d</w:t>
      </w:r>
      <w:r w:rsidRPr="00695D40">
        <w:t>’</w:t>
      </w:r>
      <w:r w:rsidRPr="00695D40">
        <w:t>échange d</w:t>
      </w:r>
      <w:r w:rsidRPr="00695D40">
        <w:t>’</w:t>
      </w:r>
      <w:r w:rsidRPr="00695D40">
        <w:t>informations d</w:t>
      </w:r>
      <w:r w:rsidRPr="00695D40">
        <w:t>’</w:t>
      </w:r>
      <w:r w:rsidRPr="00695D40">
        <w:t>Aarhus pour la démocratie environnementale.</w:t>
      </w:r>
    </w:p>
    <w:p w14:paraId="6C55670E" w14:textId="39FD8C6F" w:rsidR="000D49B7" w:rsidRPr="00BD7689" w:rsidRDefault="000D49B7" w:rsidP="000D49B7">
      <w:pPr>
        <w:pStyle w:val="SingleTxtG"/>
        <w:ind w:firstLine="567"/>
        <w:rPr>
          <w:lang w:val="fr-FR"/>
        </w:rPr>
      </w:pPr>
      <w:r w:rsidRPr="00BD7689">
        <w:rPr>
          <w:lang w:val="fr-FR"/>
        </w:rPr>
        <w:t>16.</w:t>
      </w:r>
      <w:r w:rsidRPr="00BD7689">
        <w:rPr>
          <w:lang w:val="fr-FR"/>
        </w:rPr>
        <w:tab/>
      </w:r>
      <w:r w:rsidRPr="00BD7689">
        <w:rPr>
          <w:i/>
          <w:iCs/>
          <w:lang w:val="fr-FR"/>
        </w:rPr>
        <w:t xml:space="preserve">Demande également </w:t>
      </w:r>
      <w:r w:rsidRPr="00BD7689">
        <w:rPr>
          <w:lang w:val="fr-FR" w:eastAsia="zh-CN"/>
        </w:rPr>
        <w:t>à l</w:t>
      </w:r>
      <w:r w:rsidRPr="00BD7689">
        <w:rPr>
          <w:lang w:val="fr-FR" w:eastAsia="zh-CN"/>
        </w:rPr>
        <w:t>’</w:t>
      </w:r>
      <w:r w:rsidRPr="00BD7689">
        <w:rPr>
          <w:lang w:val="fr-FR" w:eastAsia="zh-CN"/>
        </w:rPr>
        <w:t>Équipe spéciale d</w:t>
      </w:r>
      <w:r w:rsidRPr="00BD7689">
        <w:rPr>
          <w:lang w:val="fr-FR" w:eastAsia="zh-CN"/>
        </w:rPr>
        <w:t>’</w:t>
      </w:r>
      <w:r w:rsidRPr="00BD7689">
        <w:rPr>
          <w:lang w:val="fr-FR" w:eastAsia="zh-CN"/>
        </w:rPr>
        <w:t xml:space="preserve">étudier </w:t>
      </w:r>
      <w:r w:rsidRPr="00BD7689">
        <w:rPr>
          <w:color w:val="333333"/>
          <w:shd w:val="clear" w:color="auto" w:fill="FFFFFF"/>
        </w:rPr>
        <w:t>les bonnes pratiques existantes et les moyens envisageables en vue d</w:t>
      </w:r>
      <w:r w:rsidRPr="00BD7689">
        <w:rPr>
          <w:color w:val="333333"/>
          <w:shd w:val="clear" w:color="auto" w:fill="FFFFFF"/>
        </w:rPr>
        <w:t>’</w:t>
      </w:r>
      <w:r w:rsidRPr="00BD7689">
        <w:rPr>
          <w:color w:val="333333"/>
          <w:shd w:val="clear" w:color="auto" w:fill="FFFFFF"/>
        </w:rPr>
        <w:t>améliorer l</w:t>
      </w:r>
      <w:r w:rsidRPr="00BD7689">
        <w:rPr>
          <w:color w:val="333333"/>
          <w:shd w:val="clear" w:color="auto" w:fill="FFFFFF"/>
        </w:rPr>
        <w:t>’</w:t>
      </w:r>
      <w:r w:rsidRPr="00BD7689">
        <w:rPr>
          <w:color w:val="333333"/>
          <w:shd w:val="clear" w:color="auto" w:fill="FFFFFF"/>
        </w:rPr>
        <w:t>accès aux informations sur les produits, y compris, mais sans s</w:t>
      </w:r>
      <w:r w:rsidRPr="00BD7689">
        <w:rPr>
          <w:color w:val="333333"/>
          <w:shd w:val="clear" w:color="auto" w:fill="FFFFFF"/>
        </w:rPr>
        <w:t>’</w:t>
      </w:r>
      <w:r w:rsidRPr="00BD7689">
        <w:rPr>
          <w:color w:val="333333"/>
          <w:shd w:val="clear" w:color="auto" w:fill="FFFFFF"/>
        </w:rPr>
        <w:t>y limiter, l</w:t>
      </w:r>
      <w:r w:rsidRPr="00BD7689">
        <w:rPr>
          <w:color w:val="333333"/>
          <w:shd w:val="clear" w:color="auto" w:fill="FFFFFF"/>
        </w:rPr>
        <w:t>’</w:t>
      </w:r>
      <w:r w:rsidRPr="00BD7689">
        <w:rPr>
          <w:color w:val="333333"/>
          <w:shd w:val="clear" w:color="auto" w:fill="FFFFFF"/>
        </w:rPr>
        <w:t>utilité, la forme et le contenu que pourrait avoir un instrument visant à garantir l</w:t>
      </w:r>
      <w:r w:rsidRPr="00BD7689">
        <w:rPr>
          <w:color w:val="333333"/>
          <w:shd w:val="clear" w:color="auto" w:fill="FFFFFF"/>
        </w:rPr>
        <w:t>’</w:t>
      </w:r>
      <w:r w:rsidRPr="00BD7689">
        <w:rPr>
          <w:color w:val="333333"/>
          <w:shd w:val="clear" w:color="auto" w:fill="FFFFFF"/>
        </w:rPr>
        <w:t>accès du public à des informations sur les produits suffisantes pour permettre aux consommateurs de faire des choix écologiques en toute connaissance de cause, en utilisant les solutions numériques les plus récentes telles que les « passeports de produits », et d</w:t>
      </w:r>
      <w:r w:rsidRPr="00BD7689">
        <w:rPr>
          <w:color w:val="333333"/>
          <w:shd w:val="clear" w:color="auto" w:fill="FFFFFF"/>
        </w:rPr>
        <w:t>’</w:t>
      </w:r>
      <w:r w:rsidRPr="00BD7689">
        <w:rPr>
          <w:color w:val="333333"/>
          <w:shd w:val="clear" w:color="auto" w:fill="FFFFFF"/>
        </w:rPr>
        <w:t>élaborer des propositions pour examen par le Groupe de travail des Parties, puis par la Réunion des Parties, en vue d</w:t>
      </w:r>
      <w:r w:rsidRPr="00BD7689">
        <w:rPr>
          <w:color w:val="333333"/>
          <w:shd w:val="clear" w:color="auto" w:fill="FFFFFF"/>
        </w:rPr>
        <w:t>’</w:t>
      </w:r>
      <w:r w:rsidRPr="00BD7689">
        <w:rPr>
          <w:color w:val="333333"/>
          <w:shd w:val="clear" w:color="auto" w:fill="FFFFFF"/>
        </w:rPr>
        <w:t>une éventuelle adoption par la Réunion des Parties à sa huitième session </w:t>
      </w:r>
      <w:r w:rsidRPr="00BD7689">
        <w:rPr>
          <w:lang w:val="fr-FR" w:eastAsia="zh-CN"/>
        </w:rPr>
        <w:t>;</w:t>
      </w:r>
    </w:p>
    <w:p w14:paraId="235F687E" w14:textId="24AC20EE" w:rsidR="000D49B7" w:rsidRPr="00BD7689" w:rsidRDefault="000D49B7" w:rsidP="000D49B7">
      <w:pPr>
        <w:pStyle w:val="SingleTxtG"/>
        <w:ind w:firstLine="567"/>
      </w:pPr>
      <w:r w:rsidRPr="00BD7689">
        <w:t>17.</w:t>
      </w:r>
      <w:r w:rsidRPr="00BD7689">
        <w:tab/>
      </w:r>
      <w:r w:rsidRPr="00BD7689">
        <w:rPr>
          <w:i/>
          <w:iCs/>
        </w:rPr>
        <w:t xml:space="preserve">Invite </w:t>
      </w:r>
      <w:r w:rsidRPr="00BD7689">
        <w:t>les Parties, les signataires, les autres États intéressés, les organisations internationales et d</w:t>
      </w:r>
      <w:r w:rsidRPr="00BD7689">
        <w:t>’</w:t>
      </w:r>
      <w:r w:rsidRPr="00BD7689">
        <w:t>autres organisations à prendre part aux activités menées dans le cadre de la Convention sur l</w:t>
      </w:r>
      <w:r w:rsidRPr="00BD7689">
        <w:t>’</w:t>
      </w:r>
      <w:r w:rsidRPr="00BD7689">
        <w:t>accès à l</w:t>
      </w:r>
      <w:r w:rsidRPr="00BD7689">
        <w:t>’</w:t>
      </w:r>
      <w:r w:rsidRPr="00BD7689">
        <w:t>information, à soutenir les activités pertinentes de renforcement des capacités à tous les niveaux et à allouer les ressources nécessaires à cette fin dans toute la mesure possible ;</w:t>
      </w:r>
    </w:p>
    <w:p w14:paraId="1E386C89" w14:textId="2ED0964B" w:rsidR="000D49B7" w:rsidRPr="00BD7689" w:rsidRDefault="000D49B7" w:rsidP="000D49B7">
      <w:pPr>
        <w:pStyle w:val="SingleTxtG"/>
        <w:ind w:firstLine="567"/>
      </w:pPr>
      <w:r w:rsidRPr="00BD7689">
        <w:t>18.</w:t>
      </w:r>
      <w:r w:rsidRPr="00BD7689">
        <w:tab/>
      </w:r>
      <w:r w:rsidRPr="00BD7689">
        <w:rPr>
          <w:i/>
        </w:rPr>
        <w:t>Charge</w:t>
      </w:r>
      <w:r w:rsidRPr="00BD7689">
        <w:t xml:space="preserve"> le secrétariat, dans la limite des ressources disponibles et selon qu</w:t>
      </w:r>
      <w:r w:rsidRPr="00BD7689">
        <w:t>’</w:t>
      </w:r>
      <w:r w:rsidRPr="00BD7689">
        <w:t>il conviendra, de participer à des activités de renforcement des capacités, notamment des ateliers et des sessions de formation ou d</w:t>
      </w:r>
      <w:r w:rsidRPr="00BD7689">
        <w:t>’</w:t>
      </w:r>
      <w:r w:rsidRPr="00BD7689">
        <w:t>organiser de telles activités, de contribuer aux initiatives pertinentes menées par d</w:t>
      </w:r>
      <w:r w:rsidRPr="00BD7689">
        <w:t>’</w:t>
      </w:r>
      <w:r w:rsidRPr="00BD7689">
        <w:t>autres instances, et d</w:t>
      </w:r>
      <w:r w:rsidRPr="00BD7689">
        <w:t>’</w:t>
      </w:r>
      <w:r w:rsidRPr="00BD7689">
        <w:t>assurer la promotion d</w:t>
      </w:r>
      <w:r w:rsidRPr="00BD7689">
        <w:t>’</w:t>
      </w:r>
      <w:r w:rsidRPr="00BD7689">
        <w:t>outils d</w:t>
      </w:r>
      <w:r w:rsidRPr="00BD7689">
        <w:t>’</w:t>
      </w:r>
      <w:r w:rsidRPr="00BD7689">
        <w:t>information électroniques dans la région et au-delà en tenant à jour et en enrichissant le Centre d</w:t>
      </w:r>
      <w:r w:rsidRPr="00BD7689">
        <w:t>’</w:t>
      </w:r>
      <w:r w:rsidRPr="00BD7689">
        <w:t>échange d</w:t>
      </w:r>
      <w:r w:rsidRPr="00BD7689">
        <w:t>’</w:t>
      </w:r>
      <w:r w:rsidRPr="00BD7689">
        <w:t>informations d</w:t>
      </w:r>
      <w:r w:rsidRPr="00BD7689">
        <w:t>’</w:t>
      </w:r>
      <w:r w:rsidRPr="00BD7689">
        <w:t>Aarhus et ses bases de données en ligne (par exemple, la base de données sur la jurisprudence, les rapports nationaux de mise en œuvre et la base de données sur les bonnes pratiques) ;</w:t>
      </w:r>
    </w:p>
    <w:p w14:paraId="53DA799B" w14:textId="19A61700" w:rsidR="000D49B7" w:rsidRDefault="000D49B7" w:rsidP="000D49B7">
      <w:pPr>
        <w:pStyle w:val="SingleTxtG"/>
        <w:ind w:firstLine="567"/>
      </w:pPr>
      <w:r w:rsidRPr="00BD7689">
        <w:t>19.</w:t>
      </w:r>
      <w:r w:rsidRPr="00BD7689">
        <w:tab/>
      </w:r>
      <w:r w:rsidRPr="00BD7689">
        <w:rPr>
          <w:i/>
          <w:iCs/>
        </w:rPr>
        <w:t xml:space="preserve">Demande </w:t>
      </w:r>
      <w:r w:rsidRPr="00BD7689">
        <w:t>au Groupe de travail des Parties de consacrer une séance thématique à la promotion de l</w:t>
      </w:r>
      <w:r w:rsidRPr="00BD7689">
        <w:t>’</w:t>
      </w:r>
      <w:r w:rsidRPr="00BD7689">
        <w:t>accès effectif du public à l</w:t>
      </w:r>
      <w:r w:rsidRPr="00BD7689">
        <w:t>’</w:t>
      </w:r>
      <w:r w:rsidRPr="00BD7689">
        <w:t>information sur l</w:t>
      </w:r>
      <w:r w:rsidRPr="00BD7689">
        <w:t>’</w:t>
      </w:r>
      <w:r w:rsidRPr="00BD7689">
        <w:t>environnement au cours d</w:t>
      </w:r>
      <w:r w:rsidRPr="00BD7689">
        <w:t>’</w:t>
      </w:r>
      <w:r w:rsidRPr="00BD7689">
        <w:t>une des réunions qu</w:t>
      </w:r>
      <w:r w:rsidRPr="00BD7689">
        <w:t>’</w:t>
      </w:r>
      <w:r w:rsidRPr="00BD7689">
        <w:t>il tiendra au cours de la prochaine période intersessions, afin de donner aux Parties, aux signataires et à d</w:t>
      </w:r>
      <w:r w:rsidRPr="00BD7689">
        <w:t>’</w:t>
      </w:r>
      <w:r w:rsidRPr="00BD7689">
        <w:t>autres parties prenantes l</w:t>
      </w:r>
      <w:r w:rsidRPr="00BD7689">
        <w:t>’</w:t>
      </w:r>
      <w:r w:rsidRPr="00BD7689">
        <w:t>occasion d</w:t>
      </w:r>
      <w:r w:rsidRPr="00BD7689">
        <w:t>’</w:t>
      </w:r>
      <w:r w:rsidRPr="00BD7689">
        <w:t>échanger des données d</w:t>
      </w:r>
      <w:r w:rsidRPr="00BD7689">
        <w:t>’</w:t>
      </w:r>
      <w:r w:rsidRPr="00BD7689">
        <w:t>expérience sur les sujets qui méritent une attention particulière.</w:t>
      </w:r>
    </w:p>
    <w:p w14:paraId="55C4B3E1" w14:textId="7635A65C" w:rsidR="000D49B7" w:rsidRPr="000D49B7" w:rsidRDefault="000D49B7" w:rsidP="000D49B7">
      <w:pPr>
        <w:pStyle w:val="SingleTxtG"/>
        <w:spacing w:before="240" w:after="0"/>
        <w:jc w:val="center"/>
        <w:rPr>
          <w:u w:val="single"/>
        </w:rPr>
      </w:pPr>
      <w:r>
        <w:rPr>
          <w:u w:val="single"/>
        </w:rPr>
        <w:tab/>
      </w:r>
      <w:r>
        <w:rPr>
          <w:u w:val="single"/>
        </w:rPr>
        <w:tab/>
      </w:r>
      <w:r>
        <w:rPr>
          <w:u w:val="single"/>
        </w:rPr>
        <w:tab/>
      </w:r>
    </w:p>
    <w:sectPr w:rsidR="000D49B7" w:rsidRPr="000D49B7" w:rsidSect="000D49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B2254" w14:textId="77777777" w:rsidR="00764493" w:rsidRDefault="00764493" w:rsidP="00F95C08">
      <w:pPr>
        <w:spacing w:line="240" w:lineRule="auto"/>
      </w:pPr>
    </w:p>
  </w:endnote>
  <w:endnote w:type="continuationSeparator" w:id="0">
    <w:p w14:paraId="7846E03F" w14:textId="77777777" w:rsidR="00764493" w:rsidRPr="00AC3823" w:rsidRDefault="00764493" w:rsidP="00AC3823">
      <w:pPr>
        <w:pStyle w:val="Pieddepage"/>
      </w:pPr>
    </w:p>
  </w:endnote>
  <w:endnote w:type="continuationNotice" w:id="1">
    <w:p w14:paraId="277105B9" w14:textId="77777777" w:rsidR="00764493" w:rsidRDefault="007644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5E6A" w14:textId="2DC062D0" w:rsidR="000D49B7" w:rsidRPr="000D49B7" w:rsidRDefault="000D49B7" w:rsidP="000D49B7">
    <w:pPr>
      <w:pStyle w:val="Pieddepage"/>
      <w:tabs>
        <w:tab w:val="right" w:pos="9638"/>
      </w:tabs>
    </w:pPr>
    <w:r w:rsidRPr="000D49B7">
      <w:rPr>
        <w:b/>
        <w:sz w:val="18"/>
      </w:rPr>
      <w:fldChar w:fldCharType="begin"/>
    </w:r>
    <w:r w:rsidRPr="000D49B7">
      <w:rPr>
        <w:b/>
        <w:sz w:val="18"/>
      </w:rPr>
      <w:instrText xml:space="preserve"> PAGE  \* MERGEFORMAT </w:instrText>
    </w:r>
    <w:r w:rsidRPr="000D49B7">
      <w:rPr>
        <w:b/>
        <w:sz w:val="18"/>
      </w:rPr>
      <w:fldChar w:fldCharType="separate"/>
    </w:r>
    <w:r w:rsidRPr="000D49B7">
      <w:rPr>
        <w:b/>
        <w:noProof/>
        <w:sz w:val="18"/>
      </w:rPr>
      <w:t>2</w:t>
    </w:r>
    <w:r w:rsidRPr="000D49B7">
      <w:rPr>
        <w:b/>
        <w:sz w:val="18"/>
      </w:rPr>
      <w:fldChar w:fldCharType="end"/>
    </w:r>
    <w:r>
      <w:rPr>
        <w:b/>
        <w:sz w:val="18"/>
      </w:rPr>
      <w:tab/>
    </w:r>
    <w:r>
      <w:t>GE.21-10068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00B4" w14:textId="27B07747" w:rsidR="000D49B7" w:rsidRPr="000D49B7" w:rsidRDefault="000D49B7" w:rsidP="000D49B7">
    <w:pPr>
      <w:pStyle w:val="Pieddepage"/>
      <w:tabs>
        <w:tab w:val="right" w:pos="9638"/>
      </w:tabs>
      <w:rPr>
        <w:b/>
        <w:sz w:val="18"/>
      </w:rPr>
    </w:pPr>
    <w:r>
      <w:t>GE.21-10068</w:t>
    </w:r>
    <w:r>
      <w:tab/>
    </w:r>
    <w:r w:rsidRPr="000D49B7">
      <w:rPr>
        <w:b/>
        <w:sz w:val="18"/>
      </w:rPr>
      <w:fldChar w:fldCharType="begin"/>
    </w:r>
    <w:r w:rsidRPr="000D49B7">
      <w:rPr>
        <w:b/>
        <w:sz w:val="18"/>
      </w:rPr>
      <w:instrText xml:space="preserve"> PAGE  \* MERGEFORMAT </w:instrText>
    </w:r>
    <w:r w:rsidRPr="000D49B7">
      <w:rPr>
        <w:b/>
        <w:sz w:val="18"/>
      </w:rPr>
      <w:fldChar w:fldCharType="separate"/>
    </w:r>
    <w:r w:rsidRPr="000D49B7">
      <w:rPr>
        <w:b/>
        <w:noProof/>
        <w:sz w:val="18"/>
      </w:rPr>
      <w:t>3</w:t>
    </w:r>
    <w:r w:rsidRPr="000D49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F0F1" w14:textId="4793361B" w:rsidR="00A14420" w:rsidRPr="000D49B7" w:rsidRDefault="000D49B7" w:rsidP="000D49B7">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6042BF4E" wp14:editId="5A0EC41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21-10068  (F)</w:t>
    </w:r>
    <w:r>
      <w:rPr>
        <w:noProof/>
        <w:sz w:val="20"/>
      </w:rPr>
      <w:drawing>
        <wp:anchor distT="0" distB="0" distL="114300" distR="114300" simplePos="0" relativeHeight="251660288" behindDoc="0" locked="0" layoutInCell="1" allowOverlap="1" wp14:anchorId="75B05B51" wp14:editId="0424D69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w:t>
    </w:r>
    <w:r w:rsidR="00695D40">
      <w:rPr>
        <w:sz w:val="20"/>
      </w:rPr>
      <w:t>7</w:t>
    </w:r>
    <w:r>
      <w:rPr>
        <w:sz w:val="20"/>
      </w:rPr>
      <w:t>0821    180821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682D1" w14:textId="77777777" w:rsidR="00764493" w:rsidRPr="00AC3823" w:rsidRDefault="00764493" w:rsidP="00AC3823">
      <w:pPr>
        <w:pStyle w:val="Pieddepage"/>
        <w:tabs>
          <w:tab w:val="right" w:pos="2155"/>
        </w:tabs>
        <w:spacing w:after="80" w:line="240" w:lineRule="atLeast"/>
        <w:ind w:left="680"/>
        <w:rPr>
          <w:u w:val="single"/>
        </w:rPr>
      </w:pPr>
      <w:r>
        <w:rPr>
          <w:u w:val="single"/>
        </w:rPr>
        <w:tab/>
      </w:r>
    </w:p>
  </w:footnote>
  <w:footnote w:type="continuationSeparator" w:id="0">
    <w:p w14:paraId="76079533" w14:textId="77777777" w:rsidR="00764493" w:rsidRPr="00AC3823" w:rsidRDefault="00764493" w:rsidP="00AC3823">
      <w:pPr>
        <w:pStyle w:val="Pieddepage"/>
        <w:tabs>
          <w:tab w:val="right" w:pos="2155"/>
        </w:tabs>
        <w:spacing w:after="80" w:line="240" w:lineRule="atLeast"/>
        <w:ind w:left="680"/>
        <w:rPr>
          <w:u w:val="single"/>
        </w:rPr>
      </w:pPr>
      <w:r>
        <w:rPr>
          <w:u w:val="single"/>
        </w:rPr>
        <w:tab/>
      </w:r>
    </w:p>
  </w:footnote>
  <w:footnote w:type="continuationNotice" w:id="1">
    <w:p w14:paraId="6EDC0C5F" w14:textId="77777777" w:rsidR="00764493" w:rsidRPr="00AC3823" w:rsidRDefault="00764493">
      <w:pPr>
        <w:spacing w:line="240" w:lineRule="auto"/>
        <w:rPr>
          <w:sz w:val="2"/>
          <w:szCs w:val="2"/>
        </w:rPr>
      </w:pPr>
    </w:p>
  </w:footnote>
  <w:footnote w:id="2">
    <w:p w14:paraId="5FCA65D1" w14:textId="77777777" w:rsidR="000D49B7" w:rsidRPr="008E7297" w:rsidRDefault="000D49B7" w:rsidP="000D49B7">
      <w:pPr>
        <w:pStyle w:val="Notedebasdepage"/>
      </w:pPr>
      <w:r>
        <w:tab/>
      </w:r>
      <w:r>
        <w:rPr>
          <w:rStyle w:val="Appelnotedebasdep"/>
        </w:rPr>
        <w:footnoteRef/>
      </w:r>
      <w:r w:rsidRPr="008E7297">
        <w:tab/>
        <w:t>Voir ECE/MP.PP/2/Add.7.</w:t>
      </w:r>
    </w:p>
  </w:footnote>
  <w:footnote w:id="3">
    <w:p w14:paraId="72B0F749" w14:textId="77777777" w:rsidR="000D49B7" w:rsidRPr="008E7297" w:rsidRDefault="000D49B7" w:rsidP="000D49B7">
      <w:pPr>
        <w:pStyle w:val="Notedebasdepage"/>
      </w:pPr>
      <w:r w:rsidRPr="008E7297">
        <w:tab/>
      </w:r>
      <w:r>
        <w:rPr>
          <w:rStyle w:val="Appelnotedebasdep"/>
        </w:rPr>
        <w:footnoteRef/>
      </w:r>
      <w:r w:rsidRPr="008E7297">
        <w:tab/>
        <w:t>Voir ECE/MP.PP/2005/2/Add.4.</w:t>
      </w:r>
    </w:p>
  </w:footnote>
  <w:footnote w:id="4">
    <w:p w14:paraId="0A0BAF19" w14:textId="77777777" w:rsidR="000D49B7" w:rsidRPr="008E7297" w:rsidRDefault="000D49B7" w:rsidP="000D49B7">
      <w:pPr>
        <w:pStyle w:val="Notedebasdepage"/>
      </w:pPr>
      <w:r w:rsidRPr="008E7297">
        <w:tab/>
      </w:r>
      <w:r>
        <w:rPr>
          <w:rStyle w:val="Appelnotedebasdep"/>
        </w:rPr>
        <w:footnoteRef/>
      </w:r>
      <w:r w:rsidRPr="008E7297">
        <w:tab/>
        <w:t>Voir ECE/MP.PP/2008/2/Add.4.</w:t>
      </w:r>
    </w:p>
  </w:footnote>
  <w:footnote w:id="5">
    <w:p w14:paraId="7D49040E" w14:textId="77777777" w:rsidR="000D49B7" w:rsidRPr="008E7297" w:rsidRDefault="000D49B7" w:rsidP="000D49B7">
      <w:pPr>
        <w:pStyle w:val="Notedebasdepage"/>
      </w:pPr>
      <w:r w:rsidRPr="008E7297">
        <w:tab/>
      </w:r>
      <w:r>
        <w:rPr>
          <w:rStyle w:val="Appelnotedebasdep"/>
        </w:rPr>
        <w:footnoteRef/>
      </w:r>
      <w:r w:rsidRPr="008E7297">
        <w:tab/>
        <w:t>Voir ECE/MP.PP/2011/2/Add.1.</w:t>
      </w:r>
    </w:p>
  </w:footnote>
  <w:footnote w:id="6">
    <w:p w14:paraId="752D9334" w14:textId="77777777" w:rsidR="000D49B7" w:rsidRPr="008E7297" w:rsidRDefault="000D49B7" w:rsidP="000D49B7">
      <w:pPr>
        <w:pStyle w:val="Notedebasdepage"/>
      </w:pPr>
      <w:r w:rsidRPr="008E7297">
        <w:tab/>
      </w:r>
      <w:r>
        <w:rPr>
          <w:rStyle w:val="Appelnotedebasdep"/>
        </w:rPr>
        <w:footnoteRef/>
      </w:r>
      <w:r w:rsidRPr="008E7297">
        <w:tab/>
        <w:t>Voir ECE/MP.PP/2014/2/Add.1.</w:t>
      </w:r>
    </w:p>
  </w:footnote>
  <w:footnote w:id="7">
    <w:p w14:paraId="7075377C" w14:textId="77777777" w:rsidR="000D49B7" w:rsidRPr="008E7297" w:rsidRDefault="000D49B7" w:rsidP="000D49B7">
      <w:pPr>
        <w:pStyle w:val="Notedebasdepage"/>
      </w:pPr>
      <w:r w:rsidRPr="008E7297">
        <w:tab/>
      </w:r>
      <w:r>
        <w:rPr>
          <w:rStyle w:val="Appelnotedebasdep"/>
        </w:rPr>
        <w:footnoteRef/>
      </w:r>
      <w:r w:rsidRPr="008E7297">
        <w:tab/>
        <w:t>Voir ECE/MP.PP/2017/2/Add.1.</w:t>
      </w:r>
    </w:p>
  </w:footnote>
  <w:footnote w:id="8">
    <w:p w14:paraId="5BDE8B27" w14:textId="77777777" w:rsidR="000D49B7" w:rsidRPr="009640F4" w:rsidRDefault="000D49B7" w:rsidP="000D49B7">
      <w:pPr>
        <w:pStyle w:val="Notedebasdepage"/>
      </w:pPr>
      <w:r w:rsidRPr="008E7297">
        <w:tab/>
      </w:r>
      <w:r>
        <w:rPr>
          <w:rStyle w:val="Appelnotedebasdep"/>
        </w:rPr>
        <w:footnoteRef/>
      </w:r>
      <w:r>
        <w:tab/>
        <w:t>À venir</w:t>
      </w:r>
      <w:r w:rsidRPr="00A128BC">
        <w:t>.</w:t>
      </w:r>
    </w:p>
  </w:footnote>
  <w:footnote w:id="9">
    <w:p w14:paraId="038D41CC" w14:textId="77777777" w:rsidR="000D49B7" w:rsidRPr="009640F4" w:rsidRDefault="000D49B7" w:rsidP="000D49B7">
      <w:pPr>
        <w:pStyle w:val="Notedebasdepage"/>
      </w:pPr>
      <w:r>
        <w:tab/>
      </w:r>
      <w:r>
        <w:rPr>
          <w:rStyle w:val="Appelnotedebasdep"/>
        </w:rPr>
        <w:footnoteRef/>
      </w:r>
      <w:r>
        <w:tab/>
        <w:t>À venir</w:t>
      </w:r>
      <w:r w:rsidRPr="00A128BC">
        <w:t>.</w:t>
      </w:r>
    </w:p>
  </w:footnote>
  <w:footnote w:id="10">
    <w:p w14:paraId="5D21CE6E" w14:textId="77777777" w:rsidR="000D49B7" w:rsidRPr="00D248E0" w:rsidRDefault="000D49B7" w:rsidP="000D49B7">
      <w:pPr>
        <w:pStyle w:val="Notedebasdepage"/>
      </w:pPr>
      <w:r w:rsidRPr="00097DE8">
        <w:tab/>
      </w:r>
      <w:r w:rsidRPr="00097DE8">
        <w:rPr>
          <w:rStyle w:val="Appelnotedebasdep"/>
        </w:rPr>
        <w:footnoteRef/>
      </w:r>
      <w:r w:rsidRPr="00D248E0">
        <w:t xml:space="preserve"> </w:t>
      </w:r>
      <w:r w:rsidRPr="00D248E0">
        <w:tab/>
        <w:t xml:space="preserve">ECE/MP.PP/WG.1/2018/2, ECE/MP.PP/WG.1/2020/3 </w:t>
      </w:r>
      <w:r w:rsidRPr="00CE5031">
        <w:t>et</w:t>
      </w:r>
      <w:r w:rsidRPr="00D248E0">
        <w:t xml:space="preserve"> ECE/MP.PP/WG.1/2021/3.</w:t>
      </w:r>
    </w:p>
  </w:footnote>
  <w:footnote w:id="11">
    <w:p w14:paraId="74F928F3" w14:textId="77777777" w:rsidR="000D49B7" w:rsidRPr="002C560F" w:rsidRDefault="000D49B7" w:rsidP="000D49B7">
      <w:pPr>
        <w:pStyle w:val="Notedebasdepage"/>
      </w:pPr>
      <w:r w:rsidRPr="00D248E0">
        <w:tab/>
      </w:r>
      <w:r w:rsidRPr="002C560F">
        <w:rPr>
          <w:rStyle w:val="Appelnotedebasdep"/>
        </w:rPr>
        <w:footnoteRef/>
      </w:r>
      <w:r w:rsidRPr="002C560F">
        <w:tab/>
        <w:t>Les initiatives relatives à l’administration en ligne comprennent les activités des autorités publiques visant à déployer les technologies de l’information et de la communication pour accroître les connaissances et le niveau d’information du public.</w:t>
      </w:r>
    </w:p>
  </w:footnote>
  <w:footnote w:id="12">
    <w:p w14:paraId="15A4EE10" w14:textId="77777777" w:rsidR="000D49B7" w:rsidRPr="00097DE8" w:rsidRDefault="000D49B7" w:rsidP="000D49B7">
      <w:pPr>
        <w:pStyle w:val="Notedebasdepage"/>
      </w:pPr>
      <w:r w:rsidRPr="002C560F">
        <w:tab/>
      </w:r>
      <w:r w:rsidRPr="002C560F">
        <w:rPr>
          <w:rStyle w:val="Appelnotedebasdep"/>
        </w:rPr>
        <w:footnoteRef/>
      </w:r>
      <w:r w:rsidRPr="002C560F">
        <w:tab/>
        <w:t>Les initiatives relatives aux données publiques en libre accès comprennent les activités dont l’objectif est de permettre à chacun de consulter, de réutiliser et de transmettre les informations ou les données émises ou commandées par les gouvernements, sans aucune restriction.</w:t>
      </w:r>
    </w:p>
  </w:footnote>
  <w:footnote w:id="13">
    <w:p w14:paraId="734D91FC" w14:textId="77777777" w:rsidR="000D49B7" w:rsidRPr="00097DE8" w:rsidRDefault="000D49B7" w:rsidP="000D49B7">
      <w:pPr>
        <w:pStyle w:val="Notedebasdepage"/>
      </w:pPr>
      <w:r w:rsidRPr="00097DE8">
        <w:tab/>
      </w:r>
      <w:r w:rsidRPr="00097DE8">
        <w:rPr>
          <w:rStyle w:val="Appelnotedebasdep"/>
        </w:rPr>
        <w:footnoteRef/>
      </w:r>
      <w:r w:rsidRPr="00097DE8">
        <w:tab/>
        <w:t xml:space="preserve">Un partenariat public-privé consiste en une collaboration entre le secteur public et le secteur privé </w:t>
      </w:r>
      <w:r>
        <w:t>visant à</w:t>
      </w:r>
      <w:r w:rsidRPr="00097DE8">
        <w:t xml:space="preserve"> financer, élaborer, mettre en œuvre et gérer les infrastructures et les services du secteur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7717" w14:textId="09880721" w:rsidR="000D49B7" w:rsidRPr="000D49B7" w:rsidRDefault="000D49B7">
    <w:pPr>
      <w:pStyle w:val="En-tte"/>
    </w:pPr>
    <w:fldSimple w:instr=" TITLE  \* MERGEFORMAT ">
      <w:r w:rsidR="006B1D78">
        <w:t>ECE/MP.PP/2021/8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A406" w14:textId="3270E638" w:rsidR="000D49B7" w:rsidRPr="000D49B7" w:rsidRDefault="000D49B7" w:rsidP="000D49B7">
    <w:pPr>
      <w:pStyle w:val="En-tte"/>
      <w:jc w:val="right"/>
    </w:pPr>
    <w:fldSimple w:instr=" TITLE  \* MERGEFORMAT ">
      <w:r w:rsidR="006B1D78">
        <w:t>ECE/MP.PP/2021/8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93"/>
    <w:rsid w:val="00017F94"/>
    <w:rsid w:val="00023842"/>
    <w:rsid w:val="00031189"/>
    <w:rsid w:val="000334F9"/>
    <w:rsid w:val="0007796D"/>
    <w:rsid w:val="000B7790"/>
    <w:rsid w:val="000D49B7"/>
    <w:rsid w:val="00111F2F"/>
    <w:rsid w:val="0014365E"/>
    <w:rsid w:val="00176178"/>
    <w:rsid w:val="001F525A"/>
    <w:rsid w:val="00223272"/>
    <w:rsid w:val="0024779E"/>
    <w:rsid w:val="002832AC"/>
    <w:rsid w:val="002B40F9"/>
    <w:rsid w:val="002C2C2E"/>
    <w:rsid w:val="002D7C93"/>
    <w:rsid w:val="00441C3B"/>
    <w:rsid w:val="00446FE5"/>
    <w:rsid w:val="00452396"/>
    <w:rsid w:val="004E468C"/>
    <w:rsid w:val="005505B7"/>
    <w:rsid w:val="00573BE5"/>
    <w:rsid w:val="00586ED3"/>
    <w:rsid w:val="00596AA9"/>
    <w:rsid w:val="00596C5C"/>
    <w:rsid w:val="005D6D16"/>
    <w:rsid w:val="005F26E5"/>
    <w:rsid w:val="00695D40"/>
    <w:rsid w:val="006B1D78"/>
    <w:rsid w:val="006C0E3B"/>
    <w:rsid w:val="0071601D"/>
    <w:rsid w:val="00764493"/>
    <w:rsid w:val="007A5FC4"/>
    <w:rsid w:val="007A62E6"/>
    <w:rsid w:val="0080684C"/>
    <w:rsid w:val="00871C75"/>
    <w:rsid w:val="008776DC"/>
    <w:rsid w:val="008D6B3F"/>
    <w:rsid w:val="0090540F"/>
    <w:rsid w:val="009705C8"/>
    <w:rsid w:val="009C1CF4"/>
    <w:rsid w:val="00A14420"/>
    <w:rsid w:val="00A30353"/>
    <w:rsid w:val="00AC3823"/>
    <w:rsid w:val="00AE323C"/>
    <w:rsid w:val="00B00181"/>
    <w:rsid w:val="00B00B0D"/>
    <w:rsid w:val="00B61815"/>
    <w:rsid w:val="00B765F7"/>
    <w:rsid w:val="00BA0CA9"/>
    <w:rsid w:val="00BD7689"/>
    <w:rsid w:val="00C02897"/>
    <w:rsid w:val="00C15AFE"/>
    <w:rsid w:val="00C554CE"/>
    <w:rsid w:val="00C956FE"/>
    <w:rsid w:val="00CE26D2"/>
    <w:rsid w:val="00D3439C"/>
    <w:rsid w:val="00D503D3"/>
    <w:rsid w:val="00DB1831"/>
    <w:rsid w:val="00DD3BFD"/>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4EA5EB"/>
  <w15:docId w15:val="{5532327D-161E-46B8-9221-D0E00CA3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fn,footnote text,Footnotes,Footnote ak,Tekst przypisu,Fußnote"/>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Tekst przypisu Car,Fußnote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qFormat/>
    <w:rsid w:val="000D49B7"/>
    <w:rPr>
      <w:rFonts w:ascii="Times New Roman" w:eastAsiaTheme="minorHAnsi" w:hAnsi="Times New Roman" w:cs="Times New Roman"/>
      <w:sz w:val="20"/>
      <w:szCs w:val="20"/>
      <w:lang w:eastAsia="en-US"/>
    </w:rPr>
  </w:style>
  <w:style w:type="character" w:customStyle="1" w:styleId="search-highlight">
    <w:name w:val="search-highlight"/>
    <w:basedOn w:val="Policepardfaut"/>
    <w:rsid w:val="000D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42C448BF-CF9A-4E22-AA75-61638CCB1932}"/>
</file>

<file path=customXml/itemProps2.xml><?xml version="1.0" encoding="utf-8"?>
<ds:datastoreItem xmlns:ds="http://schemas.openxmlformats.org/officeDocument/2006/customXml" ds:itemID="{7B3DCB03-4AC9-4E90-8A46-66FF6A7A0DD6}"/>
</file>

<file path=customXml/itemProps3.xml><?xml version="1.0" encoding="utf-8"?>
<ds:datastoreItem xmlns:ds="http://schemas.openxmlformats.org/officeDocument/2006/customXml" ds:itemID="{7D423736-4882-4AA2-BE54-5E5BE82CEA7C}"/>
</file>

<file path=docProps/app.xml><?xml version="1.0" encoding="utf-8"?>
<Properties xmlns="http://schemas.openxmlformats.org/officeDocument/2006/extended-properties" xmlns:vt="http://schemas.openxmlformats.org/officeDocument/2006/docPropsVTypes">
  <Template>ECE_MP.dotm</Template>
  <TotalTime>1</TotalTime>
  <Pages>6</Pages>
  <Words>2191</Words>
  <Characters>15121</Characters>
  <Application>Microsoft Office Word</Application>
  <DocSecurity>0</DocSecurity>
  <Lines>1680</Lines>
  <Paragraphs>721</Paragraphs>
  <ScaleCrop>false</ScaleCrop>
  <HeadingPairs>
    <vt:vector size="2" baseType="variant">
      <vt:variant>
        <vt:lpstr>Titre</vt:lpstr>
      </vt:variant>
      <vt:variant>
        <vt:i4>1</vt:i4>
      </vt:variant>
    </vt:vector>
  </HeadingPairs>
  <TitlesOfParts>
    <vt:vector size="1" baseType="lpstr">
      <vt:lpstr>ECE/MP.PP/2021/8</vt:lpstr>
    </vt:vector>
  </TitlesOfParts>
  <Company>DCM</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ECE/MP.PP/2021/8</dc:title>
  <dc:subject/>
  <dc:creator>Julien OKRZESIK</dc:creator>
  <cp:keywords/>
  <cp:lastModifiedBy>Julien Okrzesik</cp:lastModifiedBy>
  <cp:revision>3</cp:revision>
  <cp:lastPrinted>2021-08-18T13:21:00Z</cp:lastPrinted>
  <dcterms:created xsi:type="dcterms:W3CDTF">2021-08-18T13:21:00Z</dcterms:created>
  <dcterms:modified xsi:type="dcterms:W3CDTF">2021-08-18T13:22:00Z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