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RPr="00F401D2" w14:paraId="0F90D7B7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E7C29FA" w14:textId="77777777" w:rsidR="002D5AAC" w:rsidRDefault="002D5AAC" w:rsidP="00272C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1C631FA2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21C14C17" w14:textId="4AA90740" w:rsidR="00272C98" w:rsidRPr="00272C98" w:rsidRDefault="00272C98" w:rsidP="00272C98">
            <w:pPr>
              <w:jc w:val="right"/>
              <w:rPr>
                <w:lang w:val="en-US"/>
              </w:rPr>
            </w:pPr>
            <w:r w:rsidRPr="00272C98">
              <w:rPr>
                <w:sz w:val="40"/>
                <w:lang w:val="en-US"/>
              </w:rPr>
              <w:t>ECE</w:t>
            </w:r>
            <w:r w:rsidRPr="00272C98">
              <w:rPr>
                <w:lang w:val="en-US"/>
              </w:rPr>
              <w:t>/</w:t>
            </w:r>
            <w:proofErr w:type="gramStart"/>
            <w:r w:rsidRPr="00272C98">
              <w:rPr>
                <w:lang w:val="en-US"/>
              </w:rPr>
              <w:t>MP.PP</w:t>
            </w:r>
            <w:proofErr w:type="gramEnd"/>
            <w:r w:rsidRPr="00272C98">
              <w:rPr>
                <w:lang w:val="en-US"/>
              </w:rPr>
              <w:t>/2021/17</w:t>
            </w:r>
            <w:r w:rsidRPr="00272C98">
              <w:rPr>
                <w:rFonts w:cs="Times New Roman"/>
                <w:lang w:val="en-US"/>
              </w:rPr>
              <w:t>−</w:t>
            </w:r>
            <w:r w:rsidRPr="00272C98">
              <w:rPr>
                <w:sz w:val="40"/>
                <w:lang w:val="en-US"/>
              </w:rPr>
              <w:t>ECE</w:t>
            </w:r>
            <w:r w:rsidRPr="00272C98">
              <w:rPr>
                <w:lang w:val="en-US"/>
              </w:rPr>
              <w:t>/MP.PRTR/2021/3</w:t>
            </w:r>
          </w:p>
        </w:tc>
      </w:tr>
      <w:tr w:rsidR="002D5AAC" w:rsidRPr="00F401D2" w14:paraId="4014E857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2B0344A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2020C7F" wp14:editId="53A66038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CD2C62F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18BA90B3" w14:textId="77777777" w:rsidR="002D5AAC" w:rsidRDefault="00272C98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52ED2F5C" w14:textId="2B9F7AF2" w:rsidR="00272C98" w:rsidRDefault="00272C98" w:rsidP="00272C9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E67BD9">
              <w:rPr>
                <w:lang w:val="en-US"/>
              </w:rPr>
              <w:t>6</w:t>
            </w:r>
            <w:r>
              <w:rPr>
                <w:lang w:val="en-US"/>
              </w:rPr>
              <w:t xml:space="preserve"> July 2021</w:t>
            </w:r>
          </w:p>
          <w:p w14:paraId="2A378061" w14:textId="77777777" w:rsidR="00272C98" w:rsidRDefault="00272C98" w:rsidP="00272C9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D09E7F8" w14:textId="233B6E47" w:rsidR="00272C98" w:rsidRPr="008D53B6" w:rsidRDefault="00272C98" w:rsidP="00272C9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7D2223E0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4FDA95A" w14:textId="7BAD4F2D" w:rsidR="00E67BD9" w:rsidRPr="00E67BD9" w:rsidRDefault="00E67BD9" w:rsidP="00E67BD9">
      <w:pPr>
        <w:spacing w:before="120"/>
        <w:ind w:right="1133"/>
        <w:rPr>
          <w:sz w:val="28"/>
          <w:szCs w:val="28"/>
        </w:rPr>
      </w:pPr>
      <w:r w:rsidRPr="00E67BD9">
        <w:rPr>
          <w:sz w:val="28"/>
          <w:szCs w:val="28"/>
        </w:rPr>
        <w:t xml:space="preserve">Совещание Сторон Конвенции о доступе </w:t>
      </w:r>
      <w:r>
        <w:rPr>
          <w:sz w:val="28"/>
          <w:szCs w:val="28"/>
        </w:rPr>
        <w:br/>
      </w:r>
      <w:r w:rsidRPr="00E67BD9">
        <w:rPr>
          <w:sz w:val="28"/>
          <w:szCs w:val="28"/>
        </w:rPr>
        <w:t xml:space="preserve">к информации, участии общественности </w:t>
      </w:r>
      <w:r>
        <w:rPr>
          <w:sz w:val="28"/>
          <w:szCs w:val="28"/>
        </w:rPr>
        <w:br/>
      </w:r>
      <w:r w:rsidRPr="00E67BD9">
        <w:rPr>
          <w:sz w:val="28"/>
          <w:szCs w:val="28"/>
        </w:rPr>
        <w:t xml:space="preserve">в процессе принятия решений и доступе </w:t>
      </w:r>
      <w:r>
        <w:rPr>
          <w:sz w:val="28"/>
          <w:szCs w:val="28"/>
        </w:rPr>
        <w:br/>
      </w:r>
      <w:r w:rsidRPr="00E67BD9">
        <w:rPr>
          <w:sz w:val="28"/>
          <w:szCs w:val="28"/>
        </w:rPr>
        <w:t xml:space="preserve">к правосудию по вопросам, </w:t>
      </w:r>
      <w:r>
        <w:rPr>
          <w:sz w:val="28"/>
          <w:szCs w:val="28"/>
        </w:rPr>
        <w:br/>
      </w:r>
      <w:r w:rsidRPr="00E67BD9">
        <w:rPr>
          <w:sz w:val="28"/>
          <w:szCs w:val="28"/>
        </w:rPr>
        <w:t>касающимся окружающей среды</w:t>
      </w:r>
    </w:p>
    <w:p w14:paraId="2256D6BC" w14:textId="77777777" w:rsidR="00E67BD9" w:rsidRPr="00116A02" w:rsidRDefault="00E67BD9" w:rsidP="00E67BD9">
      <w:pPr>
        <w:spacing w:before="120"/>
        <w:ind w:right="1133"/>
        <w:rPr>
          <w:b/>
        </w:rPr>
      </w:pPr>
      <w:r>
        <w:rPr>
          <w:b/>
          <w:bCs/>
        </w:rPr>
        <w:t>Седьмая сессия</w:t>
      </w:r>
    </w:p>
    <w:p w14:paraId="7878B97E" w14:textId="77777777" w:rsidR="00E67BD9" w:rsidRPr="00E67BD9" w:rsidRDefault="00E67BD9" w:rsidP="00E67BD9">
      <w:pPr>
        <w:spacing w:before="120"/>
        <w:rPr>
          <w:b/>
          <w:sz w:val="28"/>
          <w:szCs w:val="28"/>
        </w:rPr>
      </w:pPr>
      <w:r w:rsidRPr="00E67BD9">
        <w:rPr>
          <w:b/>
          <w:sz w:val="28"/>
          <w:szCs w:val="28"/>
        </w:rPr>
        <w:t>Европейская экономическая комиссия</w:t>
      </w:r>
    </w:p>
    <w:p w14:paraId="4A7116C0" w14:textId="7B3E7F2F" w:rsidR="00E67BD9" w:rsidRPr="00116A02" w:rsidRDefault="00E67BD9" w:rsidP="00E67BD9">
      <w:pPr>
        <w:spacing w:before="120"/>
        <w:ind w:right="1133"/>
        <w:rPr>
          <w:sz w:val="28"/>
          <w:szCs w:val="28"/>
        </w:rPr>
      </w:pPr>
      <w:r w:rsidRPr="00E67BD9">
        <w:rPr>
          <w:sz w:val="28"/>
          <w:szCs w:val="28"/>
        </w:rPr>
        <w:t xml:space="preserve">Совещание Сторон Протокола о регистрах </w:t>
      </w:r>
      <w:r>
        <w:rPr>
          <w:sz w:val="28"/>
          <w:szCs w:val="28"/>
        </w:rPr>
        <w:br/>
      </w:r>
      <w:r w:rsidRPr="00E67BD9">
        <w:rPr>
          <w:sz w:val="28"/>
          <w:szCs w:val="28"/>
        </w:rPr>
        <w:t xml:space="preserve">выбросов и переноса загрязнителей </w:t>
      </w:r>
      <w:r>
        <w:rPr>
          <w:sz w:val="28"/>
          <w:szCs w:val="28"/>
        </w:rPr>
        <w:br/>
      </w:r>
      <w:r w:rsidRPr="00E67BD9">
        <w:rPr>
          <w:sz w:val="28"/>
          <w:szCs w:val="28"/>
        </w:rPr>
        <w:t xml:space="preserve">к Конвенции о доступе к информации, </w:t>
      </w:r>
      <w:r>
        <w:rPr>
          <w:sz w:val="28"/>
          <w:szCs w:val="28"/>
        </w:rPr>
        <w:br/>
      </w:r>
      <w:r w:rsidRPr="00E67BD9">
        <w:rPr>
          <w:sz w:val="28"/>
          <w:szCs w:val="28"/>
        </w:rPr>
        <w:t xml:space="preserve">участии общественности в процессе </w:t>
      </w:r>
      <w:r>
        <w:rPr>
          <w:sz w:val="28"/>
          <w:szCs w:val="28"/>
        </w:rPr>
        <w:br/>
      </w:r>
      <w:r w:rsidRPr="00E67BD9">
        <w:rPr>
          <w:sz w:val="28"/>
          <w:szCs w:val="28"/>
        </w:rPr>
        <w:t xml:space="preserve">принятия решений и доступе к правосудию </w:t>
      </w:r>
      <w:r>
        <w:rPr>
          <w:sz w:val="28"/>
          <w:szCs w:val="28"/>
        </w:rPr>
        <w:br/>
      </w:r>
      <w:r w:rsidRPr="00E67BD9">
        <w:rPr>
          <w:sz w:val="28"/>
          <w:szCs w:val="28"/>
        </w:rPr>
        <w:t>по вопросам, касающимся окружающей среды</w:t>
      </w:r>
    </w:p>
    <w:p w14:paraId="6F82A6E1" w14:textId="77777777" w:rsidR="00E67BD9" w:rsidRPr="00116A02" w:rsidRDefault="00E67BD9" w:rsidP="00E67BD9">
      <w:pPr>
        <w:spacing w:before="120"/>
        <w:ind w:right="1133"/>
        <w:rPr>
          <w:b/>
        </w:rPr>
      </w:pPr>
      <w:r>
        <w:rPr>
          <w:b/>
          <w:bCs/>
        </w:rPr>
        <w:t>Четвертая сессия</w:t>
      </w:r>
    </w:p>
    <w:p w14:paraId="0248EB7F" w14:textId="77777777" w:rsidR="00E67BD9" w:rsidRPr="00116A02" w:rsidRDefault="00E67BD9" w:rsidP="00E67BD9">
      <w:pPr>
        <w:spacing w:before="120"/>
        <w:rPr>
          <w:b/>
        </w:rPr>
      </w:pPr>
      <w:r>
        <w:rPr>
          <w:b/>
          <w:bCs/>
        </w:rPr>
        <w:t>Совместный сегмент высокого уровня</w:t>
      </w:r>
    </w:p>
    <w:p w14:paraId="427F0E06" w14:textId="77777777" w:rsidR="00E67BD9" w:rsidRPr="00116A02" w:rsidRDefault="00E67BD9" w:rsidP="00E67BD9">
      <w:r>
        <w:t>Женева, 21 октября 2021 года</w:t>
      </w:r>
    </w:p>
    <w:p w14:paraId="1F49E070" w14:textId="77777777" w:rsidR="00E67BD9" w:rsidRDefault="00E67BD9" w:rsidP="00E67BD9">
      <w:r>
        <w:t>Пункт 4 предварительной повестки дня:</w:t>
      </w:r>
    </w:p>
    <w:p w14:paraId="7033F483" w14:textId="155D19F4" w:rsidR="00E67BD9" w:rsidRPr="00116A02" w:rsidRDefault="00E67BD9" w:rsidP="00E67BD9">
      <w:r>
        <w:rPr>
          <w:b/>
          <w:bCs/>
        </w:rPr>
        <w:t xml:space="preserve">Женевская декларация об экологической демократии </w:t>
      </w:r>
      <w:r>
        <w:rPr>
          <w:b/>
          <w:bCs/>
        </w:rPr>
        <w:br/>
        <w:t xml:space="preserve">в интересах устойчивого, инклюзивного </w:t>
      </w:r>
      <w:r>
        <w:rPr>
          <w:b/>
          <w:bCs/>
        </w:rPr>
        <w:br/>
        <w:t>и обеспечивающего сопротивляемость развития</w:t>
      </w:r>
    </w:p>
    <w:p w14:paraId="14383EE7" w14:textId="77D5A073" w:rsidR="00E67BD9" w:rsidRPr="00116A02" w:rsidRDefault="00E67BD9" w:rsidP="00E67BD9">
      <w:pPr>
        <w:pStyle w:val="HChG"/>
      </w:pPr>
      <w:r>
        <w:tab/>
      </w:r>
      <w:r>
        <w:tab/>
      </w:r>
      <w:r>
        <w:rPr>
          <w:bCs/>
        </w:rPr>
        <w:t>Проект Женевской декларации об экологической демократии в интересах устойчивого, инклюзивного и</w:t>
      </w:r>
      <w:r>
        <w:rPr>
          <w:bCs/>
          <w:lang w:val="en-US"/>
        </w:rPr>
        <w:t> </w:t>
      </w:r>
      <w:r>
        <w:rPr>
          <w:bCs/>
        </w:rPr>
        <w:t>обеспечивающего сопротивляемость развития</w:t>
      </w:r>
      <w:bookmarkStart w:id="0" w:name="_Hlk54107911"/>
      <w:bookmarkEnd w:id="0"/>
    </w:p>
    <w:p w14:paraId="4CD1DA64" w14:textId="0DFB74BE" w:rsidR="00E67BD9" w:rsidRDefault="00E67BD9" w:rsidP="00E67BD9">
      <w:pPr>
        <w:pStyle w:val="H1G"/>
      </w:pPr>
      <w:r>
        <w:tab/>
      </w:r>
      <w:r>
        <w:tab/>
      </w:r>
      <w:r>
        <w:rPr>
          <w:bCs/>
        </w:rPr>
        <w:t>Подготовлен Президиумами Совещаний Сторон Конвенции и</w:t>
      </w:r>
      <w:r>
        <w:rPr>
          <w:bCs/>
          <w:lang w:val="en-US"/>
        </w:rPr>
        <w:t> </w:t>
      </w:r>
      <w:r>
        <w:rPr>
          <w:bCs/>
        </w:rPr>
        <w:t>Протокола к ней</w:t>
      </w:r>
      <w:r>
        <w:t xml:space="preserve"> </w:t>
      </w:r>
    </w:p>
    <w:tbl>
      <w:tblPr>
        <w:tblStyle w:val="ac"/>
        <w:tblW w:w="0" w:type="auto"/>
        <w:jc w:val="center"/>
        <w:tblLook w:val="05E0" w:firstRow="1" w:lastRow="1" w:firstColumn="1" w:lastColumn="1" w:noHBand="0" w:noVBand="1"/>
      </w:tblPr>
      <w:tblGrid>
        <w:gridCol w:w="9628"/>
      </w:tblGrid>
      <w:tr w:rsidR="00E67BD9" w:rsidRPr="00E67BD9" w14:paraId="4E3F04B8" w14:textId="77777777" w:rsidTr="00850215">
        <w:trPr>
          <w:jc w:val="center"/>
        </w:trPr>
        <w:tc>
          <w:tcPr>
            <w:tcW w:w="9637" w:type="dxa"/>
            <w:tcBorders>
              <w:bottom w:val="nil"/>
            </w:tcBorders>
          </w:tcPr>
          <w:p w14:paraId="1C71A120" w14:textId="77777777" w:rsidR="00E67BD9" w:rsidRPr="00E67BD9" w:rsidRDefault="00E67BD9" w:rsidP="00850215">
            <w:pPr>
              <w:tabs>
                <w:tab w:val="left" w:pos="255"/>
              </w:tabs>
              <w:spacing w:before="240" w:after="120"/>
              <w:rPr>
                <w:rFonts w:cs="Times New Roman"/>
                <w:sz w:val="24"/>
              </w:rPr>
            </w:pPr>
            <w:r w:rsidRPr="00E67BD9">
              <w:rPr>
                <w:rFonts w:cs="Times New Roman"/>
              </w:rPr>
              <w:tab/>
            </w:r>
            <w:r w:rsidRPr="00E67BD9">
              <w:rPr>
                <w:rFonts w:cs="Times New Roman"/>
                <w:i/>
                <w:sz w:val="24"/>
              </w:rPr>
              <w:t>Резюме</w:t>
            </w:r>
          </w:p>
        </w:tc>
      </w:tr>
      <w:tr w:rsidR="00E67BD9" w:rsidRPr="00E67BD9" w14:paraId="0D8CC51A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16EC97EB" w14:textId="7D0A6BAB" w:rsidR="00E67BD9" w:rsidRPr="00E67BD9" w:rsidRDefault="00E67BD9" w:rsidP="00D6488B">
            <w:pPr>
              <w:pStyle w:val="SingleTxtG"/>
            </w:pPr>
            <w:r>
              <w:tab/>
              <w:t>Настоящий документ содержит проект декларации для рассмотрения на совместном сегменте высокого уровня Совещаний Сторон Конвенции о доступе к информации, участии общественности в процессе принятия решений и доступе к правосудию по вопросам, касающимся окружающей среды (</w:t>
            </w:r>
            <w:proofErr w:type="spellStart"/>
            <w:r>
              <w:t>Орхусская</w:t>
            </w:r>
            <w:proofErr w:type="spellEnd"/>
            <w:r>
              <w:t xml:space="preserve"> конвенция), и</w:t>
            </w:r>
            <w:r>
              <w:rPr>
                <w:lang w:val="en-US"/>
              </w:rPr>
              <w:t> </w:t>
            </w:r>
            <w:r>
              <w:t xml:space="preserve">Протокола о регистрах выбросов и переноса загрязнителей к ней. Он был </w:t>
            </w:r>
            <w:r>
              <w:lastRenderedPageBreak/>
              <w:t>подготовлен Президиумами двух Совещаний Сторон под руководством председателей Президиумов.</w:t>
            </w:r>
          </w:p>
        </w:tc>
      </w:tr>
      <w:tr w:rsidR="00E67BD9" w:rsidRPr="00E67BD9" w14:paraId="23F18FB3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78A3188B" w14:textId="0677B9B4" w:rsidR="00E67BD9" w:rsidRPr="00E67BD9" w:rsidRDefault="00E67BD9" w:rsidP="00D6488B">
            <w:pPr>
              <w:pStyle w:val="SingleTxtG"/>
            </w:pPr>
            <w:r>
              <w:lastRenderedPageBreak/>
              <w:tab/>
              <w:t xml:space="preserve">Проект декларации представляет собой краткий и предметный документ по вопросам политики, призванный донести ключевые идеи, касающиеся роли </w:t>
            </w:r>
            <w:proofErr w:type="spellStart"/>
            <w:r>
              <w:t>Орхусской</w:t>
            </w:r>
            <w:proofErr w:type="spellEnd"/>
            <w:r>
              <w:t xml:space="preserve"> конвенции и Протокола к ней в содействии устойчивому, инклюзивному и обеспечивающему сопротивляемость развитию, а также обязательства Сторон Конвенции и Протокола в этом отношении. Ожидается, что все конкретные вопросы существа, касающиеся функционирования Конвенции и Протокола, будут решаться с помощью соответствующих решений Совещаний Сторон, а не посредством декларации.</w:t>
            </w:r>
          </w:p>
        </w:tc>
      </w:tr>
      <w:tr w:rsidR="00E67BD9" w:rsidRPr="00E67BD9" w14:paraId="686F40B6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62A4D43E" w14:textId="68D49077" w:rsidR="00E67BD9" w:rsidRPr="00E67BD9" w:rsidRDefault="00E67BD9" w:rsidP="00D6488B">
            <w:pPr>
              <w:pStyle w:val="SingleTxtG"/>
            </w:pPr>
            <w:r>
              <w:tab/>
              <w:t>Документ был предоставлен Сторонам обоих договоров и всем заинтересованным субъектам для замечаний, при этом крайний срок для получения ответов был установлен на 15 ноября 2020 года. Национальным координационным центрам Конвенции и Протокола было рекомендовано согласовать свои замечания по документу и представить их секретариату в одном сводном документе по каждой Стороне. Впоследствии этот документ был пересмотрен Президиумами с учетом полученных замечаний и представлен восьмому совещанию Рабочей группы Сторон Протокола (Женева, 16 и 18 декабря 2020 года) и представлен Сторонам и заинтересованным субъектам для второго раунда представления замечаний к 15</w:t>
            </w:r>
            <w:r>
              <w:rPr>
                <w:lang w:val="en-US"/>
              </w:rPr>
              <w:t> </w:t>
            </w:r>
            <w:r>
              <w:t>января 2021 года. Проект документа был пересмотрен Президиумами с учетом полученных замечаний и представлен для рассмотрения на двадцать пятом совещании Рабочей группы Сторон Конвенции (Женева, 3 мая и 7 и 8 июня 2021 года). Рабочая группа пересмотрела и одобрила с внесенными на совещании поправками проект декларации (AC/WGP25/CRP.10) и просила Президиум Конвенции доработать его в сотрудничестве с Президиумом Совещания Сторон Протокола и представить его на рассмотрение Сторон обоих договоров в ходе совместного сегмента высокого уровня. В соответствии с этой просьбой два Президиума завершили работу над этим документом и представили его на рассмотрение Совещания Сторон на их совместном сегменте высокого уровня.</w:t>
            </w:r>
          </w:p>
        </w:tc>
      </w:tr>
      <w:tr w:rsidR="00E67BD9" w:rsidRPr="00E67BD9" w14:paraId="53AF555C" w14:textId="77777777" w:rsidTr="00850215">
        <w:trPr>
          <w:jc w:val="center"/>
        </w:trPr>
        <w:tc>
          <w:tcPr>
            <w:tcW w:w="9637" w:type="dxa"/>
            <w:tcBorders>
              <w:top w:val="nil"/>
            </w:tcBorders>
          </w:tcPr>
          <w:p w14:paraId="0F127F6E" w14:textId="77777777" w:rsidR="00E67BD9" w:rsidRPr="00E67BD9" w:rsidRDefault="00E67BD9" w:rsidP="00850215">
            <w:pPr>
              <w:rPr>
                <w:rFonts w:cs="Times New Roman"/>
              </w:rPr>
            </w:pPr>
          </w:p>
        </w:tc>
      </w:tr>
    </w:tbl>
    <w:p w14:paraId="02BA66AF" w14:textId="4401E9E4" w:rsidR="00E67BD9" w:rsidRDefault="00E67BD9" w:rsidP="00E67BD9">
      <w:pPr>
        <w:pStyle w:val="SingleTxtG"/>
        <w:rPr>
          <w:lang w:eastAsia="ru-RU"/>
        </w:rPr>
      </w:pPr>
    </w:p>
    <w:p w14:paraId="1876B104" w14:textId="4F40A148" w:rsidR="00E67BD9" w:rsidRDefault="00E67BD9" w:rsidP="00E67BD9">
      <w:pPr>
        <w:pStyle w:val="SingleTxtG"/>
        <w:rPr>
          <w:lang w:eastAsia="ru-RU"/>
        </w:rPr>
      </w:pPr>
      <w:r>
        <w:rPr>
          <w:lang w:eastAsia="ru-RU"/>
        </w:rPr>
        <w:br w:type="page"/>
      </w:r>
    </w:p>
    <w:p w14:paraId="1B2DD5E7" w14:textId="384A53FC" w:rsidR="00E67BD9" w:rsidRPr="00116A02" w:rsidRDefault="00E67BD9" w:rsidP="00E67BD9">
      <w:pPr>
        <w:pStyle w:val="HChG"/>
      </w:pPr>
      <w:r>
        <w:lastRenderedPageBreak/>
        <w:tab/>
        <w:t>I.</w:t>
      </w:r>
      <w:r>
        <w:tab/>
        <w:t>Введение</w:t>
      </w:r>
    </w:p>
    <w:p w14:paraId="4873D1B7" w14:textId="7DB07780" w:rsidR="00E67BD9" w:rsidRPr="00116A02" w:rsidRDefault="00E67BD9" w:rsidP="00E67BD9">
      <w:pPr>
        <w:pStyle w:val="SingleTxtG"/>
        <w:rPr>
          <w:rFonts w:asciiTheme="majorBidi" w:hAnsiTheme="majorBidi" w:cstheme="majorBidi"/>
        </w:rPr>
      </w:pPr>
      <w:r>
        <w:t>1.</w:t>
      </w:r>
      <w:r>
        <w:tab/>
        <w:t xml:space="preserve">Мы, министры и главы делегаций Сторон и </w:t>
      </w:r>
      <w:proofErr w:type="spellStart"/>
      <w:r>
        <w:t>сигнатариев</w:t>
      </w:r>
      <w:proofErr w:type="spellEnd"/>
      <w:r>
        <w:t xml:space="preserve"> Конвенции о доступе к информации, участии общественности в процессе принятия решений и доступе к правосудию по вопросам, касающимся окружающей среды (</w:t>
      </w:r>
      <w:proofErr w:type="spellStart"/>
      <w:r>
        <w:t>Орхусская</w:t>
      </w:r>
      <w:proofErr w:type="spellEnd"/>
      <w:r>
        <w:t xml:space="preserve"> конвенция), и</w:t>
      </w:r>
      <w:r w:rsidR="000C3953">
        <w:rPr>
          <w:lang w:val="en-US"/>
        </w:rPr>
        <w:t> </w:t>
      </w:r>
      <w:r>
        <w:t>Протокола о регистрах выбросов и переноса загрязнителей к ней совместно с представителями других государств, международных, региональных и неправительственных организаций (НПО), парламентариями и другими представителями гражданского общества всего региона Европейской экономической комиссии Организации Объединенных Наций (ЕЭК) и других регионов, собравшись вместе на седьмую сессию Совещания Сторон Конвенции и четвертую сессию Совещания Сторон Протокола, заявляем нижеследующее.</w:t>
      </w:r>
    </w:p>
    <w:p w14:paraId="1E41284F" w14:textId="655A228F" w:rsidR="00E67BD9" w:rsidRPr="00116A02" w:rsidRDefault="00E67BD9" w:rsidP="00E67BD9">
      <w:pPr>
        <w:pStyle w:val="SingleTxtG"/>
        <w:rPr>
          <w:rFonts w:asciiTheme="majorBidi" w:hAnsiTheme="majorBidi" w:cstheme="majorBidi"/>
        </w:rPr>
      </w:pPr>
      <w:r>
        <w:t>2.</w:t>
      </w:r>
      <w:r>
        <w:tab/>
        <w:t xml:space="preserve">Мы напоминаем о нашем обязательстве, взятом в рамках </w:t>
      </w:r>
      <w:proofErr w:type="spellStart"/>
      <w:r>
        <w:t>Будванской</w:t>
      </w:r>
      <w:proofErr w:type="spellEnd"/>
      <w:r>
        <w:t xml:space="preserve"> декларации «Экологическая демократия в интересах нашего устойчивого будущего» (ECE/MP.PP/2017/16/Add.1</w:t>
      </w:r>
      <w:r w:rsidR="00F401D2" w:rsidRPr="00B32D94">
        <w:t>–</w:t>
      </w:r>
      <w:r>
        <w:t>ECE/MP.PRTR/2017/2/Add.1), поощрять экологическую демократию и ее ключевые компоненты, а именно доступ к экологической информации, участие общественности и доступ к правосудию в регионе ЕЭК и за его пределами в качестве важнейших предпосылок для построения устойчивого будущего для нынешнего и будущих поколений.</w:t>
      </w:r>
      <w:bookmarkStart w:id="1" w:name="_Hlk57208941"/>
      <w:bookmarkEnd w:id="1"/>
    </w:p>
    <w:p w14:paraId="44B41579" w14:textId="54ED1E41" w:rsidR="00E67BD9" w:rsidRPr="00116A02" w:rsidRDefault="00E67BD9" w:rsidP="00E67BD9">
      <w:pPr>
        <w:pStyle w:val="SingleTxtG"/>
        <w:rPr>
          <w:rFonts w:asciiTheme="majorBidi" w:hAnsiTheme="majorBidi" w:cstheme="majorBidi"/>
        </w:rPr>
      </w:pPr>
      <w:r>
        <w:t>3.</w:t>
      </w:r>
      <w:r>
        <w:tab/>
        <w:t xml:space="preserve">Мы признаем важнейшую роль </w:t>
      </w:r>
      <w:proofErr w:type="spellStart"/>
      <w:r>
        <w:t>Орхусской</w:t>
      </w:r>
      <w:proofErr w:type="spellEnd"/>
      <w:r>
        <w:t xml:space="preserve"> конвенции и Протокола к ней в предоставлении общественности конкретных прав на доступ к информации, участие в процессе принятия решений и на доступ к правосудию по вопросам, касающимся окружающей среды. Благодаря этой своей роли данные договоры обеспечили ощутимые позитивные изменения во всем регионе ЕЭК и за его пределами. Эти изменения имеют многочисленные положительные последствия не только для охраны окружающей среды, но и для социальных и экономических аспектов жизни людей.</w:t>
      </w:r>
    </w:p>
    <w:p w14:paraId="4BA89454" w14:textId="77777777" w:rsidR="00E67BD9" w:rsidRPr="00116A02" w:rsidRDefault="00E67BD9" w:rsidP="00E67BD9">
      <w:pPr>
        <w:pStyle w:val="SingleTxtG"/>
        <w:rPr>
          <w:rFonts w:asciiTheme="majorBidi" w:hAnsiTheme="majorBidi" w:cstheme="majorBidi"/>
          <w:spacing w:val="-3"/>
        </w:rPr>
      </w:pPr>
      <w:r>
        <w:t>4.</w:t>
      </w:r>
      <w:r>
        <w:tab/>
        <w:t>Основная цель Конвенции и Протокола к ней, а именно — содействие защите права каждого человека нашего и будущих поколений жить в окружающей среде, благоприятной для его здоровья и благополучия, — приобретает сегодня еще большее значение. Несмотря на значительные достижения, во многих странах по-прежнему существуют серьезные проблемы. Мы отмечаем, что некоторые правительства приняли меры по ограничению гражданских свобод в отношении экологических вопросов. Мы призываем правительства этих стран обеспечить, чтобы все лица, находящиеся под их юрисдикцией, могли в полной мере пользоваться всеми своими правами, как это предусмотрено Конвенцией и Протоколом.</w:t>
      </w:r>
    </w:p>
    <w:p w14:paraId="1D4F3E66" w14:textId="77777777" w:rsidR="00E67BD9" w:rsidRPr="00116A02" w:rsidRDefault="00E67BD9" w:rsidP="00E67BD9">
      <w:pPr>
        <w:pStyle w:val="SingleTxtG"/>
        <w:rPr>
          <w:rFonts w:asciiTheme="majorBidi" w:hAnsiTheme="majorBidi" w:cstheme="majorBidi"/>
        </w:rPr>
      </w:pPr>
      <w:r>
        <w:t>5.</w:t>
      </w:r>
      <w:r>
        <w:tab/>
        <w:t xml:space="preserve">Кроме того, многие правительства отреагировали на пандемию коронавирусного заболевания (COVID-19) путем объявления чрезвычайного положения и принятия многочисленных мер по борьбе с распространением вируса, которые часто включали значительные ограничения в отношении свободы собраний и свободы передвижения. Следовательно, они привели или могли привести к ограничению прав общественности на доступ к информации, участие в принятии решений и доступ к правосудию, в том числе по экологическим вопросам, без надлежащего рассмотрения и реализации решений для обеспечения того, чтобы обязательства и права в соответствии с Конвенцией по-прежнему соблюдались и осуществлялись в полном объеме. В то же время ряд правительств предприняли усилия по поиску адекватных решений, таких как продление сроков рассмотрения дел в суде или более широкое использование электронных средств. Никогда еще необходимость уделения повышенного внимания заблаговременному распространению экологической информации не была столь очевидной с учетом практических проблем, возникших в связи с пандемией COVID-19, и многочисленных новых вызовов, с которыми столкнулось гражданское общество, в том числе финансового и социального характера. Стремительное развитие цифровых и онлайновых решений и их использование, свидетелями которых мы все стали во время пандемии, необходимо в полной мере использовать для поддержки, в частности, распространения экологической информации, признавая при этом также необходимость решения проблемы доступа к онлайновым средствам. Все предусмотренные Конвенцией права должны быть одинаково гарантированы в </w:t>
      </w:r>
      <w:r>
        <w:lastRenderedPageBreak/>
        <w:t>цифровом и нецифровом форматах, принимая во внимание рекомендации Комитета по вопросам соблюдения Конвенции</w:t>
      </w:r>
      <w:r w:rsidRPr="005B73EC">
        <w:rPr>
          <w:rStyle w:val="aa"/>
          <w:rFonts w:cstheme="majorBidi"/>
        </w:rPr>
        <w:footnoteReference w:id="1"/>
      </w:r>
      <w:r>
        <w:t>.</w:t>
      </w:r>
    </w:p>
    <w:p w14:paraId="04198768" w14:textId="329C633B" w:rsidR="00E67BD9" w:rsidRPr="00116A02" w:rsidRDefault="00E67BD9" w:rsidP="00E67BD9">
      <w:pPr>
        <w:pStyle w:val="SingleTxtG"/>
        <w:rPr>
          <w:rFonts w:asciiTheme="majorBidi" w:hAnsiTheme="majorBidi" w:cstheme="majorBidi"/>
        </w:rPr>
      </w:pPr>
      <w:r>
        <w:t>6.</w:t>
      </w:r>
      <w:r>
        <w:tab/>
        <w:t>Мы отмечаем, что территориально-пространственное планирование и крупномасштабные инфраструктурные проекты, в том числе инициируемые в качестве потенциальных мер по восстановлению, оказывают существенное влияние на жизнь тысяч людей в разных странах и регионах. Такие проекты создают новые возможности для занятости, путешествий и экономического роста. В то же время они оказывают значительное воздействие на экосистемы, а также на здоровье и благополучие людей. Нередко они становятся причиной значительного давления на окружающую среду, например в результате выбросов парниковых газов, образования отходов и других форм загрязнения. Кроме того, они могут активно изменять природные среды обитания и сельхозугодья и влиять на биоразнообразие. Против этих проектов обычно выступают люди, обеспокоенные их потенциальным воздействием на окружающую среду. Это может вылиться в социальный конфликт и политические волнения, которые могут привести к тому, что люди будут жить под угрозой притеснений или даже в страхе за свою жизнь. В этой связи крайне важно обеспечить полноценный учет и решение экологических и социальных проблем уже на самых первых этапах территориально-пространственного планирования и разработки концепций проектов, планов, программ и стратегий, а также при продлении сроков, а также пересмотре и обновлении условий эксплуатации существующих объектов.</w:t>
      </w:r>
    </w:p>
    <w:p w14:paraId="626C44AC" w14:textId="34978AFA" w:rsidR="00E67BD9" w:rsidRPr="00116A02" w:rsidRDefault="00E67BD9" w:rsidP="00E67BD9">
      <w:pPr>
        <w:pStyle w:val="HChG"/>
        <w:rPr>
          <w:bCs/>
        </w:rPr>
      </w:pPr>
      <w:r>
        <w:tab/>
        <w:t>II.</w:t>
      </w:r>
      <w:r>
        <w:tab/>
      </w:r>
      <w:proofErr w:type="spellStart"/>
      <w:r>
        <w:rPr>
          <w:bCs/>
        </w:rPr>
        <w:t>Орхусская</w:t>
      </w:r>
      <w:proofErr w:type="spellEnd"/>
      <w:r>
        <w:rPr>
          <w:bCs/>
        </w:rPr>
        <w:t xml:space="preserve"> конвенция и Протокол к ней как инструменты совершенствования развития инфраструктуры и территориально-пространственного планирования</w:t>
      </w:r>
    </w:p>
    <w:p w14:paraId="6E93548C" w14:textId="77777777" w:rsidR="00E67BD9" w:rsidRPr="00116A02" w:rsidRDefault="00E67BD9" w:rsidP="00E67BD9">
      <w:pPr>
        <w:pStyle w:val="SingleTxtG"/>
        <w:ind w:left="1170"/>
        <w:rPr>
          <w:rFonts w:asciiTheme="majorBidi" w:hAnsiTheme="majorBidi" w:cstheme="majorBidi"/>
        </w:rPr>
      </w:pPr>
      <w:r>
        <w:t>7.</w:t>
      </w:r>
      <w:r>
        <w:tab/>
        <w:t>Мы отмечаем, что крупномасштабные инфраструктурные проекты, такие как автомобильные и железные дороги, аэропорты, порты, электростанции и трубопроводы, обеспечивают доступ к услугам и экономическим возможностям; они могут помочь улучшить условия жизни и благополучие людей, а также усилить социальную интеграцию и подключение к различным услугам. Таким образом, они играют важную роль в поддержке реализации прав и основных свобод общественности.</w:t>
      </w:r>
    </w:p>
    <w:p w14:paraId="251F6570" w14:textId="77777777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</w:pPr>
      <w:r w:rsidRPr="00116A02">
        <w:t>8.</w:t>
      </w:r>
      <w:r w:rsidRPr="00116A02">
        <w:tab/>
        <w:t xml:space="preserve">В то же время такие проекты и территориально-пространственное планирование в целом оказывают комплексное воздействие на окружающую среду, затрагивающее различные компоненты систем Земли: атмосферу, гидросферу, геосферу и биосферу. Они также оказывают влияние на ряд социальных вопросов, связанных с правами общественности, таких как перемещение, землевладение, культурное наследие, права коренных народов и местных общин, гендерное равенство, занятость, общественное здравоохранение и </w:t>
      </w:r>
      <w:proofErr w:type="gramStart"/>
      <w:r w:rsidRPr="00116A02">
        <w:t>безопасность</w:t>
      </w:r>
      <w:proofErr w:type="gramEnd"/>
      <w:r w:rsidRPr="00116A02">
        <w:t xml:space="preserve"> и защищенность. Поэтому к развитию инфраструктуры и территориально-пространственному планированию следует применять подход, основанный на знаниях и правозащитных социальных гарантиях, с тем чтобы гарантировать, что они приносят пользу всем, никого не забывая, и уважают права человека. Обеспечение прозрачности и верховенства права, инклюзивного, прозрачного и эффективного участия общественности в процессе принятия решений, а также адекватных и эффективных средств правовой защиты на протяжении всего процесса планирования и развития имеет в этом отношении первостепенное значение. </w:t>
      </w:r>
    </w:p>
    <w:p w14:paraId="408346CA" w14:textId="77777777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color w:val="000000"/>
          <w:u w:val="single"/>
        </w:rPr>
      </w:pPr>
      <w:r w:rsidRPr="00116A02">
        <w:t>9.</w:t>
      </w:r>
      <w:r w:rsidRPr="00116A02">
        <w:tab/>
        <w:t xml:space="preserve">Мы признаем далее, что территориально-пространственное планирование — это нечто большее, чем просто технический инструмент. Оно должно предусматривать комплексный и основанный на широком участии процесс принятия решений, учитывающий конкурирующие интересы и увязанный с общим видением, общей стратегией развития и национальной, региональной и местной политикой в области развития. Кроме того, оно представляет собой один из ключевых компонентов </w:t>
      </w:r>
      <w:r w:rsidRPr="00116A02">
        <w:lastRenderedPageBreak/>
        <w:t xml:space="preserve">обновленной парадигмы территориального управления, которая поощряет демократию, участие и </w:t>
      </w:r>
      <w:proofErr w:type="spellStart"/>
      <w:r w:rsidRPr="00116A02">
        <w:t>инклюзивность</w:t>
      </w:r>
      <w:proofErr w:type="spellEnd"/>
      <w:r w:rsidRPr="00116A02">
        <w:t>, прозрачность и подотчетность в целях обеспечения устойчивого развития и качества территории</w:t>
      </w:r>
      <w:r w:rsidRPr="00116A02">
        <w:rPr>
          <w:color w:val="000000"/>
          <w:sz w:val="18"/>
          <w:szCs w:val="18"/>
          <w:vertAlign w:val="superscript"/>
        </w:rPr>
        <w:footnoteReference w:id="2"/>
      </w:r>
      <w:r w:rsidRPr="00116A02">
        <w:t xml:space="preserve">. </w:t>
      </w:r>
      <w:bookmarkStart w:id="2" w:name="_Hlk56501567"/>
    </w:p>
    <w:bookmarkEnd w:id="2"/>
    <w:p w14:paraId="073F89B4" w14:textId="77777777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</w:pPr>
      <w:r w:rsidRPr="00116A02">
        <w:t>10.</w:t>
      </w:r>
      <w:r w:rsidRPr="00116A02">
        <w:tab/>
        <w:t>В этом отношении мы подчеркиваем важную роль Конвенции и Протокола в поощрении прозрачности и эффективного и инклюзивного участия общественности в принятии решений по политике, планам и проектам, связанным с крупномасштабной инфраструктурой и территориально-пространственным планированием, в том числе в трансграничном контексте, а также в обеспечении верховенства права в этом сложном контексте. Мы призываем Стороны поощрять использование регистров выбросов и переноса загрязнителей в качестве инструмента содействия устойчивому планированию и политике в области здравоохранения, а также реагирования на необходимость и возможности улучшения условий осуществления таких проектов в целях предотвращения или, по крайней мере, сведения к минимуму потенциальных рисков для окружающей среды и здоровья. Например, картографическая визуализация географического местоположения зарегистрированных источников выбросов загрязняющих веществ облегчает определение подходящих мест для реализации инфраструктурных проектов. Планы и проекты, оказывающие негативное воздействие на землепользование, должны осуществляться только в тех случаях, когда социально-экономические выгоды перевешивают негативные последствия, в том числе для климата и окружающей среды.</w:t>
      </w:r>
    </w:p>
    <w:p w14:paraId="2B927B75" w14:textId="77777777" w:rsidR="00E67BD9" w:rsidRPr="00116A02" w:rsidRDefault="00E67BD9" w:rsidP="00E67BD9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outlineLvl w:val="2"/>
        <w:rPr>
          <w:b/>
          <w:sz w:val="24"/>
          <w:lang w:eastAsia="ru-RU"/>
        </w:rPr>
      </w:pPr>
      <w:bookmarkStart w:id="3" w:name="_Hlk57211065"/>
      <w:r w:rsidRPr="00116A02">
        <w:rPr>
          <w:b/>
          <w:sz w:val="24"/>
          <w:lang w:eastAsia="ru-RU"/>
        </w:rPr>
        <w:tab/>
      </w:r>
      <w:r w:rsidRPr="00116A02">
        <w:rPr>
          <w:b/>
          <w:sz w:val="24"/>
          <w:lang w:eastAsia="ru-RU"/>
        </w:rPr>
        <w:tab/>
      </w:r>
      <w:r w:rsidRPr="00116A02">
        <w:rPr>
          <w:b/>
          <w:bCs/>
          <w:sz w:val="24"/>
          <w:lang w:eastAsia="ru-RU"/>
        </w:rPr>
        <w:t>Поддержка региональных и глобальных обязательств</w:t>
      </w:r>
    </w:p>
    <w:bookmarkEnd w:id="3"/>
    <w:p w14:paraId="2D9712C5" w14:textId="77777777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</w:pPr>
      <w:r w:rsidRPr="00116A02">
        <w:t>11.</w:t>
      </w:r>
      <w:r w:rsidRPr="00116A02">
        <w:tab/>
        <w:t>Задача создания и обеспечения устойчивой инфраструктуры на должном уровне занимает центральное место в глобальных усилиях по обеспечению устойчивости. Во многих основных международных документах, таких как Повестка дня в области устойчивого развития на период до 2030 года</w:t>
      </w:r>
      <w:r w:rsidRPr="00116A02">
        <w:rPr>
          <w:sz w:val="18"/>
          <w:vertAlign w:val="superscript"/>
        </w:rPr>
        <w:footnoteReference w:id="3"/>
      </w:r>
      <w:r w:rsidRPr="00116A02">
        <w:t>, инфраструктура определена в качестве одного из ключевых инструментов обеспечения инклюзивной, «зеленой» и устойчивой экономики.</w:t>
      </w:r>
    </w:p>
    <w:p w14:paraId="17B7CC30" w14:textId="5B34F0E0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</w:pPr>
      <w:bookmarkStart w:id="4" w:name="_Hlk56423739"/>
      <w:r w:rsidRPr="00116A02">
        <w:t>12.</w:t>
      </w:r>
      <w:r w:rsidRPr="00116A02">
        <w:tab/>
        <w:t>Мы признаем, что эффективное осуществление Конвенции и Протокола содействует реализации ряда региональных и глобальных инициатив и обязательств, в частности: Повестки дня на период до 2030 года; резолюции 4/5 Ассамблеи Организации Объединенных Наций по окружающей среде об устойчивой инфраструктуре</w:t>
      </w:r>
      <w:r w:rsidRPr="00116A02">
        <w:rPr>
          <w:sz w:val="18"/>
          <w:vertAlign w:val="superscript"/>
        </w:rPr>
        <w:footnoteReference w:id="4"/>
      </w:r>
      <w:r w:rsidRPr="00116A02">
        <w:t>, в которой признается центральная роль инфраструктуры в осуществлении Повестки дня на период до 2030 года; резолюции 4/19 Ассамблеи Организации Объединенных Наций по окружающей среде о регулировании полезных ископаемых</w:t>
      </w:r>
      <w:r w:rsidRPr="00116A02">
        <w:rPr>
          <w:sz w:val="18"/>
          <w:vertAlign w:val="superscript"/>
        </w:rPr>
        <w:footnoteReference w:id="5"/>
      </w:r>
      <w:r w:rsidRPr="00116A02">
        <w:t xml:space="preserve">, в которой рассматриваются такие вопросы, как экологические риски, риски, связанные с правами человека, и риски, связанные с конфликтами в горнодобывающей промышленности; «Европейского зеленого курса», в рамках которого признается важность «умной инфраструктуры» и «нулевого загрязнения» в экономике замкнутого цикла; решений, принятых в контексте Конвенции о биологическом разнообразии, призывающих к принятию срочных мер, в частности по обеспечению безопасности и сохранению разнообразия жизни на планете; мероприятий, касающихся устойчивой к изменению климата инфраструктуры, в соответствии с Рамочной конвенцией Организации Объединенных Наций об </w:t>
      </w:r>
      <w:r w:rsidRPr="00116A02">
        <w:lastRenderedPageBreak/>
        <w:t>изменении климата; Новой программы развития городов</w:t>
      </w:r>
      <w:r w:rsidRPr="00116A02">
        <w:rPr>
          <w:sz w:val="18"/>
          <w:szCs w:val="18"/>
          <w:vertAlign w:val="superscript"/>
        </w:rPr>
        <w:footnoteReference w:id="6"/>
      </w:r>
      <w:r w:rsidR="00B32D94" w:rsidRPr="00476606">
        <w:t>;</w:t>
      </w:r>
      <w:r w:rsidRPr="00116A02">
        <w:t xml:space="preserve"> и обязательств по повышению готовности к стихийным бедствиям и укреплению управления рисками стихийных бедствий в соответствии с </w:t>
      </w:r>
      <w:proofErr w:type="spellStart"/>
      <w:r w:rsidRPr="00116A02">
        <w:t>Сендайской</w:t>
      </w:r>
      <w:proofErr w:type="spellEnd"/>
      <w:r w:rsidRPr="00116A02">
        <w:t xml:space="preserve"> рамочной программой по уменьшению опасности стихийных бедствий на 2015–2030 годы. Кроме того, эти инициативы и обязательства способствуют осуществлению резолюций Совета по правам человека 37/8 о правах человека и окружающей среде</w:t>
      </w:r>
      <w:r w:rsidRPr="00116A02">
        <w:rPr>
          <w:sz w:val="18"/>
          <w:vertAlign w:val="superscript"/>
        </w:rPr>
        <w:footnoteReference w:id="7"/>
      </w:r>
      <w:r w:rsidRPr="00116A02">
        <w:t>, 40/11 о признании вклада защитников экологических прав в осуществление прав человека, защиту окружающей среды и устойчивое развитие</w:t>
      </w:r>
      <w:r w:rsidRPr="00116A02">
        <w:rPr>
          <w:sz w:val="18"/>
          <w:vertAlign w:val="superscript"/>
        </w:rPr>
        <w:footnoteReference w:id="8"/>
      </w:r>
      <w:r w:rsidRPr="00116A02">
        <w:t xml:space="preserve"> и 42/21 о защите прав работников, подвергающихся воздействию опасных веществ и отходов</w:t>
      </w:r>
      <w:r w:rsidRPr="00116A02">
        <w:rPr>
          <w:sz w:val="18"/>
          <w:vertAlign w:val="superscript"/>
        </w:rPr>
        <w:footnoteReference w:id="9"/>
      </w:r>
      <w:r w:rsidRPr="00116A02">
        <w:t>, а также инициативы, направленной на всеобщее признание права на здоровую окружающую среду</w:t>
      </w:r>
      <w:r w:rsidRPr="00116A02">
        <w:rPr>
          <w:sz w:val="18"/>
          <w:vertAlign w:val="superscript"/>
        </w:rPr>
        <w:footnoteReference w:id="10"/>
      </w:r>
      <w:r w:rsidRPr="00116A02">
        <w:t xml:space="preserve">, которые имеют непосредственное отношение к вышеупомянутым вопросам. </w:t>
      </w:r>
      <w:bookmarkEnd w:id="4"/>
    </w:p>
    <w:p w14:paraId="0120FEE5" w14:textId="77777777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</w:pPr>
      <w:r w:rsidRPr="00116A02">
        <w:t>13.</w:t>
      </w:r>
      <w:r w:rsidRPr="00116A02">
        <w:tab/>
        <w:t xml:space="preserve">В этой связи мы приветствуем принятие Регионального соглашения о доступе к информации, участии общественности и правосудии по вопросам окружающей среды в Латинской Америке и Карибском бассейне (Соглашение </w:t>
      </w:r>
      <w:proofErr w:type="spellStart"/>
      <w:r w:rsidRPr="00116A02">
        <w:t>Эскасу</w:t>
      </w:r>
      <w:proofErr w:type="spellEnd"/>
      <w:r w:rsidRPr="00116A02">
        <w:t xml:space="preserve">) и вновь заявляем о своей готовности продолжать сотрудничество со Сторонами этого соглашения, гражданским обществом и коренными народами в регионе Латинской Америки и Карибского бассейна. Кроме того, мы подтверждаем наше обязательство пропагандировать </w:t>
      </w:r>
      <w:proofErr w:type="spellStart"/>
      <w:r w:rsidRPr="00116A02">
        <w:t>Орхусскую</w:t>
      </w:r>
      <w:proofErr w:type="spellEnd"/>
      <w:r w:rsidRPr="00116A02">
        <w:t xml:space="preserve"> конвенцию, Протокол к ней и их принципы на международных форумах, касающихся окружающей среды, в том числе в связи с планированием, финансированием и развитием инфраструктуры, в рамках осуществления Повестки дня на период до 2030 года и выполнения других региональных и глобальных обязательств, в сотрудничестве с правительствами, международными и неправительственными организациями, </w:t>
      </w:r>
      <w:proofErr w:type="spellStart"/>
      <w:r w:rsidRPr="00116A02">
        <w:t>Орхусскими</w:t>
      </w:r>
      <w:proofErr w:type="spellEnd"/>
      <w:r w:rsidRPr="00116A02">
        <w:t xml:space="preserve"> центрами, частным сектором, научными кругами, коренными народами и другими заинтересованными субъектами. </w:t>
      </w:r>
    </w:p>
    <w:p w14:paraId="69DF462B" w14:textId="77777777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</w:pPr>
      <w:r w:rsidRPr="00116A02">
        <w:t>14.</w:t>
      </w:r>
      <w:r w:rsidRPr="00116A02">
        <w:tab/>
        <w:t xml:space="preserve">Мы </w:t>
      </w:r>
      <w:r w:rsidRPr="00A4628D">
        <w:t xml:space="preserve">принимаем к сведению </w:t>
      </w:r>
      <w:r w:rsidRPr="00116A02">
        <w:t>текущие переговоры о разработке международного юридически обязывающего договора о транснациональных корпорациях и других предприятиях в аспекте прав человека</w:t>
      </w:r>
      <w:r w:rsidRPr="00116A02">
        <w:rPr>
          <w:sz w:val="18"/>
          <w:vertAlign w:val="superscript"/>
        </w:rPr>
        <w:footnoteReference w:id="11"/>
      </w:r>
      <w:r w:rsidRPr="00116A02">
        <w:t xml:space="preserve"> и подчеркиваем важность того, чтобы все Стороны придерживались </w:t>
      </w:r>
      <w:proofErr w:type="spellStart"/>
      <w:r w:rsidRPr="00116A02">
        <w:t>Орхусских</w:t>
      </w:r>
      <w:proofErr w:type="spellEnd"/>
      <w:r w:rsidRPr="00116A02">
        <w:t xml:space="preserve"> принципов в ходе этих переговоров и добивались их включения в основной текст в соответствии с нашими обязательствами по пункту 7 статьи 3 </w:t>
      </w:r>
      <w:proofErr w:type="spellStart"/>
      <w:r w:rsidRPr="00116A02">
        <w:t>Орхусской</w:t>
      </w:r>
      <w:proofErr w:type="spellEnd"/>
      <w:r w:rsidRPr="00116A02">
        <w:t xml:space="preserve"> конвенции в контексте принятия решений на международном уровне. </w:t>
      </w:r>
    </w:p>
    <w:p w14:paraId="3593DB8E" w14:textId="77777777" w:rsidR="00E67BD9" w:rsidRPr="00116A02" w:rsidRDefault="00E67BD9" w:rsidP="00E67BD9">
      <w:pPr>
        <w:pStyle w:val="H23G"/>
      </w:pPr>
      <w:r w:rsidRPr="00116A02">
        <w:tab/>
      </w:r>
      <w:r w:rsidRPr="00116A02">
        <w:tab/>
        <w:t xml:space="preserve">Повестка дня на период до 2030 года </w:t>
      </w:r>
      <w:bookmarkStart w:id="5" w:name="_Hlk57615022"/>
      <w:bookmarkEnd w:id="5"/>
    </w:p>
    <w:p w14:paraId="045AA62A" w14:textId="056E94C1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</w:pPr>
      <w:r w:rsidRPr="00116A02">
        <w:t>15.</w:t>
      </w:r>
      <w:r w:rsidRPr="00116A02">
        <w:tab/>
        <w:t>Мы признаем, что устойчивые и обеспечивающие сопротивляемость инфраструктура и территориально-пространственное планирование прямо или косвенно влияют на достижение всех Целей в области устойчивого развития, в частности Цели 9 (промышленность, инновации и инфраструктура) и Цели 11 (устойчивые города и общины). Другими соответствующими Целями являются Цель 3 (обеспечение здорового образа жизни и содействие благополучию), Цель 13 (борьба с изменением климата) и Цель 15 (защита и восстановление экосистем суши). Мы</w:t>
      </w:r>
      <w:r>
        <w:rPr>
          <w:lang w:val="en-US"/>
        </w:rPr>
        <w:t> </w:t>
      </w:r>
      <w:r w:rsidRPr="00116A02">
        <w:t>подчеркиваем, что Цель 16 (мир, правосудие и эффективные учреждения)</w:t>
      </w:r>
      <w:r w:rsidRPr="00116A02">
        <w:rPr>
          <w:sz w:val="18"/>
          <w:szCs w:val="18"/>
          <w:vertAlign w:val="superscript"/>
        </w:rPr>
        <w:footnoteReference w:id="12"/>
      </w:r>
      <w:r w:rsidRPr="00116A02">
        <w:t xml:space="preserve"> имеет ключевое значение для успешного достижения всех Целей. </w:t>
      </w:r>
    </w:p>
    <w:p w14:paraId="24A548FD" w14:textId="77777777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</w:pPr>
      <w:r w:rsidRPr="00116A02">
        <w:t>16.</w:t>
      </w:r>
      <w:r w:rsidRPr="00116A02">
        <w:tab/>
      </w:r>
      <w:proofErr w:type="spellStart"/>
      <w:r w:rsidRPr="00116A02">
        <w:t>Орхусская</w:t>
      </w:r>
      <w:proofErr w:type="spellEnd"/>
      <w:r w:rsidRPr="00116A02">
        <w:t xml:space="preserve"> конвенция и Протокол к ней обеспечивают надежные механизмы для оказания помощи странам в достижении Целей в области устойчивого развития за счет обеспечения выполнения обязательств в отношении доступа к информации, участия </w:t>
      </w:r>
      <w:r w:rsidRPr="00116A02">
        <w:lastRenderedPageBreak/>
        <w:t xml:space="preserve">общественности и доступа к правосудию по широкому кругу вопросов, затрагивающих окружающую среду, включая здоровье населения. </w:t>
      </w:r>
    </w:p>
    <w:p w14:paraId="73EDE06F" w14:textId="77777777" w:rsidR="00E67BD9" w:rsidRPr="00116A02" w:rsidRDefault="00E67BD9" w:rsidP="00E67BD9">
      <w:pPr>
        <w:pStyle w:val="H23G"/>
      </w:pPr>
      <w:r w:rsidRPr="00116A02">
        <w:tab/>
      </w:r>
      <w:r w:rsidRPr="00116A02">
        <w:tab/>
        <w:t xml:space="preserve">Климат и биоразнообразие </w:t>
      </w:r>
      <w:bookmarkStart w:id="6" w:name="_Hlk57615043"/>
      <w:bookmarkEnd w:id="6"/>
    </w:p>
    <w:p w14:paraId="07C7E9F4" w14:textId="77777777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</w:pPr>
      <w:r w:rsidRPr="00116A02">
        <w:t>17.</w:t>
      </w:r>
      <w:r w:rsidRPr="00116A02">
        <w:tab/>
        <w:t xml:space="preserve">Мы подчеркиваем, что инфраструктура и территориально-пространственное планирование должны предусматривать </w:t>
      </w:r>
      <w:proofErr w:type="spellStart"/>
      <w:r w:rsidRPr="00116A02">
        <w:t>природосберегающие</w:t>
      </w:r>
      <w:proofErr w:type="spellEnd"/>
      <w:r w:rsidRPr="00116A02">
        <w:t xml:space="preserve"> решения, которые обеспечивают возможности для ограничения и смягчения последствий изменения климата и утраты биоразнообразия и в то же время повышают сопротивляемость самой инфраструктуры, улучшая предоставление услуг и принося пользу экономике и общинам в долгосрочной перспективе. Поскольку инфраструктура в каждом секторе оказывает воздействие на климат и биоразнообразие, необходимо задействовать широкий круг заинтересованных субъектов на протяжении всего цикла планирования и развития инфраструктуры. Для укрепления </w:t>
      </w:r>
      <w:proofErr w:type="spellStart"/>
      <w:r w:rsidRPr="00116A02">
        <w:t>межсекторальных</w:t>
      </w:r>
      <w:proofErr w:type="spellEnd"/>
      <w:r w:rsidRPr="00116A02">
        <w:t xml:space="preserve"> связей и применения подхода «системы систем» необходимы учреждения и механизмы управления, поддерживающие междисциплинарное сотрудничество и координацию на различных политических уровнях (субнациональном, национальном, региональном, международном). Участие общественности с уделением должного внимания правам будущих поколений и многосторонние консультации должны быть включены в этот процесс на различных его этапах для обеспечения того, чтобы инфраструктура предоставляла услуги, действительно приносящие пользу обществу инклюзивным образом, а также для предоставления средств правовой защиты тем, чьи права были нарушены.  </w:t>
      </w:r>
    </w:p>
    <w:p w14:paraId="1B66F136" w14:textId="77777777" w:rsidR="00E67BD9" w:rsidRPr="00116A02" w:rsidRDefault="00E67BD9" w:rsidP="00E67BD9">
      <w:pPr>
        <w:pStyle w:val="H23G"/>
      </w:pPr>
      <w:r w:rsidRPr="00116A02">
        <w:tab/>
      </w:r>
      <w:r w:rsidRPr="00116A02">
        <w:tab/>
        <w:t>Инициатива «Пояс и путь»</w:t>
      </w:r>
      <w:bookmarkStart w:id="7" w:name="_Hlk57615055"/>
      <w:bookmarkEnd w:id="7"/>
    </w:p>
    <w:p w14:paraId="5740679A" w14:textId="77777777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</w:pPr>
      <w:r w:rsidRPr="00116A02">
        <w:t>18.</w:t>
      </w:r>
      <w:r w:rsidRPr="00116A02">
        <w:tab/>
        <w:t xml:space="preserve">Мы отмечаем, что подавляющее большинство Сторон </w:t>
      </w:r>
      <w:proofErr w:type="spellStart"/>
      <w:r w:rsidRPr="00116A02">
        <w:t>Орхусской</w:t>
      </w:r>
      <w:proofErr w:type="spellEnd"/>
      <w:r w:rsidRPr="00116A02">
        <w:t xml:space="preserve"> конвенции и Протокола участвуют в инициативе «Пояс и путь», трансконтинентальной долгосрочной политической и инвестиционной программе, направленной на развитие инфраструктуры и ускорение экономической интеграции стран, расположенных вдоль исторического Шелкового пути. Решающее значение имеют гарантии, обеспечиваемые национальным законодательством, международными соглашениями, финансовыми инструментами и инструментами обеспечения соблюдения. Мы призываем Стороны обеспечить полное соблюдение обязательств по </w:t>
      </w:r>
      <w:proofErr w:type="spellStart"/>
      <w:r w:rsidRPr="00116A02">
        <w:t>Орхусской</w:t>
      </w:r>
      <w:proofErr w:type="spellEnd"/>
      <w:r w:rsidRPr="00116A02">
        <w:t xml:space="preserve"> конвенции и Протоколу при осуществлении Инициативы «Пояс и путь».</w:t>
      </w:r>
    </w:p>
    <w:p w14:paraId="5CD3679E" w14:textId="77777777" w:rsidR="00E67BD9" w:rsidRPr="00116A02" w:rsidRDefault="00E67BD9" w:rsidP="00E67BD9">
      <w:pPr>
        <w:pStyle w:val="HChG"/>
      </w:pPr>
      <w:r w:rsidRPr="00116A02">
        <w:tab/>
        <w:t>III.</w:t>
      </w:r>
      <w:r w:rsidRPr="00116A02">
        <w:tab/>
        <w:t>Путь в будущее</w:t>
      </w:r>
    </w:p>
    <w:p w14:paraId="353B0F16" w14:textId="77777777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</w:pPr>
      <w:r w:rsidRPr="00116A02">
        <w:t>19.</w:t>
      </w:r>
      <w:r w:rsidRPr="00116A02">
        <w:tab/>
        <w:t xml:space="preserve">Мы подтверждаем, что, преследуя цель быстрого разворота экономики на новый курс, решения в области инфраструктуры не должны игнорировать принцип прозрачности или инклюзивные процессы, подрывать гарантии защиты окружающей среды или приводить к возникновению неприемлемого уровня задолженности. </w:t>
      </w:r>
    </w:p>
    <w:p w14:paraId="35BE8E0B" w14:textId="77777777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</w:pPr>
      <w:r w:rsidRPr="00116A02">
        <w:t>20.</w:t>
      </w:r>
      <w:r w:rsidRPr="00116A02">
        <w:tab/>
        <w:t>В то же время никакое физическое строительство не должно ставить под угрозу экосистемы и биоразнообразие или пагубно сказываться на осуществлении прав человека. Для снижения риска нарушения функционирования производственно-сбытовых цепочек инфраструктурные системы должны обеспечивать решения, уважающие культурное наследие и разнообразие, признающие потребности различных групп</w:t>
      </w:r>
      <w:r w:rsidRPr="00116A02">
        <w:rPr>
          <w:sz w:val="18"/>
          <w:vertAlign w:val="superscript"/>
        </w:rPr>
        <w:footnoteReference w:id="13"/>
      </w:r>
      <w:r w:rsidRPr="00116A02">
        <w:t>, учитывающие нормы и принципы охраны природы</w:t>
      </w:r>
      <w:r w:rsidRPr="00116A02">
        <w:rPr>
          <w:sz w:val="18"/>
          <w:vertAlign w:val="superscript"/>
        </w:rPr>
        <w:footnoteReference w:id="14"/>
      </w:r>
      <w:r w:rsidRPr="00116A02">
        <w:t xml:space="preserve"> и </w:t>
      </w:r>
      <w:r w:rsidRPr="00116A02">
        <w:lastRenderedPageBreak/>
        <w:t>использующие устойчивые технологии и местные и устойчивые материалы</w:t>
      </w:r>
      <w:r w:rsidRPr="00116A02">
        <w:rPr>
          <w:sz w:val="18"/>
          <w:vertAlign w:val="superscript"/>
        </w:rPr>
        <w:footnoteReference w:id="15"/>
      </w:r>
      <w:r w:rsidRPr="00116A02">
        <w:t xml:space="preserve"> для повышения эффективности использования ресурсов и создания рабочих мест на местном уровне.</w:t>
      </w:r>
    </w:p>
    <w:p w14:paraId="6A5C07AC" w14:textId="77777777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</w:pPr>
      <w:r w:rsidRPr="00116A02">
        <w:t>21.</w:t>
      </w:r>
      <w:r w:rsidRPr="00116A02">
        <w:tab/>
        <w:t>Мы призываем Стороны Конвенции ратифицировать поправку о генетически измененных организмах, чтобы обеспечить ее вступление в силу в качестве эффективного инструмента поощрения прав общественности на устойчивое управление земельными ресурсами.</w:t>
      </w:r>
    </w:p>
    <w:p w14:paraId="679F3CDB" w14:textId="77777777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</w:pPr>
      <w:r w:rsidRPr="00116A02">
        <w:t>22.</w:t>
      </w:r>
      <w:r w:rsidRPr="00116A02">
        <w:tab/>
        <w:t xml:space="preserve">Мы обязуемся создать благоприятную нормативно-правовую и институциональную базу, обеспечивающую эффективный доступ к информации, участие общественности в процессе принятия решений и доступ к правосудию в качестве ключевых компонентов развития инфраструктуры и территориально-пространственного планирования; обеспечивающую, чтобы разработчики, планировщики и финансовые субъекты играли поддерживающую роль в соблюдении этих компонентов, и поощряющую развитие партнерских связей, консультативных механизмов и форумов в целях активизации диалога по вопросам политики в области развития. </w:t>
      </w:r>
    </w:p>
    <w:p w14:paraId="62EE828F" w14:textId="77777777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</w:pPr>
      <w:r w:rsidRPr="00116A02">
        <w:t>23.</w:t>
      </w:r>
      <w:r w:rsidRPr="00116A02">
        <w:tab/>
        <w:t xml:space="preserve">Мы с удовлетворением отмечаем солидные результаты проделанной в последний межсессионный период аналитической работы, связанной с развитием Протокола, которые могут привести к тому, что Стороны представят соответствующие поправки к Протоколу с целью приведения Протокола и его осуществления в соответствие с текущими разработками и технологическими возможностями, связанными с регистрами выбросов и переноса загрязнителей, с тем чтобы обеспечить удовлетворение возросшего спроса на легкодоступную информацию. </w:t>
      </w:r>
    </w:p>
    <w:p w14:paraId="7313A274" w14:textId="77777777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</w:pPr>
      <w:r w:rsidRPr="00116A02">
        <w:t>24.</w:t>
      </w:r>
      <w:r w:rsidRPr="00116A02">
        <w:tab/>
        <w:t>Мы обязуемся содействовать цифровизации и модернизации систем экологической информации, максимально используя открытые данные и регистры выбросов и переноса загрязнителей, и применять наилучшие имеющиеся цифровые технологии для обеспечения эффективного доступа к информации, участия общественности в процессе принятия решений и доступа к правосудию по вопросам, касающимся окружающей среды.</w:t>
      </w:r>
    </w:p>
    <w:p w14:paraId="534C3BAB" w14:textId="77777777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</w:pPr>
      <w:r w:rsidRPr="00116A02">
        <w:t>25.</w:t>
      </w:r>
      <w:r w:rsidRPr="00116A02">
        <w:tab/>
        <w:t>Мы отмечаем необходимость постоянного развития экологического образования, повышения квалификации и переподготовки кадров с учетом новых тенденций и условий.</w:t>
      </w:r>
    </w:p>
    <w:p w14:paraId="2E99EEF5" w14:textId="77777777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spacing w:val="-3"/>
          <w:shd w:val="clear" w:color="auto" w:fill="FFFFFF"/>
        </w:rPr>
      </w:pPr>
      <w:r w:rsidRPr="00116A02">
        <w:t>26.</w:t>
      </w:r>
      <w:r w:rsidRPr="00116A02">
        <w:tab/>
        <w:t xml:space="preserve">Мы обязуемся защищать права общественности в соответствии с Конвенцией и Протоколом к ней с самого начала и на протяжении всего цикла планирования и развития инфраструктуры (планирование, проектирование, финансирование, строительство, эксплуатация и вывод из эксплуатации) и в его рамках обеспечивать уважение прав конечных пользователей и удовлетворение их потребностей (включая потребности, связанные с гендерной проблематикой, и потребности лиц с инвалидностью, молодежи, коренных народов и других обездоленных и уязвимых групп населения). Выявление экологических и социальных рисков и соответствующие меры по их снижению наиболее эффективны на самых ранних этапах, когда изучение и повторное рассмотрение вариантов является наиболее </w:t>
      </w:r>
      <w:proofErr w:type="spellStart"/>
      <w:r w:rsidRPr="00116A02">
        <w:t>затратоэффективным</w:t>
      </w:r>
      <w:proofErr w:type="spellEnd"/>
      <w:r w:rsidRPr="00116A02">
        <w:t xml:space="preserve"> и технически и политически осуществимым. Участие общественности на ранних этапах помогает выявить как можно больше потенциальных рисков и последствий и избежать конфликта на более поздних этапах цикла развития.  </w:t>
      </w:r>
    </w:p>
    <w:p w14:paraId="6270ECB1" w14:textId="2A9B780E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spacing w:val="-3"/>
          <w:shd w:val="clear" w:color="auto" w:fill="FFFFFF"/>
        </w:rPr>
      </w:pPr>
      <w:bookmarkStart w:id="8" w:name="_Hlk56423918"/>
      <w:r w:rsidRPr="00116A02">
        <w:t>27.</w:t>
      </w:r>
      <w:r w:rsidRPr="00116A02">
        <w:tab/>
        <w:t xml:space="preserve">Мы встревожены серьезной ситуацией, связанной с преследованиями и притеснениями защитников окружающей среды в регионе ЕЭК и за его пределами, что зачастую связано с развитием инфраструктуры. Мы признаем существующие проблемы, такие как боязнь сообщать о подобных случаях, безнаказанность и трудности с раскрытием личности тех, кто стоит за отдачей приказов и совершением таких актов. Мы признаем, что это оказывает сдерживающее воздействие на участие </w:t>
      </w:r>
      <w:r w:rsidRPr="00116A02">
        <w:lastRenderedPageBreak/>
        <w:t xml:space="preserve">общественности и препятствует доступу к правосудию по вопросам, касающимся окружающей среды, идя вразрез с целями Конвенции. Мы обязуемся создавать и поддерживать безопасные и благоприятные условия, обеспечивающие защиту представителей общественности и позволяющие им в полной мере осуществлять свои права в соответствии с </w:t>
      </w:r>
      <w:proofErr w:type="spellStart"/>
      <w:r w:rsidRPr="00116A02">
        <w:t>Орхусской</w:t>
      </w:r>
      <w:proofErr w:type="spellEnd"/>
      <w:r w:rsidRPr="00116A02">
        <w:t xml:space="preserve"> конвенцией и Протоколом к ней. [Мы приветствуем решение о создании механизма быстрого реагирования для рассмотрения дел, связанных с пунктом 8 статьи 3 Конвенции, и обязуемся оказывать ему эффективную поддержку.]</w:t>
      </w:r>
      <w:bookmarkEnd w:id="8"/>
    </w:p>
    <w:p w14:paraId="21352B47" w14:textId="77777777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</w:pPr>
      <w:r w:rsidRPr="00116A02">
        <w:t>28.</w:t>
      </w:r>
      <w:r w:rsidRPr="00116A02">
        <w:tab/>
        <w:t xml:space="preserve">Мы признаем, что пандемия стала серьезным испытанием для осуществления прав общественности. Мы подчеркиваем, что в таких обстоятельствах крайне важно не только поддерживать, но и укреплять осуществление прав, провозглашенных в </w:t>
      </w:r>
      <w:proofErr w:type="spellStart"/>
      <w:r w:rsidRPr="00116A02">
        <w:t>Орхусской</w:t>
      </w:r>
      <w:proofErr w:type="spellEnd"/>
      <w:r w:rsidRPr="00116A02">
        <w:t xml:space="preserve"> конвенции и Протоколе к ней. Эти права являются краеугольными камнями экологической демократии и имеют решающее значение для защиты права каждого человека нынешнего и будущих поколений на жизнь в условиях, отвечающих интересам его здоровья и благополучия. Они поддерживают управляемость и подотчетность и способствуют более эффективному принятию решений по экологическим вопросам. Они поощряют инновационные решения и облегчают учет ключевых местных знаний. Кроме того, они формируют общественный консенсус по экологическим вопросам и обеспечивают заинтересованность общественности в используемых подходах и решениях, что также ведет к повышению социальной сплоченности и укреплению общин. Более того, они способствуют укреплению доверия к решениям властей. Кроме того, поддержание сильной экологической демократии и учет экологических проблем при разработке восстановительных мер поможет нам проложить путь к устойчивому, экологически жизнеспособному, социально приемлемому и здоровому экономическому развитию.</w:t>
      </w:r>
    </w:p>
    <w:p w14:paraId="0FCA08A1" w14:textId="77777777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</w:pPr>
      <w:r w:rsidRPr="00116A02">
        <w:t>29.</w:t>
      </w:r>
      <w:r w:rsidRPr="00116A02">
        <w:tab/>
        <w:t xml:space="preserve">Мы подтверждаем нашу приверженность оказанию поддержки обучению и укреплению потенциала органов власти, общин и общественности в целях расширения их возможностей в плане полной реализации прав, закрепленных в Конвенции и Протоколе. В случаях, когда имеющийся потенциал является ограниченным, мы обязуемся укреплять местные органы власти и обеспечивать, чтобы лица и группы лиц, находящиеся в уязвимом положении, и общины могли участвовать в принятии решений, которые влияют на их жизнь и благополучие. Мы признаем важное значение организаций-партнеров в деле укрепления потенциала для осуществления Конвенции и Протокола к ней на национальном и местном уровнях и в деле поощрения субрегионального сотрудничества. Мы отмечаем, что создание национальных учреждений или механизма омбудсмена для защиты интересов будущих поколений является особенно полезным для оказания помощи Сторонам в обеспечении соблюдения Конвенции. Эффективное участие гражданского общества, в том числе НПО, научных кругов, коренных народов, местных общин, представителей будущих поколений и других заинтересованных сторон, значительно укрепляет и дополняет способность правительств решать эти проблемы. Эти заинтересованные субъекты также играют ключевую роль в обеспечении подотчетности правительств. Следовательно, крайне важное значение по-прежнему имеют доступ к информации и диалог с заинтересованными субъектами. Кроме того, следует в максимально возможной степени использовать все существующие инструменты для поощрения партнерства и мобилизации необходимых действий со стороны всех заинтересованных субъектов, включая научное инновационное сообщество и частный сектор, а также «гражданскую науку». </w:t>
      </w:r>
    </w:p>
    <w:p w14:paraId="54B9C70D" w14:textId="77777777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</w:pPr>
      <w:r w:rsidRPr="00116A02">
        <w:t>30.</w:t>
      </w:r>
      <w:r w:rsidRPr="00116A02">
        <w:tab/>
        <w:t xml:space="preserve">Мы призываем интегрировать </w:t>
      </w:r>
      <w:proofErr w:type="spellStart"/>
      <w:r w:rsidRPr="00116A02">
        <w:t>Орхусскую</w:t>
      </w:r>
      <w:proofErr w:type="spellEnd"/>
      <w:r w:rsidRPr="00116A02">
        <w:t xml:space="preserve"> конвенцию и Протокол к ней в программы помощи в целях развития и технического сотрудничества, поддерживая их осуществление через Рамочную программу Организации Объединенных Наций по сотрудничеству в области устойчивого развития и укрепляя подход, основанный на обеспечении взаимосвязи между окружающей средой, правами человека и благим управлением.</w:t>
      </w:r>
    </w:p>
    <w:p w14:paraId="76163142" w14:textId="6BEE2359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</w:pPr>
      <w:r w:rsidRPr="00116A02">
        <w:t>31.</w:t>
      </w:r>
      <w:r w:rsidRPr="00116A02">
        <w:tab/>
        <w:t xml:space="preserve">Мы с удовлетворением отмечаем, что </w:t>
      </w:r>
      <w:proofErr w:type="spellStart"/>
      <w:r w:rsidRPr="00116A02">
        <w:t>Орхусская</w:t>
      </w:r>
      <w:proofErr w:type="spellEnd"/>
      <w:r w:rsidRPr="00116A02">
        <w:t xml:space="preserve"> конвенция и Протокол к ней продолжают играть ведущую роль и вдохновлять на действия в области поощрения демократии и верховенства права в экологических вопросах во всем мире. </w:t>
      </w:r>
      <w:r w:rsidRPr="00116A02">
        <w:lastRenderedPageBreak/>
        <w:t>Они</w:t>
      </w:r>
      <w:r w:rsidR="00934BC1">
        <w:rPr>
          <w:lang w:val="en-US"/>
        </w:rPr>
        <w:t> </w:t>
      </w:r>
      <w:r w:rsidRPr="00116A02">
        <w:t>обеспечивают прочную правовую основу для поощрения прав человека, связанных с пользованием безопасной, чистой, здоровой и устойчивой окружающей средой, и</w:t>
      </w:r>
      <w:r w:rsidR="00257E26" w:rsidRPr="00257E26">
        <w:t xml:space="preserve"> </w:t>
      </w:r>
      <w:r w:rsidRPr="00116A02">
        <w:t>стимулируют развитие национального законодательства и практики в направлении создания единого свода международных стандартов, приводя к позитивным изменениям, которые в противном случае были бы невозможны. В этом отношении важное значение имеет эффективное предоставление информации о продуктах, помогающей потребителям и поставщикам делать осознанный выбор в плане своего здоровья и окружающей среды, в том числе в отношении жизненного цикла продуктов и устойчивости</w:t>
      </w:r>
      <w:r w:rsidRPr="00116A02">
        <w:rPr>
          <w:sz w:val="18"/>
          <w:vertAlign w:val="superscript"/>
        </w:rPr>
        <w:footnoteReference w:id="16"/>
      </w:r>
      <w:r w:rsidRPr="00116A02">
        <w:t xml:space="preserve">. Кроме того, в условиях господства глобальных производственно-сбытовых цепочек соблюдение таких стандартов в области регистров выбросов и переноса загрязнителей может содействовать сокращению выбросов и переноса загрязнителей во всем мире. </w:t>
      </w:r>
    </w:p>
    <w:p w14:paraId="4C6CB4A0" w14:textId="77777777" w:rsidR="00E67BD9" w:rsidRPr="00116A02" w:rsidRDefault="00E67BD9" w:rsidP="00E67BD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</w:pPr>
      <w:r w:rsidRPr="00116A02">
        <w:t>32.</w:t>
      </w:r>
      <w:r w:rsidRPr="00116A02">
        <w:tab/>
        <w:t xml:space="preserve">Мы [приветствуем присоединение Гвинеи-Бисау к </w:t>
      </w:r>
      <w:proofErr w:type="spellStart"/>
      <w:r w:rsidRPr="00116A02">
        <w:t>Орхусской</w:t>
      </w:r>
      <w:proofErr w:type="spellEnd"/>
      <w:r w:rsidRPr="00116A02">
        <w:t xml:space="preserve"> конвенции и] вновь предлагаем заинтересованным государствам присоединиться к Конвенции и Протоколу к ней и применять в ожидании этого их положения, и мы готовы делиться своим опытом и знаниями в этом отношении и облегчать присоединение.</w:t>
      </w:r>
    </w:p>
    <w:p w14:paraId="45BB4759" w14:textId="1FD12C53" w:rsidR="00E12C5F" w:rsidRPr="008D53B6" w:rsidRDefault="00E67BD9" w:rsidP="00E67BD9">
      <w:pPr>
        <w:tabs>
          <w:tab w:val="left" w:pos="1701"/>
          <w:tab w:val="left" w:pos="2268"/>
          <w:tab w:val="left" w:pos="2835"/>
        </w:tabs>
        <w:spacing w:before="240"/>
        <w:ind w:left="1134" w:right="1134"/>
        <w:jc w:val="center"/>
      </w:pPr>
      <w:r w:rsidRPr="00116A02">
        <w:rPr>
          <w:u w:val="single"/>
        </w:rPr>
        <w:tab/>
      </w:r>
      <w:r w:rsidRPr="00116A02">
        <w:rPr>
          <w:u w:val="single"/>
        </w:rPr>
        <w:tab/>
      </w:r>
      <w:r w:rsidRPr="00116A02">
        <w:rPr>
          <w:u w:val="single"/>
        </w:rPr>
        <w:tab/>
      </w:r>
    </w:p>
    <w:sectPr w:rsidR="00E12C5F" w:rsidRPr="008D53B6" w:rsidSect="00272C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05DB2" w14:textId="77777777" w:rsidR="00590423" w:rsidRPr="00A312BC" w:rsidRDefault="00590423" w:rsidP="00A312BC"/>
  </w:endnote>
  <w:endnote w:type="continuationSeparator" w:id="0">
    <w:p w14:paraId="09AF1AC7" w14:textId="77777777" w:rsidR="00590423" w:rsidRPr="00A312BC" w:rsidRDefault="00590423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A6BE4" w14:textId="0ACE006A" w:rsidR="00272C98" w:rsidRPr="00272C98" w:rsidRDefault="00272C98">
    <w:pPr>
      <w:pStyle w:val="a8"/>
    </w:pPr>
    <w:r w:rsidRPr="00272C98">
      <w:rPr>
        <w:b/>
        <w:sz w:val="18"/>
      </w:rPr>
      <w:fldChar w:fldCharType="begin"/>
    </w:r>
    <w:r w:rsidRPr="00272C98">
      <w:rPr>
        <w:b/>
        <w:sz w:val="18"/>
      </w:rPr>
      <w:instrText xml:space="preserve"> PAGE  \* MERGEFORMAT </w:instrText>
    </w:r>
    <w:r w:rsidRPr="00272C98">
      <w:rPr>
        <w:b/>
        <w:sz w:val="18"/>
      </w:rPr>
      <w:fldChar w:fldCharType="separate"/>
    </w:r>
    <w:r w:rsidRPr="00272C98">
      <w:rPr>
        <w:b/>
        <w:noProof/>
        <w:sz w:val="18"/>
      </w:rPr>
      <w:t>2</w:t>
    </w:r>
    <w:r w:rsidRPr="00272C98">
      <w:rPr>
        <w:b/>
        <w:sz w:val="18"/>
      </w:rPr>
      <w:fldChar w:fldCharType="end"/>
    </w:r>
    <w:r>
      <w:rPr>
        <w:b/>
        <w:sz w:val="18"/>
      </w:rPr>
      <w:tab/>
    </w:r>
    <w:r>
      <w:t>GE.21-10277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1AB7C" w14:textId="4C419BBC" w:rsidR="00272C98" w:rsidRPr="00272C98" w:rsidRDefault="00272C98" w:rsidP="00272C98">
    <w:pPr>
      <w:pStyle w:val="a8"/>
      <w:tabs>
        <w:tab w:val="clear" w:pos="9639"/>
        <w:tab w:val="right" w:pos="9638"/>
      </w:tabs>
      <w:rPr>
        <w:b/>
        <w:sz w:val="18"/>
      </w:rPr>
    </w:pPr>
    <w:r>
      <w:t>GE.21-10277</w:t>
    </w:r>
    <w:r>
      <w:tab/>
    </w:r>
    <w:r w:rsidRPr="00272C98">
      <w:rPr>
        <w:b/>
        <w:sz w:val="18"/>
      </w:rPr>
      <w:fldChar w:fldCharType="begin"/>
    </w:r>
    <w:r w:rsidRPr="00272C98">
      <w:rPr>
        <w:b/>
        <w:sz w:val="18"/>
      </w:rPr>
      <w:instrText xml:space="preserve"> PAGE  \* MERGEFORMAT </w:instrText>
    </w:r>
    <w:r w:rsidRPr="00272C98">
      <w:rPr>
        <w:b/>
        <w:sz w:val="18"/>
      </w:rPr>
      <w:fldChar w:fldCharType="separate"/>
    </w:r>
    <w:r w:rsidRPr="00272C98">
      <w:rPr>
        <w:b/>
        <w:noProof/>
        <w:sz w:val="18"/>
      </w:rPr>
      <w:t>3</w:t>
    </w:r>
    <w:r w:rsidRPr="00272C9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50D03" w14:textId="4EB2F084" w:rsidR="00042B72" w:rsidRPr="00272C98" w:rsidRDefault="00272C98" w:rsidP="00272C98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5B22B439" wp14:editId="27DD5D8E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</w:t>
    </w:r>
    <w:proofErr w:type="gramStart"/>
    <w:r>
      <w:t>10277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7B63CF5" wp14:editId="0F3CED5E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561975" cy="5619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110821  110821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61664" w14:textId="77777777" w:rsidR="00590423" w:rsidRPr="001075E9" w:rsidRDefault="00590423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920EE27" w14:textId="77777777" w:rsidR="00590423" w:rsidRDefault="00590423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DF686D4" w14:textId="3B04F340" w:rsidR="00E67BD9" w:rsidRPr="00E46629" w:rsidRDefault="00E67BD9" w:rsidP="00E67BD9">
      <w:pPr>
        <w:pStyle w:val="ad"/>
        <w:rPr>
          <w:lang w:val="en-US"/>
        </w:rPr>
      </w:pPr>
      <w:r>
        <w:tab/>
      </w:r>
      <w:r>
        <w:rPr>
          <w:rStyle w:val="aa"/>
        </w:rPr>
        <w:footnoteRef/>
      </w:r>
      <w:r w:rsidRPr="00E46629">
        <w:rPr>
          <w:lang w:val="en-US"/>
        </w:rPr>
        <w:tab/>
        <w:t>ECE/</w:t>
      </w:r>
      <w:proofErr w:type="gramStart"/>
      <w:r w:rsidRPr="00E46629">
        <w:rPr>
          <w:lang w:val="en-US"/>
        </w:rPr>
        <w:t>MP.PP</w:t>
      </w:r>
      <w:proofErr w:type="gramEnd"/>
      <w:r w:rsidRPr="00E46629">
        <w:rPr>
          <w:lang w:val="en-US"/>
        </w:rPr>
        <w:t xml:space="preserve">/C.1/2020/5/Add.1 </w:t>
      </w:r>
      <w:r>
        <w:t>и</w:t>
      </w:r>
      <w:r w:rsidRPr="00E46629">
        <w:rPr>
          <w:lang w:val="en-US"/>
        </w:rPr>
        <w:t xml:space="preserve"> ECE/MP.PP/C.1/2021/6.</w:t>
      </w:r>
    </w:p>
  </w:footnote>
  <w:footnote w:id="2">
    <w:p w14:paraId="759F74B7" w14:textId="77777777" w:rsidR="00E67BD9" w:rsidRPr="00116A02" w:rsidRDefault="00E67BD9" w:rsidP="00E67BD9">
      <w:pPr>
        <w:pStyle w:val="ad"/>
        <w:rPr>
          <w:rStyle w:val="af1"/>
          <w:color w:val="000000"/>
        </w:rPr>
      </w:pPr>
      <w:r w:rsidRPr="00E67BD9">
        <w:rPr>
          <w:lang w:val="en-US"/>
        </w:rPr>
        <w:tab/>
      </w:r>
      <w:r w:rsidRPr="00010F1A">
        <w:rPr>
          <w:vertAlign w:val="superscript"/>
        </w:rPr>
        <w:footnoteRef/>
      </w:r>
      <w:r w:rsidRPr="00116A02">
        <w:tab/>
        <w:t xml:space="preserve">«Городское и территориально-пространственное планирование представляет собой один из основных компонентов обновленной парадигмы городского управления, который поощряет демократию, участие и </w:t>
      </w:r>
      <w:proofErr w:type="spellStart"/>
      <w:r w:rsidRPr="00116A02">
        <w:t>инклюзивность</w:t>
      </w:r>
      <w:proofErr w:type="spellEnd"/>
      <w:r w:rsidRPr="00116A02">
        <w:t>, прозрачность и подотчетность на местном уровне в целях обеспечения устойчивого городского развития и качества территории». См. Программа Организации Объединенных Наций по населенным пунктам (ООН-</w:t>
      </w:r>
      <w:proofErr w:type="spellStart"/>
      <w:r w:rsidRPr="00116A02">
        <w:t>Хабитат</w:t>
      </w:r>
      <w:proofErr w:type="spellEnd"/>
      <w:r w:rsidRPr="00116A02">
        <w:t xml:space="preserve">), </w:t>
      </w:r>
      <w:r w:rsidRPr="00116A02">
        <w:rPr>
          <w:i/>
          <w:iCs/>
        </w:rPr>
        <w:t xml:space="preserve">Международные руководящие принципы городского и территориального планирования </w:t>
      </w:r>
      <w:r w:rsidRPr="00116A02">
        <w:t xml:space="preserve">(2015 год, Найроби), стр. 8. </w:t>
      </w:r>
    </w:p>
  </w:footnote>
  <w:footnote w:id="3">
    <w:p w14:paraId="014D860C" w14:textId="77777777" w:rsidR="00E67BD9" w:rsidRPr="00116A02" w:rsidRDefault="00E67BD9" w:rsidP="00E67BD9">
      <w:pPr>
        <w:pStyle w:val="ad"/>
      </w:pPr>
      <w:r w:rsidRPr="00116A02">
        <w:tab/>
      </w:r>
      <w:r>
        <w:rPr>
          <w:rStyle w:val="aa"/>
        </w:rPr>
        <w:footnoteRef/>
      </w:r>
      <w:r w:rsidRPr="00116A02">
        <w:tab/>
        <w:t>Резолюция 70/1 Генеральной Ассамблеи «Преобразование нашего мира: Повестка дня в области устойчивого развития на период до 2030 года» (</w:t>
      </w:r>
      <w:r>
        <w:t>A</w:t>
      </w:r>
      <w:r w:rsidRPr="00116A02">
        <w:t>/</w:t>
      </w:r>
      <w:r>
        <w:t>RES</w:t>
      </w:r>
      <w:r w:rsidRPr="00116A02">
        <w:t>/70/1).</w:t>
      </w:r>
    </w:p>
  </w:footnote>
  <w:footnote w:id="4">
    <w:p w14:paraId="161C2DB0" w14:textId="77777777" w:rsidR="00E67BD9" w:rsidRPr="00116A02" w:rsidRDefault="00E67BD9" w:rsidP="00E67BD9">
      <w:pPr>
        <w:pStyle w:val="ad"/>
      </w:pPr>
      <w:r w:rsidRPr="00116A02">
        <w:tab/>
      </w:r>
      <w:r>
        <w:rPr>
          <w:rStyle w:val="aa"/>
        </w:rPr>
        <w:footnoteRef/>
      </w:r>
      <w:r w:rsidRPr="00116A02">
        <w:tab/>
      </w:r>
      <w:r>
        <w:t>UNEP</w:t>
      </w:r>
      <w:r w:rsidRPr="00116A02">
        <w:t>/</w:t>
      </w:r>
      <w:r>
        <w:t>EA</w:t>
      </w:r>
      <w:r w:rsidRPr="00116A02">
        <w:t>.4/</w:t>
      </w:r>
      <w:r>
        <w:t>Res</w:t>
      </w:r>
      <w:r w:rsidRPr="00116A02">
        <w:t>.5.</w:t>
      </w:r>
    </w:p>
  </w:footnote>
  <w:footnote w:id="5">
    <w:p w14:paraId="52117CAC" w14:textId="77777777" w:rsidR="00E67BD9" w:rsidRPr="00116A02" w:rsidRDefault="00E67BD9" w:rsidP="00E67BD9">
      <w:pPr>
        <w:pStyle w:val="ad"/>
      </w:pPr>
      <w:r w:rsidRPr="00116A02">
        <w:tab/>
      </w:r>
      <w:r>
        <w:rPr>
          <w:rStyle w:val="aa"/>
        </w:rPr>
        <w:footnoteRef/>
      </w:r>
      <w:r w:rsidRPr="00116A02">
        <w:tab/>
      </w:r>
      <w:r>
        <w:t>UNEP</w:t>
      </w:r>
      <w:r w:rsidRPr="00116A02">
        <w:t>/</w:t>
      </w:r>
      <w:r>
        <w:t>EA</w:t>
      </w:r>
      <w:r w:rsidRPr="00116A02">
        <w:t>.4/</w:t>
      </w:r>
      <w:r>
        <w:t>Res</w:t>
      </w:r>
      <w:r w:rsidRPr="00116A02">
        <w:t>.19.</w:t>
      </w:r>
    </w:p>
  </w:footnote>
  <w:footnote w:id="6">
    <w:p w14:paraId="03E8BF9F" w14:textId="550E6855" w:rsidR="00E67BD9" w:rsidRPr="00116A02" w:rsidRDefault="00E67BD9" w:rsidP="00E67BD9">
      <w:pPr>
        <w:pStyle w:val="ad"/>
      </w:pPr>
      <w:r w:rsidRPr="00116A02">
        <w:tab/>
      </w:r>
      <w:r w:rsidRPr="00A528D1">
        <w:rPr>
          <w:vertAlign w:val="superscript"/>
        </w:rPr>
        <w:footnoteRef/>
      </w:r>
      <w:r w:rsidRPr="00116A02">
        <w:tab/>
        <w:t>Резолюция 71/256 Генеральной Ассамблеи о Новой программе развития городов (</w:t>
      </w:r>
      <w:r>
        <w:t>A</w:t>
      </w:r>
      <w:r w:rsidRPr="00116A02">
        <w:t>/</w:t>
      </w:r>
      <w:r>
        <w:t>RES</w:t>
      </w:r>
      <w:r w:rsidRPr="00116A02">
        <w:t xml:space="preserve">/71/256); и </w:t>
      </w:r>
      <w:r>
        <w:t>A</w:t>
      </w:r>
      <w:r w:rsidRPr="00116A02">
        <w:t>/</w:t>
      </w:r>
      <w:r>
        <w:t>CONF</w:t>
      </w:r>
      <w:r w:rsidRPr="00116A02">
        <w:t>.226/4, приложение. Дополнительную информацию можно найти по</w:t>
      </w:r>
      <w:r>
        <w:rPr>
          <w:lang w:val="en-US"/>
        </w:rPr>
        <w:t> </w:t>
      </w:r>
      <w:r w:rsidRPr="00116A02">
        <w:t xml:space="preserve">адресу </w:t>
      </w:r>
      <w:hyperlink r:id="rId1" w:history="1">
        <w:r w:rsidRPr="00F83541">
          <w:rPr>
            <w:rStyle w:val="af1"/>
          </w:rPr>
          <w:t>http</w:t>
        </w:r>
        <w:r w:rsidRPr="00116A02">
          <w:rPr>
            <w:rStyle w:val="af1"/>
          </w:rPr>
          <w:t>://</w:t>
        </w:r>
        <w:r w:rsidRPr="00F83541">
          <w:rPr>
            <w:rStyle w:val="af1"/>
          </w:rPr>
          <w:t>habitat</w:t>
        </w:r>
        <w:r w:rsidRPr="00116A02">
          <w:rPr>
            <w:rStyle w:val="af1"/>
          </w:rPr>
          <w:t>3.</w:t>
        </w:r>
        <w:r w:rsidRPr="00F83541">
          <w:rPr>
            <w:rStyle w:val="af1"/>
          </w:rPr>
          <w:t>org</w:t>
        </w:r>
        <w:r w:rsidRPr="00116A02">
          <w:rPr>
            <w:rStyle w:val="af1"/>
          </w:rPr>
          <w:t>/</w:t>
        </w:r>
        <w:r w:rsidRPr="00F83541">
          <w:rPr>
            <w:rStyle w:val="af1"/>
          </w:rPr>
          <w:t>the</w:t>
        </w:r>
        <w:r w:rsidRPr="00116A02">
          <w:rPr>
            <w:rStyle w:val="af1"/>
          </w:rPr>
          <w:t>-</w:t>
        </w:r>
        <w:r w:rsidRPr="00F83541">
          <w:rPr>
            <w:rStyle w:val="af1"/>
          </w:rPr>
          <w:t>new</w:t>
        </w:r>
        <w:r w:rsidRPr="00116A02">
          <w:rPr>
            <w:rStyle w:val="af1"/>
          </w:rPr>
          <w:t>-</w:t>
        </w:r>
        <w:r w:rsidRPr="00F83541">
          <w:rPr>
            <w:rStyle w:val="af1"/>
          </w:rPr>
          <w:t>urban</w:t>
        </w:r>
        <w:r w:rsidRPr="00116A02">
          <w:rPr>
            <w:rStyle w:val="af1"/>
          </w:rPr>
          <w:t>-</w:t>
        </w:r>
        <w:r w:rsidRPr="00F83541">
          <w:rPr>
            <w:rStyle w:val="af1"/>
          </w:rPr>
          <w:t>agenda</w:t>
        </w:r>
        <w:r w:rsidRPr="00116A02">
          <w:rPr>
            <w:rStyle w:val="af1"/>
          </w:rPr>
          <w:t>/</w:t>
        </w:r>
      </w:hyperlink>
      <w:r w:rsidRPr="00116A02">
        <w:t>.</w:t>
      </w:r>
    </w:p>
  </w:footnote>
  <w:footnote w:id="7">
    <w:p w14:paraId="130BEC90" w14:textId="77777777" w:rsidR="00E67BD9" w:rsidRPr="00E46629" w:rsidRDefault="00E67BD9" w:rsidP="00E67BD9">
      <w:pPr>
        <w:pStyle w:val="ad"/>
        <w:rPr>
          <w:lang w:val="en-US"/>
        </w:rPr>
      </w:pPr>
      <w:r w:rsidRPr="00116A02">
        <w:tab/>
      </w:r>
      <w:r>
        <w:rPr>
          <w:rStyle w:val="aa"/>
        </w:rPr>
        <w:footnoteRef/>
      </w:r>
      <w:r w:rsidRPr="00E46629">
        <w:rPr>
          <w:lang w:val="en-US"/>
        </w:rPr>
        <w:tab/>
      </w:r>
      <w:r w:rsidRPr="007601D5">
        <w:rPr>
          <w:lang w:val="en-US"/>
        </w:rPr>
        <w:t>A</w:t>
      </w:r>
      <w:r w:rsidRPr="00E46629">
        <w:rPr>
          <w:lang w:val="en-US"/>
        </w:rPr>
        <w:t>/</w:t>
      </w:r>
      <w:r w:rsidRPr="007601D5">
        <w:rPr>
          <w:lang w:val="en-US"/>
        </w:rPr>
        <w:t>HRC</w:t>
      </w:r>
      <w:r w:rsidRPr="00E46629">
        <w:rPr>
          <w:lang w:val="en-US"/>
        </w:rPr>
        <w:t>/</w:t>
      </w:r>
      <w:r w:rsidRPr="007601D5">
        <w:rPr>
          <w:lang w:val="en-US"/>
        </w:rPr>
        <w:t>RES</w:t>
      </w:r>
      <w:r w:rsidRPr="00E46629">
        <w:rPr>
          <w:lang w:val="en-US"/>
        </w:rPr>
        <w:t>/37/8.</w:t>
      </w:r>
    </w:p>
  </w:footnote>
  <w:footnote w:id="8">
    <w:p w14:paraId="4B7F13D3" w14:textId="77777777" w:rsidR="00E67BD9" w:rsidRPr="00E46629" w:rsidRDefault="00E67BD9" w:rsidP="00E67BD9">
      <w:pPr>
        <w:pStyle w:val="ad"/>
        <w:rPr>
          <w:lang w:val="en-US"/>
        </w:rPr>
      </w:pPr>
      <w:r w:rsidRPr="00E46629">
        <w:rPr>
          <w:lang w:val="en-US"/>
        </w:rPr>
        <w:tab/>
      </w:r>
      <w:r>
        <w:rPr>
          <w:rStyle w:val="aa"/>
        </w:rPr>
        <w:footnoteRef/>
      </w:r>
      <w:r w:rsidRPr="00E46629">
        <w:rPr>
          <w:lang w:val="en-US"/>
        </w:rPr>
        <w:tab/>
      </w:r>
      <w:r w:rsidRPr="007601D5">
        <w:rPr>
          <w:lang w:val="en-US"/>
        </w:rPr>
        <w:t>A</w:t>
      </w:r>
      <w:r w:rsidRPr="00E46629">
        <w:rPr>
          <w:lang w:val="en-US"/>
        </w:rPr>
        <w:t>/</w:t>
      </w:r>
      <w:r w:rsidRPr="007601D5">
        <w:rPr>
          <w:lang w:val="en-US"/>
        </w:rPr>
        <w:t>HRC</w:t>
      </w:r>
      <w:r w:rsidRPr="00E46629">
        <w:rPr>
          <w:lang w:val="en-US"/>
        </w:rPr>
        <w:t>/</w:t>
      </w:r>
      <w:r w:rsidRPr="007601D5">
        <w:rPr>
          <w:lang w:val="en-US"/>
        </w:rPr>
        <w:t>RES</w:t>
      </w:r>
      <w:r w:rsidRPr="00E46629">
        <w:rPr>
          <w:lang w:val="en-US"/>
        </w:rPr>
        <w:t>/40/11.</w:t>
      </w:r>
    </w:p>
  </w:footnote>
  <w:footnote w:id="9">
    <w:p w14:paraId="65285261" w14:textId="77777777" w:rsidR="00E67BD9" w:rsidRPr="00E46629" w:rsidRDefault="00E67BD9" w:rsidP="00E67BD9">
      <w:pPr>
        <w:pStyle w:val="ad"/>
        <w:rPr>
          <w:lang w:val="en-US"/>
        </w:rPr>
      </w:pPr>
      <w:r w:rsidRPr="00E46629">
        <w:rPr>
          <w:lang w:val="en-US"/>
        </w:rPr>
        <w:tab/>
      </w:r>
      <w:r>
        <w:rPr>
          <w:rStyle w:val="aa"/>
        </w:rPr>
        <w:footnoteRef/>
      </w:r>
      <w:r w:rsidRPr="00E46629">
        <w:rPr>
          <w:lang w:val="en-US"/>
        </w:rPr>
        <w:tab/>
      </w:r>
      <w:r w:rsidRPr="007601D5">
        <w:rPr>
          <w:lang w:val="en-US"/>
        </w:rPr>
        <w:t>A</w:t>
      </w:r>
      <w:r w:rsidRPr="00E46629">
        <w:rPr>
          <w:lang w:val="en-US"/>
        </w:rPr>
        <w:t>/</w:t>
      </w:r>
      <w:r w:rsidRPr="007601D5">
        <w:rPr>
          <w:lang w:val="en-US"/>
        </w:rPr>
        <w:t>HRC</w:t>
      </w:r>
      <w:r w:rsidRPr="00E46629">
        <w:rPr>
          <w:lang w:val="en-US"/>
        </w:rPr>
        <w:t>/</w:t>
      </w:r>
      <w:r w:rsidRPr="007601D5">
        <w:rPr>
          <w:lang w:val="en-US"/>
        </w:rPr>
        <w:t>RES</w:t>
      </w:r>
      <w:r w:rsidRPr="00E46629">
        <w:rPr>
          <w:lang w:val="en-US"/>
        </w:rPr>
        <w:t>/42/21.</w:t>
      </w:r>
    </w:p>
  </w:footnote>
  <w:footnote w:id="10">
    <w:p w14:paraId="56ED2D14" w14:textId="77777777" w:rsidR="00E67BD9" w:rsidRPr="00E46629" w:rsidRDefault="00E67BD9" w:rsidP="00E67BD9">
      <w:pPr>
        <w:pStyle w:val="ad"/>
        <w:rPr>
          <w:lang w:val="en-US"/>
        </w:rPr>
      </w:pPr>
      <w:r w:rsidRPr="00E46629">
        <w:rPr>
          <w:lang w:val="en-US"/>
        </w:rPr>
        <w:tab/>
      </w:r>
      <w:r>
        <w:rPr>
          <w:rStyle w:val="aa"/>
        </w:rPr>
        <w:footnoteRef/>
      </w:r>
      <w:r w:rsidRPr="00E46629">
        <w:rPr>
          <w:lang w:val="en-US"/>
        </w:rPr>
        <w:tab/>
      </w:r>
      <w:r w:rsidRPr="007601D5">
        <w:rPr>
          <w:lang w:val="en-US"/>
        </w:rPr>
        <w:t>A</w:t>
      </w:r>
      <w:r w:rsidRPr="00E46629">
        <w:rPr>
          <w:lang w:val="en-US"/>
        </w:rPr>
        <w:t>/73/188.</w:t>
      </w:r>
    </w:p>
  </w:footnote>
  <w:footnote w:id="11">
    <w:p w14:paraId="63E729F0" w14:textId="77777777" w:rsidR="00E67BD9" w:rsidRPr="00E46629" w:rsidRDefault="00E67BD9" w:rsidP="00E67BD9">
      <w:pPr>
        <w:pStyle w:val="ad"/>
        <w:rPr>
          <w:lang w:val="en-US"/>
        </w:rPr>
      </w:pPr>
      <w:r w:rsidRPr="00E46629">
        <w:rPr>
          <w:lang w:val="en-US"/>
        </w:rPr>
        <w:tab/>
      </w:r>
      <w:r>
        <w:rPr>
          <w:rStyle w:val="aa"/>
        </w:rPr>
        <w:footnoteRef/>
      </w:r>
      <w:r w:rsidRPr="00E46629">
        <w:rPr>
          <w:lang w:val="en-US"/>
        </w:rPr>
        <w:tab/>
      </w:r>
      <w:r w:rsidRPr="007601D5">
        <w:rPr>
          <w:lang w:val="en-US"/>
        </w:rPr>
        <w:t>A</w:t>
      </w:r>
      <w:r w:rsidRPr="00E46629">
        <w:rPr>
          <w:lang w:val="en-US"/>
        </w:rPr>
        <w:t>/</w:t>
      </w:r>
      <w:r w:rsidRPr="007601D5">
        <w:rPr>
          <w:lang w:val="en-US"/>
        </w:rPr>
        <w:t>HRC</w:t>
      </w:r>
      <w:r w:rsidRPr="00E46629">
        <w:rPr>
          <w:lang w:val="en-US"/>
        </w:rPr>
        <w:t>/</w:t>
      </w:r>
      <w:r w:rsidRPr="00E67BD9">
        <w:rPr>
          <w:rStyle w:val="aa"/>
          <w:vertAlign w:val="baseline"/>
          <w:lang w:val="en-US"/>
        </w:rPr>
        <w:t>RES</w:t>
      </w:r>
      <w:r w:rsidRPr="00E67BD9">
        <w:rPr>
          <w:lang w:val="en-US"/>
        </w:rPr>
        <w:t>/</w:t>
      </w:r>
      <w:r w:rsidRPr="00E46629">
        <w:rPr>
          <w:lang w:val="en-US"/>
        </w:rPr>
        <w:t>26/9.</w:t>
      </w:r>
    </w:p>
  </w:footnote>
  <w:footnote w:id="12">
    <w:p w14:paraId="3640B594" w14:textId="77777777" w:rsidR="00E67BD9" w:rsidRPr="00116A02" w:rsidRDefault="00E67BD9" w:rsidP="00E67BD9">
      <w:pPr>
        <w:pStyle w:val="ad"/>
      </w:pPr>
      <w:r w:rsidRPr="00E46629">
        <w:rPr>
          <w:sz w:val="16"/>
          <w:szCs w:val="16"/>
          <w:vertAlign w:val="superscript"/>
          <w:lang w:val="en-US"/>
        </w:rPr>
        <w:tab/>
      </w:r>
      <w:r w:rsidRPr="00A528D1">
        <w:rPr>
          <w:sz w:val="16"/>
          <w:szCs w:val="16"/>
          <w:vertAlign w:val="superscript"/>
        </w:rPr>
        <w:footnoteRef/>
      </w:r>
      <w:r w:rsidRPr="00116A02">
        <w:tab/>
        <w:t xml:space="preserve">В частности, задачи 16.3, 16.7 и 16.10 Целей устойчивого развития. </w:t>
      </w:r>
    </w:p>
  </w:footnote>
  <w:footnote w:id="13">
    <w:p w14:paraId="6B82BCFD" w14:textId="77777777" w:rsidR="00E67BD9" w:rsidRPr="00116A02" w:rsidRDefault="00E67BD9" w:rsidP="00E67BD9">
      <w:pPr>
        <w:pStyle w:val="ad"/>
      </w:pPr>
      <w:r w:rsidRPr="00116A02">
        <w:tab/>
      </w:r>
      <w:r>
        <w:rPr>
          <w:rStyle w:val="aa"/>
        </w:rPr>
        <w:footnoteRef/>
      </w:r>
      <w:r w:rsidRPr="00116A02">
        <w:tab/>
        <w:t>«Городское и территориально-пространственное планирование представляет собой важнейшую инвестицию в будущее. Оно является залогом повышения качества жизни и успешного осуществления процессов глобализации, в рамках которых обеспечивается уважение культурного наследия и культурного разнообразия, а также признание особых потребностей различных групп населения». См. ООН-</w:t>
      </w:r>
      <w:proofErr w:type="spellStart"/>
      <w:r w:rsidRPr="00116A02">
        <w:t>Хабитат</w:t>
      </w:r>
      <w:proofErr w:type="spellEnd"/>
      <w:r w:rsidRPr="00116A02">
        <w:t xml:space="preserve">, </w:t>
      </w:r>
      <w:r w:rsidRPr="00116A02">
        <w:rPr>
          <w:i/>
          <w:iCs/>
        </w:rPr>
        <w:t>Международные руководящие принципы городского и территориального планирования</w:t>
      </w:r>
      <w:r w:rsidRPr="00116A02">
        <w:t>, стр. 14.</w:t>
      </w:r>
    </w:p>
  </w:footnote>
  <w:footnote w:id="14">
    <w:p w14:paraId="11992807" w14:textId="77777777" w:rsidR="00E67BD9" w:rsidRPr="00116A02" w:rsidRDefault="00E67BD9" w:rsidP="00E67BD9">
      <w:pPr>
        <w:pStyle w:val="ad"/>
        <w:rPr>
          <w:szCs w:val="18"/>
        </w:rPr>
      </w:pPr>
      <w:r w:rsidRPr="00116A02">
        <w:rPr>
          <w:szCs w:val="18"/>
        </w:rPr>
        <w:tab/>
      </w:r>
      <w:r w:rsidRPr="00571331">
        <w:rPr>
          <w:rStyle w:val="aa"/>
          <w:szCs w:val="18"/>
        </w:rPr>
        <w:footnoteRef/>
      </w:r>
      <w:r w:rsidRPr="00116A02">
        <w:tab/>
      </w:r>
      <w:proofErr w:type="spellStart"/>
      <w:r w:rsidRPr="00116A02">
        <w:t>Природосберегающие</w:t>
      </w:r>
      <w:proofErr w:type="spellEnd"/>
      <w:r w:rsidRPr="00116A02">
        <w:t xml:space="preserve"> решения, которые определены Международным союзом охраны природы, как действия по защите, устойчивому управлению и восстановлению природных и измененных экосистем, которые содействуют решению социальных задач, обеспечивая благополучие человека и выгоды в плане биоразнообразия. См. </w:t>
      </w:r>
      <w:hyperlink r:id="rId2" w:history="1">
        <w:r w:rsidRPr="00F83541">
          <w:rPr>
            <w:rStyle w:val="af1"/>
          </w:rPr>
          <w:t>www</w:t>
        </w:r>
        <w:r w:rsidRPr="00116A02">
          <w:rPr>
            <w:rStyle w:val="af1"/>
          </w:rPr>
          <w:t>.</w:t>
        </w:r>
        <w:r w:rsidRPr="00F83541">
          <w:rPr>
            <w:rStyle w:val="af1"/>
          </w:rPr>
          <w:t>iucn</w:t>
        </w:r>
        <w:r w:rsidRPr="00116A02">
          <w:rPr>
            <w:rStyle w:val="af1"/>
          </w:rPr>
          <w:t>.</w:t>
        </w:r>
        <w:r w:rsidRPr="00F83541">
          <w:rPr>
            <w:rStyle w:val="af1"/>
          </w:rPr>
          <w:t>org</w:t>
        </w:r>
        <w:r w:rsidRPr="00116A02">
          <w:rPr>
            <w:rStyle w:val="af1"/>
          </w:rPr>
          <w:t>/</w:t>
        </w:r>
        <w:r w:rsidRPr="00F83541">
          <w:rPr>
            <w:rStyle w:val="af1"/>
          </w:rPr>
          <w:t>theme</w:t>
        </w:r>
        <w:r w:rsidRPr="00116A02">
          <w:rPr>
            <w:rStyle w:val="af1"/>
          </w:rPr>
          <w:t>/</w:t>
        </w:r>
        <w:r w:rsidRPr="00F83541">
          <w:rPr>
            <w:rStyle w:val="af1"/>
          </w:rPr>
          <w:t>nature</w:t>
        </w:r>
        <w:r w:rsidRPr="00116A02">
          <w:rPr>
            <w:rStyle w:val="af1"/>
          </w:rPr>
          <w:t>-</w:t>
        </w:r>
        <w:r w:rsidRPr="00F83541">
          <w:rPr>
            <w:rStyle w:val="af1"/>
          </w:rPr>
          <w:t>based</w:t>
        </w:r>
        <w:r w:rsidRPr="00116A02">
          <w:rPr>
            <w:rStyle w:val="af1"/>
          </w:rPr>
          <w:t>-</w:t>
        </w:r>
        <w:r w:rsidRPr="00F83541">
          <w:rPr>
            <w:rStyle w:val="af1"/>
          </w:rPr>
          <w:t>solutions</w:t>
        </w:r>
      </w:hyperlink>
      <w:r w:rsidRPr="00116A02">
        <w:t xml:space="preserve">. </w:t>
      </w:r>
    </w:p>
  </w:footnote>
  <w:footnote w:id="15">
    <w:p w14:paraId="3BA16099" w14:textId="77777777" w:rsidR="00E67BD9" w:rsidRPr="00116A02" w:rsidRDefault="00E67BD9" w:rsidP="00E67BD9">
      <w:pPr>
        <w:pStyle w:val="ad"/>
      </w:pPr>
      <w:r w:rsidRPr="00116A02">
        <w:tab/>
      </w:r>
      <w:r>
        <w:rPr>
          <w:rStyle w:val="aa"/>
        </w:rPr>
        <w:footnoteRef/>
      </w:r>
      <w:r w:rsidRPr="00116A02">
        <w:tab/>
        <w:t>См. задачу 11.</w:t>
      </w:r>
      <w:r>
        <w:t>c</w:t>
      </w:r>
      <w:r w:rsidRPr="00116A02">
        <w:t xml:space="preserve"> Целей в области устойчивого развития. </w:t>
      </w:r>
    </w:p>
  </w:footnote>
  <w:footnote w:id="16">
    <w:p w14:paraId="39038F12" w14:textId="77777777" w:rsidR="00E67BD9" w:rsidRPr="00116A02" w:rsidRDefault="00E67BD9" w:rsidP="00E67BD9">
      <w:pPr>
        <w:pStyle w:val="ad"/>
      </w:pPr>
      <w:r w:rsidRPr="00116A02">
        <w:tab/>
      </w:r>
      <w:r>
        <w:rPr>
          <w:rStyle w:val="aa"/>
        </w:rPr>
        <w:footnoteRef/>
      </w:r>
      <w:r w:rsidRPr="00116A02">
        <w:tab/>
        <w:t xml:space="preserve">См., например, </w:t>
      </w:r>
      <w:hyperlink r:id="rId3" w:history="1">
        <w:r w:rsidRPr="00F83541">
          <w:rPr>
            <w:rStyle w:val="af1"/>
          </w:rPr>
          <w:t>http</w:t>
        </w:r>
        <w:r w:rsidRPr="00116A02">
          <w:rPr>
            <w:rStyle w:val="af1"/>
          </w:rPr>
          <w:t>://</w:t>
        </w:r>
        <w:r w:rsidRPr="00F83541">
          <w:rPr>
            <w:rStyle w:val="af1"/>
          </w:rPr>
          <w:t>wwwen</w:t>
        </w:r>
        <w:r w:rsidRPr="00116A02">
          <w:rPr>
            <w:rStyle w:val="af1"/>
          </w:rPr>
          <w:t>.</w:t>
        </w:r>
        <w:r w:rsidRPr="00F83541">
          <w:rPr>
            <w:rStyle w:val="af1"/>
          </w:rPr>
          <w:t>ipe</w:t>
        </w:r>
        <w:r w:rsidRPr="00116A02">
          <w:rPr>
            <w:rStyle w:val="af1"/>
          </w:rPr>
          <w:t>.</w:t>
        </w:r>
        <w:r w:rsidRPr="00F83541">
          <w:rPr>
            <w:rStyle w:val="af1"/>
          </w:rPr>
          <w:t>org</w:t>
        </w:r>
        <w:r w:rsidRPr="00116A02">
          <w:rPr>
            <w:rStyle w:val="af1"/>
          </w:rPr>
          <w:t>.</w:t>
        </w:r>
        <w:r w:rsidRPr="00F83541">
          <w:rPr>
            <w:rStyle w:val="af1"/>
          </w:rPr>
          <w:t>cn</w:t>
        </w:r>
        <w:r w:rsidRPr="00116A02">
          <w:rPr>
            <w:rStyle w:val="af1"/>
          </w:rPr>
          <w:t>/</w:t>
        </w:r>
        <w:r w:rsidRPr="00F83541">
          <w:rPr>
            <w:rStyle w:val="af1"/>
          </w:rPr>
          <w:t>MapSCMBrand</w:t>
        </w:r>
        <w:r w:rsidRPr="00116A02">
          <w:rPr>
            <w:rStyle w:val="af1"/>
          </w:rPr>
          <w:t>/</w:t>
        </w:r>
        <w:r w:rsidRPr="00F83541">
          <w:rPr>
            <w:rStyle w:val="af1"/>
          </w:rPr>
          <w:t>BrandMap</w:t>
        </w:r>
        <w:r w:rsidRPr="00116A02">
          <w:rPr>
            <w:rStyle w:val="af1"/>
          </w:rPr>
          <w:t>.</w:t>
        </w:r>
        <w:r w:rsidRPr="00F83541">
          <w:rPr>
            <w:rStyle w:val="af1"/>
          </w:rPr>
          <w:t>aspx</w:t>
        </w:r>
        <w:r w:rsidRPr="00116A02">
          <w:rPr>
            <w:rStyle w:val="af1"/>
          </w:rPr>
          <w:t>?</w:t>
        </w:r>
        <w:r w:rsidRPr="00F83541">
          <w:rPr>
            <w:rStyle w:val="af1"/>
          </w:rPr>
          <w:t>q</w:t>
        </w:r>
        <w:r w:rsidRPr="00116A02">
          <w:rPr>
            <w:rStyle w:val="af1"/>
          </w:rPr>
          <w:t>=6</w:t>
        </w:r>
      </w:hyperlink>
      <w:r w:rsidRPr="00116A02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94521" w14:textId="56CA2425" w:rsidR="00272C98" w:rsidRPr="00272C98" w:rsidRDefault="002853A4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</w:t>
    </w:r>
    <w:proofErr w:type="gramStart"/>
    <w:r>
      <w:t>MP.PP</w:t>
    </w:r>
    <w:proofErr w:type="gramEnd"/>
    <w:r>
      <w:t>/2021/17</w:t>
    </w:r>
    <w:r>
      <w:fldChar w:fldCharType="end"/>
    </w:r>
    <w:r w:rsidR="00272C98">
      <w:br/>
    </w:r>
    <w:r>
      <w:fldChar w:fldCharType="begin"/>
    </w:r>
    <w:r>
      <w:instrText xml:space="preserve"> KEYWORDS  \* MERGEFORMAT </w:instrText>
    </w:r>
    <w:r>
      <w:fldChar w:fldCharType="separate"/>
    </w:r>
    <w:r>
      <w:t>ECE/MP.PRTR/2021/3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310D7" w14:textId="6BE18363" w:rsidR="00272C98" w:rsidRPr="00272C98" w:rsidRDefault="002853A4" w:rsidP="00272C98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</w:t>
    </w:r>
    <w:proofErr w:type="gramStart"/>
    <w:r>
      <w:t>MP.PP</w:t>
    </w:r>
    <w:proofErr w:type="gramEnd"/>
    <w:r>
      <w:t>/2021/17</w:t>
    </w:r>
    <w:r>
      <w:fldChar w:fldCharType="end"/>
    </w:r>
    <w:r w:rsidR="00272C98">
      <w:br/>
    </w:r>
    <w:r>
      <w:fldChar w:fldCharType="begin"/>
    </w:r>
    <w:r>
      <w:instrText xml:space="preserve"> KEYWORDS  \* MERGEFORMAT </w:instrText>
    </w:r>
    <w:r>
      <w:fldChar w:fldCharType="separate"/>
    </w:r>
    <w:r>
      <w:t>ECE/MP.PRTR/2021/3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27BBF" w14:textId="77777777" w:rsidR="00272C98" w:rsidRDefault="00272C98" w:rsidP="00272C9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23"/>
    <w:rsid w:val="00033EE1"/>
    <w:rsid w:val="00042B72"/>
    <w:rsid w:val="000558BD"/>
    <w:rsid w:val="000B57E7"/>
    <w:rsid w:val="000B6373"/>
    <w:rsid w:val="000C395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57E26"/>
    <w:rsid w:val="0027151D"/>
    <w:rsid w:val="00272C98"/>
    <w:rsid w:val="002853A4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3F073E"/>
    <w:rsid w:val="00407B78"/>
    <w:rsid w:val="00424203"/>
    <w:rsid w:val="00452493"/>
    <w:rsid w:val="00453318"/>
    <w:rsid w:val="00454AF2"/>
    <w:rsid w:val="00454E07"/>
    <w:rsid w:val="00472C5C"/>
    <w:rsid w:val="00476606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0423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86B12"/>
    <w:rsid w:val="00894693"/>
    <w:rsid w:val="008A08D7"/>
    <w:rsid w:val="008A37C8"/>
    <w:rsid w:val="008B6909"/>
    <w:rsid w:val="008D53B6"/>
    <w:rsid w:val="008F7609"/>
    <w:rsid w:val="00906890"/>
    <w:rsid w:val="00911BE4"/>
    <w:rsid w:val="00934BC1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2D94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67BD9"/>
    <w:rsid w:val="00E73F76"/>
    <w:rsid w:val="00EA2C9F"/>
    <w:rsid w:val="00EA420E"/>
    <w:rsid w:val="00ED0BDA"/>
    <w:rsid w:val="00EE142A"/>
    <w:rsid w:val="00EF1360"/>
    <w:rsid w:val="00EF3220"/>
    <w:rsid w:val="00F2523A"/>
    <w:rsid w:val="00F401D2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E3C8AF"/>
  <w15:docId w15:val="{2901F7E4-2E25-4E38-8E7B-814B0570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Footnote symbol,Footnote reference number,Footnote Reference Superscript,BVI fnr,SUPERS,(Footnote Reference),Footnote,Voetnootverwijzing,Times 10 Point,Exposant 3 Point,note TESI,Odwołanie przypisu,Footnotemark,FR,Ref,E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fn,footnote text,Footnotes,Footnote ak,Tekst przypisu,Fußnote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fn Знак,footnote text Знак,Footnotes Знак,Footnote ak Знак,Tekst przypisu Знак,Fußnote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rsid w:val="00E67BD9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en.ipe.org.cn/MapSCMBrand/BrandMap.aspx?q=6" TargetMode="External"/><Relationship Id="rId2" Type="http://schemas.openxmlformats.org/officeDocument/2006/relationships/hyperlink" Target="http://www.iucn.org/theme/nature-based-solutions" TargetMode="External"/><Relationship Id="rId1" Type="http://schemas.openxmlformats.org/officeDocument/2006/relationships/hyperlink" Target="http://habitat3.org/the-new-urban-agend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3</TotalTime>
  <Pages>10</Pages>
  <Words>3612</Words>
  <Characters>25341</Characters>
  <Application>Microsoft Office Word</Application>
  <DocSecurity>0</DocSecurity>
  <Lines>437</Lines>
  <Paragraphs>62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28934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ECE/MP.PP/2021/17</dc:title>
  <dc:creator>Shuvalova NATALIA</dc:creator>
  <cp:keywords>ECE/MP.PRTR/2021/3</cp:keywords>
  <cp:lastModifiedBy>Natalia Shuvalova</cp:lastModifiedBy>
  <cp:revision>3</cp:revision>
  <cp:lastPrinted>2021-08-11T14:25:00Z</cp:lastPrinted>
  <dcterms:created xsi:type="dcterms:W3CDTF">2021-08-11T14:25:00Z</dcterms:created>
  <dcterms:modified xsi:type="dcterms:W3CDTF">2021-08-11T14:26:00Z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