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DF5712">
        <w:trPr>
          <w:trHeight w:hRule="exact" w:val="851"/>
        </w:trPr>
        <w:tc>
          <w:tcPr>
            <w:tcW w:w="1276" w:type="dxa"/>
            <w:tcBorders>
              <w:bottom w:val="single" w:sz="4" w:space="0" w:color="auto"/>
            </w:tcBorders>
          </w:tcPr>
          <w:p w:rsidR="00A14420" w:rsidRPr="00DB58B5" w:rsidRDefault="00A14420" w:rsidP="001B6338"/>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1B6338" w:rsidP="001B6338">
            <w:pPr>
              <w:jc w:val="right"/>
            </w:pPr>
            <w:r w:rsidRPr="001B6338">
              <w:rPr>
                <w:sz w:val="40"/>
              </w:rPr>
              <w:t>ECE</w:t>
            </w:r>
            <w:r>
              <w:t>/MP.PP/2021/14</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1B6338" w:rsidP="00DF5712">
            <w:pPr>
              <w:spacing w:before="240"/>
            </w:pPr>
            <w:proofErr w:type="spellStart"/>
            <w:r>
              <w:t>Distr</w:t>
            </w:r>
            <w:proofErr w:type="spellEnd"/>
            <w:r>
              <w:t>. générale</w:t>
            </w:r>
          </w:p>
          <w:p w:rsidR="001B6338" w:rsidRDefault="001B6338" w:rsidP="001B6338">
            <w:pPr>
              <w:spacing w:line="240" w:lineRule="exact"/>
            </w:pPr>
            <w:r>
              <w:t>4 août 2021</w:t>
            </w:r>
          </w:p>
          <w:p w:rsidR="001B6338" w:rsidRDefault="001B6338" w:rsidP="001B6338">
            <w:pPr>
              <w:spacing w:line="240" w:lineRule="exact"/>
            </w:pPr>
            <w:r>
              <w:t>Français</w:t>
            </w:r>
          </w:p>
          <w:p w:rsidR="001B6338" w:rsidRPr="00DB58B5" w:rsidRDefault="001B6338" w:rsidP="001B6338">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l’Europe</w:t>
      </w:r>
    </w:p>
    <w:p w:rsidR="001B6338" w:rsidRDefault="001B6338" w:rsidP="00796AE4">
      <w:pPr>
        <w:spacing w:before="120" w:after="120"/>
        <w:rPr>
          <w:sz w:val="28"/>
          <w:szCs w:val="28"/>
        </w:rPr>
      </w:pPr>
      <w:r w:rsidRPr="00750247">
        <w:rPr>
          <w:sz w:val="28"/>
          <w:szCs w:val="28"/>
        </w:rPr>
        <w:t>Réunion des Parties à la Convention sur l’accès</w:t>
      </w:r>
      <w:r>
        <w:rPr>
          <w:sz w:val="28"/>
          <w:szCs w:val="28"/>
        </w:rPr>
        <w:br/>
      </w:r>
      <w:r w:rsidRPr="00750247">
        <w:rPr>
          <w:sz w:val="28"/>
          <w:szCs w:val="28"/>
        </w:rPr>
        <w:t>à l’information,</w:t>
      </w:r>
      <w:r>
        <w:rPr>
          <w:sz w:val="28"/>
          <w:szCs w:val="28"/>
        </w:rPr>
        <w:t xml:space="preserve"> </w:t>
      </w:r>
      <w:r w:rsidRPr="00750247">
        <w:rPr>
          <w:sz w:val="28"/>
          <w:szCs w:val="28"/>
        </w:rPr>
        <w:t>la participation du public</w:t>
      </w:r>
      <w:r>
        <w:rPr>
          <w:sz w:val="28"/>
          <w:szCs w:val="28"/>
        </w:rPr>
        <w:br/>
      </w:r>
      <w:r w:rsidRPr="00750247">
        <w:rPr>
          <w:sz w:val="28"/>
          <w:szCs w:val="28"/>
        </w:rPr>
        <w:t>au processus décisionnel</w:t>
      </w:r>
      <w:r>
        <w:rPr>
          <w:sz w:val="28"/>
          <w:szCs w:val="28"/>
        </w:rPr>
        <w:t xml:space="preserve"> </w:t>
      </w:r>
      <w:r w:rsidRPr="00750247">
        <w:rPr>
          <w:sz w:val="28"/>
          <w:szCs w:val="28"/>
        </w:rPr>
        <w:t>et l’accès à la justice</w:t>
      </w:r>
      <w:r>
        <w:rPr>
          <w:sz w:val="28"/>
          <w:szCs w:val="28"/>
        </w:rPr>
        <w:br/>
      </w:r>
      <w:r w:rsidRPr="00750247">
        <w:rPr>
          <w:sz w:val="28"/>
          <w:szCs w:val="28"/>
        </w:rPr>
        <w:t>en matière d’environnement</w:t>
      </w:r>
    </w:p>
    <w:p w:rsidR="00796AE4" w:rsidRPr="007E59C0" w:rsidRDefault="00796AE4" w:rsidP="00796AE4">
      <w:pPr>
        <w:jc w:val="both"/>
        <w:rPr>
          <w:rFonts w:eastAsia="Times New Roman"/>
          <w:b/>
          <w:bCs/>
          <w:lang w:eastAsia="fr-FR"/>
        </w:rPr>
      </w:pPr>
      <w:r w:rsidRPr="007E59C0">
        <w:rPr>
          <w:b/>
        </w:rPr>
        <w:t>Septième session</w:t>
      </w:r>
    </w:p>
    <w:p w:rsidR="00796AE4" w:rsidRPr="007E59C0" w:rsidRDefault="00796AE4" w:rsidP="00796AE4">
      <w:pPr>
        <w:jc w:val="both"/>
        <w:rPr>
          <w:rFonts w:eastAsia="Times New Roman"/>
          <w:lang w:eastAsia="fr-FR"/>
        </w:rPr>
      </w:pPr>
      <w:r w:rsidRPr="007E59C0">
        <w:rPr>
          <w:rFonts w:eastAsia="Times New Roman"/>
          <w:lang w:eastAsia="fr-FR"/>
        </w:rPr>
        <w:t>Genève, 18-20 octobre 2021</w:t>
      </w:r>
    </w:p>
    <w:p w:rsidR="00796AE4" w:rsidRPr="007E59C0" w:rsidRDefault="00796AE4" w:rsidP="00796AE4">
      <w:pPr>
        <w:jc w:val="both"/>
      </w:pPr>
      <w:r w:rsidRPr="007E59C0">
        <w:t>Point 7 a) de l’ordre du jour provisoire</w:t>
      </w:r>
    </w:p>
    <w:p w:rsidR="00796AE4" w:rsidRPr="007E59C0" w:rsidRDefault="00796AE4" w:rsidP="00796AE4">
      <w:pPr>
        <w:jc w:val="both"/>
        <w:rPr>
          <w:rFonts w:eastAsia="Times New Roman"/>
          <w:b/>
          <w:bCs/>
          <w:lang w:eastAsia="fr-FR"/>
        </w:rPr>
      </w:pPr>
      <w:r w:rsidRPr="007E59C0">
        <w:rPr>
          <w:rFonts w:eastAsia="Times New Roman"/>
          <w:b/>
          <w:bCs/>
          <w:lang w:eastAsia="fr-FR"/>
        </w:rPr>
        <w:t>Procédures et mécanismes facilitant la mise en œuvre de la Convention</w:t>
      </w:r>
    </w:p>
    <w:p w:rsidR="00796AE4" w:rsidRPr="007E59C0" w:rsidRDefault="00796AE4" w:rsidP="00796AE4">
      <w:pPr>
        <w:jc w:val="both"/>
        <w:rPr>
          <w:rFonts w:eastAsia="Times New Roman"/>
          <w:b/>
          <w:bCs/>
          <w:lang w:eastAsia="fr-FR"/>
        </w:rPr>
      </w:pPr>
      <w:r w:rsidRPr="007E59C0">
        <w:rPr>
          <w:rFonts w:eastAsia="Times New Roman"/>
          <w:b/>
          <w:bCs/>
          <w:lang w:eastAsia="fr-FR"/>
        </w:rPr>
        <w:t>Mécanisme d’établissement de rapports</w:t>
      </w:r>
    </w:p>
    <w:p w:rsidR="00796AE4" w:rsidRPr="00427A7D" w:rsidRDefault="00796AE4" w:rsidP="009E6143">
      <w:pPr>
        <w:pStyle w:val="HChG"/>
        <w:rPr>
          <w:rFonts w:eastAsia="Times New Roman"/>
          <w:lang w:eastAsia="fr-FR"/>
        </w:rPr>
      </w:pPr>
      <w:r>
        <w:tab/>
      </w:r>
      <w:r>
        <w:tab/>
      </w:r>
      <w:r w:rsidRPr="00427A7D">
        <w:t>Projet de décision VII/</w:t>
      </w:r>
      <w:r>
        <w:t>7</w:t>
      </w:r>
      <w:r w:rsidRPr="00427A7D">
        <w:t xml:space="preserve"> sur les prescriptions en matière d</w:t>
      </w:r>
      <w:r>
        <w:t>’</w:t>
      </w:r>
      <w:r w:rsidRPr="00427A7D">
        <w:t>établissement de rapports</w:t>
      </w:r>
    </w:p>
    <w:p w:rsidR="00796AE4" w:rsidRDefault="00796AE4" w:rsidP="009E6143">
      <w:pPr>
        <w:pStyle w:val="H1G"/>
        <w:rPr>
          <w:lang w:val="fr-FR"/>
        </w:rPr>
      </w:pPr>
      <w:r>
        <w:rPr>
          <w:lang w:val="fr-FR"/>
        </w:rPr>
        <w:tab/>
      </w:r>
      <w:r>
        <w:rPr>
          <w:lang w:val="fr-FR"/>
        </w:rPr>
        <w:tab/>
      </w:r>
      <w:r w:rsidRPr="00427A7D">
        <w:rPr>
          <w:lang w:val="fr-FR"/>
        </w:rPr>
        <w:t>Document établi par le Bureau</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796AE4" w:rsidTr="007D3C3F">
        <w:trPr>
          <w:jc w:val="center"/>
        </w:trPr>
        <w:tc>
          <w:tcPr>
            <w:tcW w:w="9637" w:type="dxa"/>
            <w:shd w:val="clear" w:color="auto" w:fill="auto"/>
          </w:tcPr>
          <w:p w:rsidR="00796AE4" w:rsidRDefault="00796AE4" w:rsidP="007D3C3F">
            <w:pPr>
              <w:spacing w:before="240" w:after="120"/>
              <w:ind w:left="255"/>
              <w:rPr>
                <w:i/>
                <w:sz w:val="24"/>
              </w:rPr>
            </w:pPr>
            <w:r>
              <w:rPr>
                <w:i/>
                <w:sz w:val="24"/>
              </w:rPr>
              <w:t>Résumé</w:t>
            </w:r>
          </w:p>
        </w:tc>
      </w:tr>
      <w:tr w:rsidR="00796AE4" w:rsidTr="007D3C3F">
        <w:trPr>
          <w:jc w:val="center"/>
        </w:trPr>
        <w:tc>
          <w:tcPr>
            <w:tcW w:w="9637" w:type="dxa"/>
            <w:shd w:val="clear" w:color="auto" w:fill="auto"/>
          </w:tcPr>
          <w:p w:rsidR="00796AE4" w:rsidRDefault="00796AE4" w:rsidP="007D3C3F">
            <w:pPr>
              <w:pStyle w:val="SingleTxtG"/>
              <w:ind w:firstLine="567"/>
            </w:pPr>
            <w:r>
              <w:rPr>
                <w:rFonts w:eastAsia="Times New Roman"/>
                <w:lang w:eastAsia="fr-FR"/>
              </w:rPr>
              <w:t>On trouvera dans le</w:t>
            </w:r>
            <w:r w:rsidRPr="00427A7D">
              <w:rPr>
                <w:rFonts w:eastAsia="Times New Roman"/>
                <w:lang w:eastAsia="fr-FR"/>
              </w:rPr>
              <w:t xml:space="preserve"> présent document, établi par le Bureau de la Réunion des Parties à la Convention sur l</w:t>
            </w:r>
            <w:r>
              <w:rPr>
                <w:rFonts w:eastAsia="Times New Roman"/>
                <w:lang w:eastAsia="fr-FR"/>
              </w:rPr>
              <w:t>’</w:t>
            </w:r>
            <w:r w:rsidRPr="00427A7D">
              <w:rPr>
                <w:rFonts w:eastAsia="Times New Roman"/>
                <w:lang w:eastAsia="fr-FR"/>
              </w:rPr>
              <w:t>accès à l</w:t>
            </w:r>
            <w:r>
              <w:rPr>
                <w:rFonts w:eastAsia="Times New Roman"/>
                <w:lang w:eastAsia="fr-FR"/>
              </w:rPr>
              <w:t>’</w:t>
            </w:r>
            <w:r w:rsidRPr="00427A7D">
              <w:rPr>
                <w:rFonts w:eastAsia="Times New Roman"/>
                <w:lang w:eastAsia="fr-FR"/>
              </w:rPr>
              <w:t>information, la participation du public au processus décisionnel et l</w:t>
            </w:r>
            <w:r>
              <w:rPr>
                <w:rFonts w:eastAsia="Times New Roman"/>
                <w:lang w:eastAsia="fr-FR"/>
              </w:rPr>
              <w:t>’</w:t>
            </w:r>
            <w:r w:rsidRPr="00427A7D">
              <w:rPr>
                <w:rFonts w:eastAsia="Times New Roman"/>
                <w:lang w:eastAsia="fr-FR"/>
              </w:rPr>
              <w:t>accès à la justice en matière d</w:t>
            </w:r>
            <w:r>
              <w:rPr>
                <w:rFonts w:eastAsia="Times New Roman"/>
                <w:lang w:eastAsia="fr-FR"/>
              </w:rPr>
              <w:t>’</w:t>
            </w:r>
            <w:r w:rsidRPr="00427A7D">
              <w:rPr>
                <w:rFonts w:eastAsia="Times New Roman"/>
                <w:lang w:eastAsia="fr-FR"/>
              </w:rPr>
              <w:t>environnement, un projet de décision sur les prescriptions en matière d</w:t>
            </w:r>
            <w:r>
              <w:rPr>
                <w:rFonts w:eastAsia="Times New Roman"/>
                <w:lang w:eastAsia="fr-FR"/>
              </w:rPr>
              <w:t>’</w:t>
            </w:r>
            <w:r w:rsidRPr="00427A7D">
              <w:rPr>
                <w:rFonts w:eastAsia="Times New Roman"/>
                <w:lang w:eastAsia="fr-FR"/>
              </w:rPr>
              <w:t>établissement de rapports. Il a été élaboré sur la base des décisions</w:t>
            </w:r>
            <w:r>
              <w:rPr>
                <w:rFonts w:eastAsia="Times New Roman"/>
                <w:lang w:eastAsia="fr-FR"/>
              </w:rPr>
              <w:t> </w:t>
            </w:r>
            <w:r w:rsidRPr="00427A7D">
              <w:rPr>
                <w:rFonts w:eastAsia="Times New Roman"/>
                <w:lang w:eastAsia="fr-FR"/>
              </w:rPr>
              <w:t>I/8, II/10, III/5, IV/4, V/8 et VI/7</w:t>
            </w:r>
            <w:r>
              <w:rPr>
                <w:rFonts w:eastAsia="Times New Roman"/>
                <w:lang w:eastAsia="fr-FR"/>
              </w:rPr>
              <w:t xml:space="preserve"> portant </w:t>
            </w:r>
            <w:r w:rsidRPr="00427A7D">
              <w:rPr>
                <w:rFonts w:eastAsia="Times New Roman"/>
                <w:lang w:eastAsia="fr-FR"/>
              </w:rPr>
              <w:t>sur le même sujet, adoptées par la Réunion des Parties de sa première à sa sixième session. Les modifications apportées sont uniquement de nature rédactionnelle ou factuelle.</w:t>
            </w:r>
          </w:p>
        </w:tc>
      </w:tr>
      <w:tr w:rsidR="00796AE4" w:rsidTr="007D3C3F">
        <w:trPr>
          <w:jc w:val="center"/>
        </w:trPr>
        <w:tc>
          <w:tcPr>
            <w:tcW w:w="9637" w:type="dxa"/>
            <w:shd w:val="clear" w:color="auto" w:fill="auto"/>
          </w:tcPr>
          <w:p w:rsidR="00796AE4" w:rsidRDefault="00796AE4" w:rsidP="007D3C3F">
            <w:pPr>
              <w:pStyle w:val="SingleTxtG"/>
              <w:ind w:firstLine="567"/>
              <w:rPr>
                <w:rFonts w:eastAsia="Times New Roman"/>
                <w:lang w:eastAsia="fr-FR"/>
              </w:rPr>
            </w:pPr>
            <w:r w:rsidRPr="00427A7D">
              <w:rPr>
                <w:rFonts w:eastAsia="Times New Roman"/>
                <w:lang w:eastAsia="fr-FR"/>
              </w:rPr>
              <w:t xml:space="preserve">Le document </w:t>
            </w:r>
            <w:r>
              <w:rPr>
                <w:rFonts w:eastAsia="Times New Roman"/>
                <w:lang w:eastAsia="fr-FR"/>
              </w:rPr>
              <w:t xml:space="preserve">a été </w:t>
            </w:r>
            <w:r w:rsidRPr="00427A7D">
              <w:rPr>
                <w:rFonts w:eastAsia="Times New Roman"/>
                <w:lang w:eastAsia="fr-FR"/>
              </w:rPr>
              <w:t xml:space="preserve">soumis au Groupe de travail </w:t>
            </w:r>
            <w:r>
              <w:rPr>
                <w:rFonts w:eastAsia="Times New Roman"/>
                <w:lang w:eastAsia="fr-FR"/>
              </w:rPr>
              <w:t>des Parties à sa vingt</w:t>
            </w:r>
            <w:r w:rsidR="00512880">
              <w:rPr>
                <w:rFonts w:eastAsia="Times New Roman"/>
                <w:lang w:eastAsia="fr-FR"/>
              </w:rPr>
              <w:noBreakHyphen/>
            </w:r>
            <w:r>
              <w:rPr>
                <w:rFonts w:eastAsia="Times New Roman"/>
                <w:lang w:eastAsia="fr-FR"/>
              </w:rPr>
              <w:t>cinquième réunion (Genève, 3</w:t>
            </w:r>
            <w:r w:rsidR="00512880">
              <w:rPr>
                <w:rFonts w:eastAsia="Times New Roman"/>
                <w:lang w:eastAsia="fr-FR"/>
              </w:rPr>
              <w:t> </w:t>
            </w:r>
            <w:r>
              <w:rPr>
                <w:rFonts w:eastAsia="Times New Roman"/>
                <w:lang w:eastAsia="fr-FR"/>
              </w:rPr>
              <w:t>mai et 7 et 8</w:t>
            </w:r>
            <w:r w:rsidR="00512880">
              <w:rPr>
                <w:rFonts w:eastAsia="Times New Roman"/>
                <w:lang w:eastAsia="fr-FR"/>
              </w:rPr>
              <w:t> </w:t>
            </w:r>
            <w:r>
              <w:rPr>
                <w:rFonts w:eastAsia="Times New Roman"/>
                <w:lang w:eastAsia="fr-FR"/>
              </w:rPr>
              <w:t xml:space="preserve">juin 2021) pour examen et approbation </w:t>
            </w:r>
            <w:r w:rsidRPr="00427A7D">
              <w:rPr>
                <w:rFonts w:eastAsia="Times New Roman"/>
                <w:lang w:eastAsia="fr-FR"/>
              </w:rPr>
              <w:t>au titre de son mandat qui consiste à « formuler à l</w:t>
            </w:r>
            <w:r>
              <w:rPr>
                <w:rFonts w:eastAsia="Times New Roman"/>
                <w:lang w:eastAsia="fr-FR"/>
              </w:rPr>
              <w:t>’</w:t>
            </w:r>
            <w:r w:rsidRPr="00427A7D">
              <w:rPr>
                <w:rFonts w:eastAsia="Times New Roman"/>
                <w:lang w:eastAsia="fr-FR"/>
              </w:rPr>
              <w:t>intention de la Réunion des Parties les propositions et recommandations qu</w:t>
            </w:r>
            <w:r>
              <w:rPr>
                <w:rFonts w:eastAsia="Times New Roman"/>
                <w:lang w:eastAsia="fr-FR"/>
              </w:rPr>
              <w:t>’</w:t>
            </w:r>
            <w:r w:rsidRPr="00427A7D">
              <w:rPr>
                <w:rFonts w:eastAsia="Times New Roman"/>
                <w:lang w:eastAsia="fr-FR"/>
              </w:rPr>
              <w:t>il juge nécessaires pour la réalisation des buts de la Convention » (ECE/MP.PP/2/Add.15, par.</w:t>
            </w:r>
            <w:r>
              <w:rPr>
                <w:rFonts w:eastAsia="Times New Roman"/>
                <w:lang w:eastAsia="fr-FR"/>
              </w:rPr>
              <w:t> </w:t>
            </w:r>
            <w:r w:rsidRPr="00427A7D">
              <w:rPr>
                <w:rFonts w:eastAsia="Times New Roman"/>
                <w:lang w:eastAsia="fr-FR"/>
              </w:rPr>
              <w:t>2 d)).</w:t>
            </w:r>
            <w:r>
              <w:rPr>
                <w:rFonts w:eastAsia="Times New Roman"/>
                <w:lang w:eastAsia="fr-FR"/>
              </w:rPr>
              <w:t xml:space="preserve"> À cette réunion, le Groupe de travail a approuvé le projet de décision sur les prescriptions en matière d’établissement de rapports (ECE/MP.PP/</w:t>
            </w:r>
            <w:r w:rsidR="00512880">
              <w:rPr>
                <w:rFonts w:eastAsia="Times New Roman"/>
                <w:lang w:eastAsia="fr-FR"/>
              </w:rPr>
              <w:t xml:space="preserve"> </w:t>
            </w:r>
            <w:r>
              <w:rPr>
                <w:rFonts w:eastAsia="Times New Roman"/>
                <w:lang w:eastAsia="fr-FR"/>
              </w:rPr>
              <w:t>WG.1/2021/19) et a demandé au secrétariat de le soumettre à la Réunion des Parties pour examen à sa septième session.</w:t>
            </w:r>
          </w:p>
        </w:tc>
      </w:tr>
      <w:tr w:rsidR="00796AE4" w:rsidTr="007D3C3F">
        <w:trPr>
          <w:jc w:val="center"/>
        </w:trPr>
        <w:tc>
          <w:tcPr>
            <w:tcW w:w="9637" w:type="dxa"/>
            <w:shd w:val="clear" w:color="auto" w:fill="auto"/>
          </w:tcPr>
          <w:p w:rsidR="00796AE4" w:rsidRDefault="00796AE4" w:rsidP="007D3C3F"/>
        </w:tc>
      </w:tr>
    </w:tbl>
    <w:p w:rsidR="00796AE4" w:rsidRDefault="00796AE4" w:rsidP="00796AE4">
      <w:pPr>
        <w:suppressAutoHyphens w:val="0"/>
        <w:kinsoku/>
        <w:overflowPunct/>
        <w:autoSpaceDE/>
        <w:autoSpaceDN/>
        <w:adjustRightInd/>
        <w:snapToGrid/>
        <w:spacing w:after="200" w:line="276" w:lineRule="auto"/>
        <w:rPr>
          <w:lang w:val="fr-FR"/>
        </w:rPr>
      </w:pPr>
      <w:r>
        <w:rPr>
          <w:lang w:val="fr-FR"/>
        </w:rPr>
        <w:br w:type="page"/>
      </w:r>
    </w:p>
    <w:p w:rsidR="00796AE4" w:rsidRPr="002948CC" w:rsidRDefault="00796AE4" w:rsidP="00796AE4">
      <w:pPr>
        <w:pStyle w:val="SingleTxtG"/>
        <w:keepLines/>
        <w:ind w:firstLine="567"/>
      </w:pPr>
      <w:r w:rsidRPr="002948CC">
        <w:rPr>
          <w:i/>
          <w:lang w:val="fr-FR"/>
        </w:rPr>
        <w:lastRenderedPageBreak/>
        <w:t>La Réunion des Parties</w:t>
      </w:r>
      <w:r w:rsidRPr="002948CC">
        <w:rPr>
          <w:lang w:val="fr-FR"/>
        </w:rPr>
        <w:t>,</w:t>
      </w:r>
    </w:p>
    <w:p w:rsidR="00796AE4" w:rsidRPr="002948CC" w:rsidRDefault="00796AE4" w:rsidP="00796AE4">
      <w:pPr>
        <w:pStyle w:val="SingleTxtG"/>
        <w:tabs>
          <w:tab w:val="clear" w:pos="1701"/>
          <w:tab w:val="clear" w:pos="2268"/>
          <w:tab w:val="clear" w:pos="2835"/>
        </w:tabs>
        <w:ind w:firstLine="567"/>
      </w:pPr>
      <w:r w:rsidRPr="002948CC">
        <w:rPr>
          <w:i/>
          <w:lang w:val="fr-FR"/>
        </w:rPr>
        <w:t>Rappelant</w:t>
      </w:r>
      <w:r w:rsidRPr="002948CC">
        <w:rPr>
          <w:lang w:val="fr-FR"/>
        </w:rPr>
        <w:t xml:space="preserve"> ses décisions I/8</w:t>
      </w:r>
      <w:r w:rsidRPr="007E59C0">
        <w:rPr>
          <w:rStyle w:val="Appelnotedebasdep"/>
        </w:rPr>
        <w:footnoteReference w:id="2"/>
      </w:r>
      <w:r w:rsidRPr="002948CC">
        <w:rPr>
          <w:lang w:val="fr-FR"/>
        </w:rPr>
        <w:t>, II/10</w:t>
      </w:r>
      <w:r w:rsidRPr="007E59C0">
        <w:rPr>
          <w:rStyle w:val="Appelnotedebasdep"/>
        </w:rPr>
        <w:footnoteReference w:id="3"/>
      </w:r>
      <w:r w:rsidRPr="002948CC">
        <w:rPr>
          <w:lang w:val="fr-FR"/>
        </w:rPr>
        <w:t>, III/5</w:t>
      </w:r>
      <w:r w:rsidRPr="007E59C0">
        <w:rPr>
          <w:rStyle w:val="Appelnotedebasdep"/>
        </w:rPr>
        <w:footnoteReference w:id="4"/>
      </w:r>
      <w:r w:rsidRPr="002948CC">
        <w:rPr>
          <w:lang w:val="fr-FR"/>
        </w:rPr>
        <w:t>, IV/4</w:t>
      </w:r>
      <w:r w:rsidRPr="007E59C0">
        <w:rPr>
          <w:rStyle w:val="Appelnotedebasdep"/>
        </w:rPr>
        <w:footnoteReference w:id="5"/>
      </w:r>
      <w:r w:rsidRPr="002948CC">
        <w:rPr>
          <w:lang w:val="fr-FR"/>
        </w:rPr>
        <w:t>, V/8</w:t>
      </w:r>
      <w:r w:rsidRPr="007E59C0">
        <w:rPr>
          <w:rStyle w:val="Appelnotedebasdep"/>
        </w:rPr>
        <w:footnoteReference w:id="6"/>
      </w:r>
      <w:r w:rsidRPr="002948CC">
        <w:rPr>
          <w:lang w:val="fr-FR"/>
        </w:rPr>
        <w:t xml:space="preserve"> et VI/7</w:t>
      </w:r>
      <w:r w:rsidRPr="007E59C0">
        <w:rPr>
          <w:rStyle w:val="Appelnotedebasdep"/>
        </w:rPr>
        <w:footnoteReference w:id="7"/>
      </w:r>
      <w:r w:rsidRPr="002948CC">
        <w:rPr>
          <w:lang w:val="fr-FR"/>
        </w:rPr>
        <w:t xml:space="preserve"> sur </w:t>
      </w:r>
      <w:r w:rsidRPr="00427A7D">
        <w:rPr>
          <w:lang w:val="fr-FR"/>
        </w:rPr>
        <w:t>les prescriptions en matière d</w:t>
      </w:r>
      <w:r>
        <w:rPr>
          <w:lang w:val="fr-FR"/>
        </w:rPr>
        <w:t>’</w:t>
      </w:r>
      <w:r w:rsidRPr="00427A7D">
        <w:rPr>
          <w:lang w:val="fr-FR"/>
        </w:rPr>
        <w:t>établissement de</w:t>
      </w:r>
      <w:r w:rsidRPr="002948CC">
        <w:rPr>
          <w:lang w:val="fr-FR"/>
        </w:rPr>
        <w:t xml:space="preserve"> rapports,</w:t>
      </w:r>
    </w:p>
    <w:p w:rsidR="00796AE4" w:rsidRPr="002948CC" w:rsidRDefault="00796AE4" w:rsidP="00796AE4">
      <w:pPr>
        <w:pStyle w:val="SingleTxtG"/>
        <w:ind w:firstLine="567"/>
      </w:pPr>
      <w:r w:rsidRPr="002948CC">
        <w:rPr>
          <w:i/>
          <w:lang w:val="fr-FR"/>
        </w:rPr>
        <w:t>Rappelant également</w:t>
      </w:r>
      <w:r w:rsidRPr="002948CC">
        <w:rPr>
          <w:lang w:val="fr-FR"/>
        </w:rPr>
        <w:t xml:space="preserve"> le mandat du Comité d</w:t>
      </w:r>
      <w:r>
        <w:rPr>
          <w:lang w:val="fr-FR"/>
        </w:rPr>
        <w:t>’</w:t>
      </w:r>
      <w:r w:rsidRPr="002948CC">
        <w:rPr>
          <w:lang w:val="fr-FR"/>
        </w:rPr>
        <w:t>examen du respect des dispositions figurant à l</w:t>
      </w:r>
      <w:r>
        <w:rPr>
          <w:lang w:val="fr-FR"/>
        </w:rPr>
        <w:t>’</w:t>
      </w:r>
      <w:r w:rsidRPr="002948CC">
        <w:rPr>
          <w:lang w:val="fr-FR"/>
        </w:rPr>
        <w:t>alinéa c) du paragraphe 13 de l</w:t>
      </w:r>
      <w:r>
        <w:rPr>
          <w:lang w:val="fr-FR"/>
        </w:rPr>
        <w:t>’</w:t>
      </w:r>
      <w:r w:rsidRPr="002948CC">
        <w:rPr>
          <w:lang w:val="fr-FR"/>
        </w:rPr>
        <w:t>annexe à la décision I/7</w:t>
      </w:r>
      <w:r w:rsidRPr="007E59C0">
        <w:rPr>
          <w:rStyle w:val="Appelnotedebasdep"/>
        </w:rPr>
        <w:footnoteReference w:id="8"/>
      </w:r>
      <w:r w:rsidRPr="002948CC">
        <w:rPr>
          <w:lang w:val="fr-FR"/>
        </w:rPr>
        <w:t xml:space="preserve"> sur l</w:t>
      </w:r>
      <w:r>
        <w:rPr>
          <w:lang w:val="fr-FR"/>
        </w:rPr>
        <w:t>’</w:t>
      </w:r>
      <w:r w:rsidRPr="002948CC">
        <w:rPr>
          <w:lang w:val="fr-FR"/>
        </w:rPr>
        <w:t>examen du respect des dispositions,</w:t>
      </w:r>
    </w:p>
    <w:p w:rsidR="00796AE4" w:rsidRPr="002948CC" w:rsidRDefault="00796AE4" w:rsidP="00796AE4">
      <w:pPr>
        <w:pStyle w:val="SingleTxtG"/>
        <w:ind w:firstLine="567"/>
      </w:pPr>
      <w:r w:rsidRPr="002948CC">
        <w:rPr>
          <w:i/>
          <w:lang w:val="fr-FR"/>
        </w:rPr>
        <w:t>Ayant examiné</w:t>
      </w:r>
      <w:r w:rsidRPr="002948CC">
        <w:rPr>
          <w:lang w:val="fr-FR"/>
        </w:rPr>
        <w:t xml:space="preserve"> les rapports soumis par les Parties et le rapport de synthèse</w:t>
      </w:r>
      <w:r w:rsidRPr="007E59C0">
        <w:rPr>
          <w:rStyle w:val="Appelnotedebasdep"/>
        </w:rPr>
        <w:footnoteReference w:id="9"/>
      </w:r>
      <w:r w:rsidRPr="002948CC">
        <w:rPr>
          <w:lang w:val="fr-FR"/>
        </w:rPr>
        <w:t xml:space="preserve"> établi par le secrétariat conformément aux paragraphes 1 à</w:t>
      </w:r>
      <w:r>
        <w:rPr>
          <w:lang w:val="fr-FR"/>
        </w:rPr>
        <w:t xml:space="preserve"> </w:t>
      </w:r>
      <w:r w:rsidRPr="002948CC">
        <w:rPr>
          <w:lang w:val="fr-FR"/>
        </w:rPr>
        <w:t>5 de la décision I/8,</w:t>
      </w:r>
    </w:p>
    <w:p w:rsidR="00796AE4" w:rsidRPr="002948CC" w:rsidRDefault="00796AE4" w:rsidP="00796AE4">
      <w:pPr>
        <w:pStyle w:val="SingleTxtG"/>
        <w:ind w:firstLine="567"/>
      </w:pPr>
      <w:r w:rsidRPr="002948CC">
        <w:rPr>
          <w:i/>
          <w:lang w:val="fr-FR"/>
        </w:rPr>
        <w:t>Ayant également examiné</w:t>
      </w:r>
      <w:r w:rsidRPr="002948CC">
        <w:rPr>
          <w:lang w:val="fr-FR"/>
        </w:rPr>
        <w:t xml:space="preserve"> les rapports</w:t>
      </w:r>
      <w:r w:rsidRPr="007E59C0">
        <w:rPr>
          <w:rStyle w:val="Appelnotedebasdep"/>
        </w:rPr>
        <w:footnoteReference w:id="10"/>
      </w:r>
      <w:r w:rsidRPr="002948CC">
        <w:rPr>
          <w:lang w:val="fr-FR"/>
        </w:rPr>
        <w:t xml:space="preserve"> et rapports supplémentaires</w:t>
      </w:r>
      <w:r w:rsidRPr="007E59C0">
        <w:rPr>
          <w:rStyle w:val="Appelnotedebasdep"/>
        </w:rPr>
        <w:footnoteReference w:id="11"/>
      </w:r>
      <w:r w:rsidRPr="002948CC">
        <w:rPr>
          <w:lang w:val="fr-FR"/>
        </w:rPr>
        <w:t xml:space="preserve"> présentés par le Comité d</w:t>
      </w:r>
      <w:r>
        <w:rPr>
          <w:lang w:val="fr-FR"/>
        </w:rPr>
        <w:t>’</w:t>
      </w:r>
      <w:r w:rsidRPr="002948CC">
        <w:rPr>
          <w:lang w:val="fr-FR"/>
        </w:rPr>
        <w:t>examen du respect des dispositions,</w:t>
      </w:r>
    </w:p>
    <w:p w:rsidR="00796AE4" w:rsidRPr="002948CC" w:rsidRDefault="00796AE4" w:rsidP="00796AE4">
      <w:pPr>
        <w:pStyle w:val="SingleTxtG"/>
        <w:ind w:firstLine="567"/>
      </w:pPr>
      <w:r w:rsidRPr="002948CC">
        <w:rPr>
          <w:i/>
          <w:lang w:val="fr-FR"/>
        </w:rPr>
        <w:t xml:space="preserve">Reconnaissant </w:t>
      </w:r>
      <w:r w:rsidRPr="002948CC">
        <w:rPr>
          <w:lang w:val="fr-FR"/>
        </w:rPr>
        <w:t>l</w:t>
      </w:r>
      <w:r>
        <w:rPr>
          <w:lang w:val="fr-FR"/>
        </w:rPr>
        <w:t>’</w:t>
      </w:r>
      <w:r w:rsidRPr="002948CC">
        <w:rPr>
          <w:lang w:val="fr-FR"/>
        </w:rPr>
        <w:t>utilité des rapports nationaux de mise en œuvre, qui sont une contribution précieuse aux travaux des équipes spéciales, aux activités de renforcement des capacités, aux examens de performance environnementale et autres programmes d</w:t>
      </w:r>
      <w:r>
        <w:rPr>
          <w:lang w:val="fr-FR"/>
        </w:rPr>
        <w:t>’</w:t>
      </w:r>
      <w:r w:rsidRPr="002948CC">
        <w:rPr>
          <w:lang w:val="fr-FR"/>
        </w:rPr>
        <w:t>études,</w:t>
      </w:r>
    </w:p>
    <w:p w:rsidR="00796AE4" w:rsidRPr="002948CC" w:rsidRDefault="00796AE4" w:rsidP="00796AE4">
      <w:pPr>
        <w:pStyle w:val="SingleTxtG"/>
        <w:ind w:firstLine="567"/>
      </w:pPr>
      <w:r w:rsidRPr="002948CC">
        <w:rPr>
          <w:i/>
          <w:lang w:val="fr-FR"/>
        </w:rPr>
        <w:t>Considérant</w:t>
      </w:r>
      <w:r w:rsidRPr="002948CC">
        <w:rPr>
          <w:lang w:val="fr-FR"/>
        </w:rPr>
        <w:t xml:space="preserve"> que la procédure </w:t>
      </w:r>
      <w:r w:rsidRPr="00427A7D">
        <w:rPr>
          <w:lang w:val="fr-FR"/>
        </w:rPr>
        <w:t>d</w:t>
      </w:r>
      <w:r>
        <w:rPr>
          <w:lang w:val="fr-FR"/>
        </w:rPr>
        <w:t>’</w:t>
      </w:r>
      <w:r w:rsidRPr="00427A7D">
        <w:rPr>
          <w:lang w:val="fr-FR"/>
        </w:rPr>
        <w:t>établissement de</w:t>
      </w:r>
      <w:r w:rsidRPr="002948CC">
        <w:rPr>
          <w:lang w:val="fr-FR"/>
        </w:rPr>
        <w:t xml:space="preserve"> rapports énoncée dans les décisions I/8, II/10 et IV/4, y compris le modèle de rapport révisé qui figure dans l</w:t>
      </w:r>
      <w:r>
        <w:rPr>
          <w:lang w:val="fr-FR"/>
        </w:rPr>
        <w:t>’</w:t>
      </w:r>
      <w:r w:rsidRPr="002948CC">
        <w:rPr>
          <w:lang w:val="fr-FR"/>
        </w:rPr>
        <w:t>annexe à la décision IV/4, la procédure relative à la traduction des rapports décrite aux paragraphes 14 à 16 de la décision IV/4 et la décision de mettre fin à la présentation d</w:t>
      </w:r>
      <w:r>
        <w:rPr>
          <w:lang w:val="fr-FR"/>
        </w:rPr>
        <w:t>’</w:t>
      </w:r>
      <w:r w:rsidRPr="002948CC">
        <w:rPr>
          <w:lang w:val="fr-FR"/>
        </w:rPr>
        <w:t>exemplaires imprimés des rapports au secrétariat, énoncée au paragraphe 11 de la décision VI/7, devrait continuer de s</w:t>
      </w:r>
      <w:r>
        <w:rPr>
          <w:lang w:val="fr-FR"/>
        </w:rPr>
        <w:t>’</w:t>
      </w:r>
      <w:r w:rsidRPr="002948CC">
        <w:rPr>
          <w:lang w:val="fr-FR"/>
        </w:rPr>
        <w:t>appliquer au cours du prochain cycle d</w:t>
      </w:r>
      <w:r>
        <w:rPr>
          <w:lang w:val="fr-FR"/>
        </w:rPr>
        <w:t>’</w:t>
      </w:r>
      <w:r w:rsidRPr="002948CC">
        <w:rPr>
          <w:lang w:val="fr-FR"/>
        </w:rPr>
        <w:t>établissement des rapports,</w:t>
      </w:r>
    </w:p>
    <w:p w:rsidR="00796AE4" w:rsidRPr="002948CC" w:rsidRDefault="00796AE4" w:rsidP="00796AE4">
      <w:pPr>
        <w:pStyle w:val="SingleTxtG"/>
        <w:ind w:firstLine="567"/>
      </w:pPr>
      <w:r w:rsidRPr="002948CC">
        <w:rPr>
          <w:lang w:val="fr-FR"/>
        </w:rPr>
        <w:t>1.</w:t>
      </w:r>
      <w:r w:rsidRPr="002948CC">
        <w:rPr>
          <w:lang w:val="fr-FR"/>
        </w:rPr>
        <w:tab/>
      </w:r>
      <w:r w:rsidRPr="002948CC">
        <w:rPr>
          <w:i/>
          <w:lang w:val="fr-FR"/>
        </w:rPr>
        <w:t>Prend note avec satisfaction</w:t>
      </w:r>
      <w:r w:rsidRPr="002948CC">
        <w:rPr>
          <w:lang w:val="fr-FR"/>
        </w:rPr>
        <w:t xml:space="preserve"> des rapports de mise en œuvre présentés par </w:t>
      </w:r>
      <w:r w:rsidRPr="002948CC">
        <w:t xml:space="preserve">plus </w:t>
      </w:r>
      <w:r>
        <w:t>de la moitié</w:t>
      </w:r>
      <w:r w:rsidRPr="002948CC">
        <w:rPr>
          <w:lang w:val="fr-FR"/>
        </w:rPr>
        <w:t xml:space="preserve"> des Parties à la Convention sur l</w:t>
      </w:r>
      <w:r>
        <w:rPr>
          <w:lang w:val="fr-FR"/>
        </w:rPr>
        <w:t>’</w:t>
      </w:r>
      <w:r w:rsidRPr="002948CC">
        <w:rPr>
          <w:lang w:val="fr-FR"/>
        </w:rPr>
        <w:t>accès à l</w:t>
      </w:r>
      <w:r>
        <w:rPr>
          <w:lang w:val="fr-FR"/>
        </w:rPr>
        <w:t>’</w:t>
      </w:r>
      <w:r w:rsidRPr="002948CC">
        <w:rPr>
          <w:lang w:val="fr-FR"/>
        </w:rPr>
        <w:t>information, la participation du public au processus décisionnel et l</w:t>
      </w:r>
      <w:r>
        <w:rPr>
          <w:lang w:val="fr-FR"/>
        </w:rPr>
        <w:t>’</w:t>
      </w:r>
      <w:r w:rsidRPr="002948CC">
        <w:rPr>
          <w:lang w:val="fr-FR"/>
        </w:rPr>
        <w:t>accès à la justice en matière d</w:t>
      </w:r>
      <w:r>
        <w:rPr>
          <w:lang w:val="fr-FR"/>
        </w:rPr>
        <w:t>’</w:t>
      </w:r>
      <w:r w:rsidRPr="002948CC">
        <w:rPr>
          <w:lang w:val="fr-FR"/>
        </w:rPr>
        <w:t>environnement conformément aux paragraphes</w:t>
      </w:r>
      <w:r w:rsidR="00475C4C">
        <w:rPr>
          <w:lang w:val="fr-FR"/>
        </w:rPr>
        <w:t> </w:t>
      </w:r>
      <w:r w:rsidRPr="002948CC">
        <w:rPr>
          <w:lang w:val="fr-FR"/>
        </w:rPr>
        <w:t>1 à 4 de la décision I/8 ;</w:t>
      </w:r>
    </w:p>
    <w:p w:rsidR="00796AE4" w:rsidRPr="002948CC" w:rsidRDefault="00796AE4" w:rsidP="00796AE4">
      <w:pPr>
        <w:pStyle w:val="SingleTxtG"/>
        <w:ind w:firstLine="567"/>
      </w:pPr>
      <w:r w:rsidRPr="002948CC">
        <w:rPr>
          <w:lang w:val="fr-FR"/>
        </w:rPr>
        <w:t>2.</w:t>
      </w:r>
      <w:r w:rsidRPr="002948CC">
        <w:rPr>
          <w:lang w:val="fr-FR"/>
        </w:rPr>
        <w:tab/>
      </w:r>
      <w:r w:rsidRPr="002948CC">
        <w:rPr>
          <w:i/>
          <w:lang w:val="fr-FR"/>
        </w:rPr>
        <w:t xml:space="preserve">Accueille avec satisfaction </w:t>
      </w:r>
      <w:r w:rsidRPr="002948CC">
        <w:rPr>
          <w:lang w:val="fr-FR"/>
        </w:rPr>
        <w:t>le rapport de synthèse établi par le secrétariat conformément au paragraphe 5 de la décision</w:t>
      </w:r>
      <w:r w:rsidR="00475C4C">
        <w:rPr>
          <w:lang w:val="fr-FR"/>
        </w:rPr>
        <w:t> </w:t>
      </w:r>
      <w:r w:rsidRPr="002948CC">
        <w:rPr>
          <w:lang w:val="fr-FR"/>
        </w:rPr>
        <w:t>I/8 ;</w:t>
      </w:r>
    </w:p>
    <w:p w:rsidR="00796AE4" w:rsidRPr="002948CC" w:rsidRDefault="00796AE4" w:rsidP="00796AE4">
      <w:pPr>
        <w:pStyle w:val="SingleTxtG"/>
        <w:ind w:firstLine="567"/>
      </w:pPr>
      <w:r w:rsidRPr="002948CC">
        <w:rPr>
          <w:lang w:val="fr-FR"/>
        </w:rPr>
        <w:t>3.</w:t>
      </w:r>
      <w:r w:rsidRPr="002948CC">
        <w:rPr>
          <w:lang w:val="fr-FR"/>
        </w:rPr>
        <w:tab/>
      </w:r>
      <w:r w:rsidRPr="002948CC">
        <w:rPr>
          <w:i/>
          <w:lang w:val="fr-FR"/>
        </w:rPr>
        <w:t xml:space="preserve">Accueille également avec satisfaction </w:t>
      </w:r>
      <w:r w:rsidRPr="002948CC">
        <w:rPr>
          <w:lang w:val="fr-FR"/>
        </w:rPr>
        <w:t xml:space="preserve">les rapports présentés par des </w:t>
      </w:r>
      <w:r>
        <w:rPr>
          <w:lang w:val="fr-FR"/>
        </w:rPr>
        <w:t>parties prenantes</w:t>
      </w:r>
      <w:r w:rsidRPr="007E59C0">
        <w:rPr>
          <w:rStyle w:val="Appelnotedebasdep"/>
        </w:rPr>
        <w:footnoteReference w:id="12"/>
      </w:r>
      <w:r w:rsidRPr="002948CC">
        <w:rPr>
          <w:color w:val="000000"/>
          <w:lang w:eastAsia="en-GB"/>
        </w:rPr>
        <w:t xml:space="preserve"> </w:t>
      </w:r>
      <w:r w:rsidRPr="002948CC">
        <w:rPr>
          <w:lang w:val="fr-FR"/>
        </w:rPr>
        <w:t>conformément au paragraphe 7 de la décision I/8 ;</w:t>
      </w:r>
    </w:p>
    <w:p w:rsidR="00796AE4" w:rsidRPr="002948CC" w:rsidRDefault="00796AE4" w:rsidP="00796AE4">
      <w:pPr>
        <w:pStyle w:val="SingleTxtG"/>
        <w:ind w:firstLine="567"/>
      </w:pPr>
      <w:r w:rsidRPr="002948CC">
        <w:rPr>
          <w:lang w:val="fr-FR"/>
        </w:rPr>
        <w:t>4.</w:t>
      </w:r>
      <w:r w:rsidRPr="002948CC">
        <w:rPr>
          <w:lang w:val="fr-FR"/>
        </w:rPr>
        <w:tab/>
      </w:r>
      <w:r w:rsidRPr="002948CC">
        <w:rPr>
          <w:i/>
          <w:lang w:val="fr-FR"/>
        </w:rPr>
        <w:t>Considère</w:t>
      </w:r>
      <w:r w:rsidRPr="002948CC">
        <w:rPr>
          <w:lang w:val="fr-FR"/>
        </w:rPr>
        <w:t xml:space="preserve"> que ces rapports donnent un aperçu utile de l</w:t>
      </w:r>
      <w:r>
        <w:rPr>
          <w:lang w:val="fr-FR"/>
        </w:rPr>
        <w:t>’</w:t>
      </w:r>
      <w:r w:rsidRPr="002948CC">
        <w:rPr>
          <w:lang w:val="fr-FR"/>
        </w:rPr>
        <w:t>état de la mise en œuvre de la Convention et des principales tendances et difficultés de cette mise en œuvre, aperçu qui contribuera à guider les activités futures ;</w:t>
      </w:r>
    </w:p>
    <w:p w:rsidR="00796AE4" w:rsidRPr="002948CC" w:rsidRDefault="00796AE4" w:rsidP="009E6143">
      <w:pPr>
        <w:pStyle w:val="H23G"/>
      </w:pPr>
      <w:r w:rsidRPr="002948CC">
        <w:rPr>
          <w:lang w:val="fr-FR"/>
        </w:rPr>
        <w:tab/>
      </w:r>
      <w:r w:rsidRPr="002948CC">
        <w:rPr>
          <w:lang w:val="fr-FR"/>
        </w:rPr>
        <w:tab/>
        <w:t>Présentation des rapports en temps utile</w:t>
      </w:r>
    </w:p>
    <w:p w:rsidR="00796AE4" w:rsidRPr="002948CC" w:rsidRDefault="00796AE4" w:rsidP="00796AE4">
      <w:pPr>
        <w:pStyle w:val="SingleTxtG"/>
        <w:ind w:firstLine="567"/>
      </w:pPr>
      <w:r w:rsidRPr="002948CC">
        <w:rPr>
          <w:lang w:val="fr-FR"/>
        </w:rPr>
        <w:t>5.</w:t>
      </w:r>
      <w:r w:rsidRPr="002948CC">
        <w:rPr>
          <w:lang w:val="fr-FR"/>
        </w:rPr>
        <w:tab/>
      </w:r>
      <w:r w:rsidRPr="002948CC">
        <w:rPr>
          <w:i/>
          <w:lang w:val="fr-FR"/>
        </w:rPr>
        <w:t>Note avec inquiétude</w:t>
      </w:r>
      <w:r w:rsidRPr="002948CC">
        <w:rPr>
          <w:lang w:val="fr-FR"/>
        </w:rPr>
        <w:t xml:space="preserve"> que </w:t>
      </w:r>
      <w:r w:rsidR="00183CC1">
        <w:rPr>
          <w:lang w:val="fr-FR"/>
        </w:rPr>
        <w:t>10</w:t>
      </w:r>
      <w:r w:rsidRPr="007E59C0">
        <w:rPr>
          <w:rStyle w:val="Appelnotedebasdep"/>
        </w:rPr>
        <w:footnoteReference w:id="13"/>
      </w:r>
      <w:r>
        <w:rPr>
          <w:lang w:val="fr-FR"/>
        </w:rPr>
        <w:t xml:space="preserve"> </w:t>
      </w:r>
      <w:r w:rsidRPr="002948CC">
        <w:rPr>
          <w:lang w:val="fr-FR"/>
        </w:rPr>
        <w:t>Parties qui ont soumis un rapport l</w:t>
      </w:r>
      <w:r>
        <w:rPr>
          <w:lang w:val="fr-FR"/>
        </w:rPr>
        <w:t>’</w:t>
      </w:r>
      <w:r w:rsidRPr="002948CC">
        <w:rPr>
          <w:lang w:val="fr-FR"/>
        </w:rPr>
        <w:t>ont fait après l</w:t>
      </w:r>
      <w:r>
        <w:rPr>
          <w:lang w:val="fr-FR"/>
        </w:rPr>
        <w:t>’</w:t>
      </w:r>
      <w:r w:rsidRPr="002948CC">
        <w:rPr>
          <w:lang w:val="fr-FR"/>
        </w:rPr>
        <w:t>échéance indiquée dans la décision II/10 ;</w:t>
      </w:r>
    </w:p>
    <w:p w:rsidR="00796AE4" w:rsidRPr="002948CC" w:rsidRDefault="00796AE4" w:rsidP="00796AE4">
      <w:pPr>
        <w:pStyle w:val="SingleTxtG"/>
        <w:ind w:firstLine="567"/>
      </w:pPr>
      <w:r w:rsidRPr="002948CC">
        <w:rPr>
          <w:lang w:val="fr-FR"/>
        </w:rPr>
        <w:t>6.</w:t>
      </w:r>
      <w:r w:rsidRPr="002948CC">
        <w:rPr>
          <w:lang w:val="fr-FR"/>
        </w:rPr>
        <w:tab/>
      </w:r>
      <w:r w:rsidRPr="002948CC">
        <w:rPr>
          <w:i/>
          <w:lang w:val="fr-FR"/>
        </w:rPr>
        <w:t>Encourage à nouveau</w:t>
      </w:r>
      <w:r w:rsidRPr="002948CC">
        <w:rPr>
          <w:lang w:val="fr-FR"/>
        </w:rPr>
        <w:t xml:space="preserve"> les Parties à commencer d</w:t>
      </w:r>
      <w:r>
        <w:rPr>
          <w:lang w:val="fr-FR"/>
        </w:rPr>
        <w:t>’</w:t>
      </w:r>
      <w:r w:rsidRPr="002948CC">
        <w:rPr>
          <w:lang w:val="fr-FR"/>
        </w:rPr>
        <w:t>établir leur rapport de mise en œuvre pour les prochains cycles d</w:t>
      </w:r>
      <w:r>
        <w:rPr>
          <w:lang w:val="fr-FR"/>
        </w:rPr>
        <w:t>’</w:t>
      </w:r>
      <w:r w:rsidRPr="002948CC">
        <w:rPr>
          <w:lang w:val="fr-FR"/>
        </w:rPr>
        <w:t>établissement des rapports assez longtemps avant la date limite prescrite dans la décision II/10 pour la présentation des rapports au secrétariat, et au plus tard neuf mois avant cette date, afin de garantir la tenue de consultations publiques utiles sur les rapports au niveau national ;</w:t>
      </w:r>
    </w:p>
    <w:p w:rsidR="00796AE4" w:rsidRPr="002948CC" w:rsidRDefault="00796AE4" w:rsidP="009E6143">
      <w:pPr>
        <w:pStyle w:val="H23G"/>
      </w:pPr>
      <w:r w:rsidRPr="002948CC">
        <w:rPr>
          <w:lang w:val="fr-FR"/>
        </w:rPr>
        <w:lastRenderedPageBreak/>
        <w:tab/>
      </w:r>
      <w:r w:rsidRPr="002948CC">
        <w:rPr>
          <w:lang w:val="fr-FR"/>
        </w:rPr>
        <w:tab/>
        <w:t>Non-présentation des rapports</w:t>
      </w:r>
    </w:p>
    <w:p w:rsidR="00796AE4" w:rsidRPr="002948CC" w:rsidRDefault="00796AE4" w:rsidP="00796AE4">
      <w:pPr>
        <w:pStyle w:val="SingleTxtG"/>
        <w:ind w:firstLine="567"/>
      </w:pPr>
      <w:r w:rsidRPr="002948CC">
        <w:rPr>
          <w:lang w:val="fr-FR"/>
        </w:rPr>
        <w:t>7.</w:t>
      </w:r>
      <w:r w:rsidRPr="002948CC">
        <w:rPr>
          <w:lang w:val="fr-FR"/>
        </w:rPr>
        <w:tab/>
      </w:r>
      <w:r w:rsidRPr="002948CC">
        <w:rPr>
          <w:i/>
          <w:lang w:val="fr-FR"/>
        </w:rPr>
        <w:t>Note avec regret</w:t>
      </w:r>
      <w:r w:rsidRPr="002948CC">
        <w:rPr>
          <w:lang w:val="fr-FR"/>
        </w:rPr>
        <w:t xml:space="preserve"> que</w:t>
      </w:r>
      <w:r>
        <w:rPr>
          <w:lang w:val="fr-FR"/>
        </w:rPr>
        <w:t xml:space="preserve"> l’Azerbaïdjan, l’Islande, l’Italie, Malte, les Pays-Bas, la République de Moldova, la Suède, le Tadjikistan et l’Ukraine</w:t>
      </w:r>
      <w:r w:rsidRPr="007E59C0">
        <w:rPr>
          <w:rStyle w:val="Appelnotedebasdep"/>
        </w:rPr>
        <w:footnoteReference w:id="14"/>
      </w:r>
      <w:r w:rsidRPr="002948CC">
        <w:rPr>
          <w:lang w:val="fr-FR"/>
        </w:rPr>
        <w:t xml:space="preserve">, </w:t>
      </w:r>
      <w:r w:rsidRPr="009A03E5">
        <w:rPr>
          <w:lang w:val="fr-FR"/>
        </w:rPr>
        <w:t xml:space="preserve">qui étaient tous </w:t>
      </w:r>
      <w:r w:rsidR="007414EA">
        <w:rPr>
          <w:lang w:val="fr-FR"/>
        </w:rPr>
        <w:t>p</w:t>
      </w:r>
      <w:r w:rsidRPr="009A03E5">
        <w:rPr>
          <w:lang w:val="fr-FR"/>
        </w:rPr>
        <w:t>arties à</w:t>
      </w:r>
      <w:r w:rsidRPr="002948CC">
        <w:rPr>
          <w:lang w:val="fr-FR"/>
        </w:rPr>
        <w:t xml:space="preserve"> la Convention à l</w:t>
      </w:r>
      <w:r>
        <w:rPr>
          <w:lang w:val="fr-FR"/>
        </w:rPr>
        <w:t>’</w:t>
      </w:r>
      <w:r w:rsidRPr="002948CC">
        <w:rPr>
          <w:lang w:val="fr-FR"/>
        </w:rPr>
        <w:t>expiration du délai prévu pour la présentation des rapports de mise en œuvre, n</w:t>
      </w:r>
      <w:r>
        <w:rPr>
          <w:lang w:val="fr-FR"/>
        </w:rPr>
        <w:t>’</w:t>
      </w:r>
      <w:r w:rsidRPr="002948CC">
        <w:rPr>
          <w:lang w:val="fr-FR"/>
        </w:rPr>
        <w:t>ont pas présenté de rapport pour le cycle en cours ;</w:t>
      </w:r>
    </w:p>
    <w:p w:rsidR="00796AE4" w:rsidRPr="002948CC" w:rsidRDefault="00796AE4" w:rsidP="00796AE4">
      <w:pPr>
        <w:pStyle w:val="SingleTxtG"/>
        <w:ind w:firstLine="567"/>
      </w:pPr>
      <w:r w:rsidRPr="002948CC">
        <w:rPr>
          <w:lang w:val="fr-FR"/>
        </w:rPr>
        <w:t>8.</w:t>
      </w:r>
      <w:r w:rsidRPr="002948CC">
        <w:rPr>
          <w:lang w:val="fr-FR"/>
        </w:rPr>
        <w:tab/>
      </w:r>
      <w:r w:rsidRPr="002948CC">
        <w:rPr>
          <w:i/>
          <w:lang w:val="fr-FR"/>
        </w:rPr>
        <w:t>Demande</w:t>
      </w:r>
      <w:r w:rsidRPr="002948CC">
        <w:rPr>
          <w:lang w:val="fr-FR"/>
        </w:rPr>
        <w:t xml:space="preserve"> à chacune de ces Parties de soumettre son rapport de mise en œuvre au secrétariat d</w:t>
      </w:r>
      <w:r>
        <w:rPr>
          <w:lang w:val="fr-FR"/>
        </w:rPr>
        <w:t>’</w:t>
      </w:r>
      <w:r w:rsidRPr="002948CC">
        <w:rPr>
          <w:lang w:val="fr-FR"/>
        </w:rPr>
        <w:t>ici au 1</w:t>
      </w:r>
      <w:r w:rsidRPr="002948CC">
        <w:rPr>
          <w:vertAlign w:val="superscript"/>
          <w:lang w:val="fr-FR"/>
        </w:rPr>
        <w:t>er</w:t>
      </w:r>
      <w:r w:rsidRPr="002948CC">
        <w:rPr>
          <w:lang w:val="fr-FR"/>
        </w:rPr>
        <w:t> décembre 2021, en vue de son examen, entre autres, par le</w:t>
      </w:r>
      <w:r>
        <w:rPr>
          <w:lang w:val="fr-FR"/>
        </w:rPr>
        <w:t xml:space="preserve"> </w:t>
      </w:r>
      <w:r w:rsidRPr="002948CC">
        <w:rPr>
          <w:lang w:val="fr-FR"/>
        </w:rPr>
        <w:t>Comité d</w:t>
      </w:r>
      <w:r>
        <w:rPr>
          <w:lang w:val="fr-FR"/>
        </w:rPr>
        <w:t>’</w:t>
      </w:r>
      <w:r w:rsidRPr="002948CC">
        <w:rPr>
          <w:lang w:val="fr-FR"/>
        </w:rPr>
        <w:t>examen du respect des dispositions ;</w:t>
      </w:r>
    </w:p>
    <w:p w:rsidR="00796AE4" w:rsidRPr="002948CC" w:rsidRDefault="00796AE4" w:rsidP="009E6143">
      <w:pPr>
        <w:pStyle w:val="H23G"/>
      </w:pPr>
      <w:r w:rsidRPr="002948CC">
        <w:rPr>
          <w:lang w:val="fr-FR"/>
        </w:rPr>
        <w:tab/>
      </w:r>
      <w:r w:rsidRPr="002948CC">
        <w:rPr>
          <w:lang w:val="fr-FR"/>
        </w:rPr>
        <w:tab/>
        <w:t>Consultation publique</w:t>
      </w:r>
    </w:p>
    <w:p w:rsidR="00796AE4" w:rsidRPr="002948CC" w:rsidRDefault="00796AE4" w:rsidP="00796AE4">
      <w:pPr>
        <w:pStyle w:val="SingleTxtG"/>
        <w:ind w:firstLine="567"/>
      </w:pPr>
      <w:r w:rsidRPr="002948CC">
        <w:rPr>
          <w:lang w:val="fr-FR"/>
        </w:rPr>
        <w:t>9.</w:t>
      </w:r>
      <w:r w:rsidRPr="002948CC">
        <w:rPr>
          <w:lang w:val="fr-FR"/>
        </w:rPr>
        <w:tab/>
      </w:r>
      <w:r w:rsidRPr="002948CC">
        <w:rPr>
          <w:i/>
          <w:lang w:val="fr-FR"/>
        </w:rPr>
        <w:t>Note avec satisfaction</w:t>
      </w:r>
      <w:r w:rsidRPr="002948CC">
        <w:rPr>
          <w:lang w:val="fr-FR"/>
        </w:rPr>
        <w:t xml:space="preserve"> que </w:t>
      </w:r>
      <w:r>
        <w:rPr>
          <w:lang w:val="fr-FR"/>
        </w:rPr>
        <w:t xml:space="preserve">toutes les </w:t>
      </w:r>
      <w:r w:rsidRPr="002948CC">
        <w:rPr>
          <w:lang w:val="fr-FR"/>
        </w:rPr>
        <w:t xml:space="preserve">Parties </w:t>
      </w:r>
      <w:r>
        <w:rPr>
          <w:lang w:val="fr-FR"/>
        </w:rPr>
        <w:t>qui ont présenté un rapport l’</w:t>
      </w:r>
      <w:r w:rsidRPr="002948CC">
        <w:rPr>
          <w:lang w:val="fr-FR"/>
        </w:rPr>
        <w:t>ont établi dans le cadre d</w:t>
      </w:r>
      <w:r>
        <w:rPr>
          <w:lang w:val="fr-FR"/>
        </w:rPr>
        <w:t>’</w:t>
      </w:r>
      <w:r w:rsidRPr="002948CC">
        <w:rPr>
          <w:lang w:val="fr-FR"/>
        </w:rPr>
        <w:t>une procédure comprenant des consultations avec divers organismes gouvernementaux et la société civile ;</w:t>
      </w:r>
    </w:p>
    <w:p w:rsidR="00796AE4" w:rsidRPr="002948CC" w:rsidRDefault="00796AE4" w:rsidP="00796AE4">
      <w:pPr>
        <w:pStyle w:val="SingleTxtG"/>
        <w:ind w:firstLine="567"/>
      </w:pPr>
      <w:r w:rsidRPr="002948CC">
        <w:rPr>
          <w:lang w:val="fr-FR"/>
        </w:rPr>
        <w:t>10.</w:t>
      </w:r>
      <w:r w:rsidRPr="002948CC">
        <w:rPr>
          <w:lang w:val="fr-FR"/>
        </w:rPr>
        <w:tab/>
      </w:r>
      <w:r w:rsidRPr="002948CC">
        <w:rPr>
          <w:i/>
          <w:lang w:val="fr-FR"/>
        </w:rPr>
        <w:t>Encourage</w:t>
      </w:r>
      <w:r w:rsidRPr="002948CC">
        <w:rPr>
          <w:lang w:val="fr-FR"/>
        </w:rPr>
        <w:t xml:space="preserve"> les Parties à veiller à assurer la transparence et la tenue de consultations publiques tout au long du processus d</w:t>
      </w:r>
      <w:r>
        <w:rPr>
          <w:lang w:val="fr-FR"/>
        </w:rPr>
        <w:t>’</w:t>
      </w:r>
      <w:r w:rsidRPr="002948CC">
        <w:rPr>
          <w:lang w:val="fr-FR"/>
        </w:rPr>
        <w:t>établissement et de communication des rapports ;</w:t>
      </w:r>
    </w:p>
    <w:p w:rsidR="00796AE4" w:rsidRPr="002948CC" w:rsidRDefault="00796AE4" w:rsidP="009E6143">
      <w:pPr>
        <w:pStyle w:val="H23G"/>
      </w:pPr>
      <w:r w:rsidRPr="002948CC">
        <w:rPr>
          <w:lang w:val="fr-FR"/>
        </w:rPr>
        <w:tab/>
      </w:r>
      <w:r w:rsidRPr="002948CC">
        <w:rPr>
          <w:lang w:val="fr-FR"/>
        </w:rPr>
        <w:tab/>
        <w:t>Élaboration de rapports pour la session suivante de la Réunion des Parties</w:t>
      </w:r>
    </w:p>
    <w:p w:rsidR="005F26E5" w:rsidRDefault="00796AE4" w:rsidP="00796AE4">
      <w:pPr>
        <w:pStyle w:val="SingleTxtG"/>
        <w:ind w:firstLine="567"/>
      </w:pPr>
      <w:r w:rsidRPr="002948CC">
        <w:rPr>
          <w:lang w:val="fr-FR"/>
        </w:rPr>
        <w:t>11.</w:t>
      </w:r>
      <w:r w:rsidRPr="002948CC">
        <w:rPr>
          <w:lang w:val="fr-FR"/>
        </w:rPr>
        <w:tab/>
      </w:r>
      <w:r w:rsidRPr="002948CC">
        <w:rPr>
          <w:i/>
          <w:lang w:val="fr-FR"/>
        </w:rPr>
        <w:t>Demande</w:t>
      </w:r>
      <w:r w:rsidRPr="002948CC">
        <w:rPr>
          <w:lang w:val="fr-FR"/>
        </w:rPr>
        <w:t xml:space="preserve"> au secrétariat de distribuer à toutes les Parties et aux acteurs concernés un rappel officiel concernant </w:t>
      </w:r>
      <w:r w:rsidRPr="00427A7D">
        <w:t>les prescriptions en matière d</w:t>
      </w:r>
      <w:r>
        <w:t>’</w:t>
      </w:r>
      <w:r w:rsidRPr="00427A7D">
        <w:t>établissement de rapports</w:t>
      </w:r>
      <w:r w:rsidRPr="002948CC">
        <w:rPr>
          <w:lang w:val="fr-FR"/>
        </w:rPr>
        <w:t>, y compris des indications pour leur préparation, le calendrier proposé et la confirmation de la date pour la soumission des rapports au secrétariat conformément au paragraphe 9 de la décision II/10, au moins un an avant la session suivante de la Réunion des Parties</w:t>
      </w:r>
      <w:r w:rsidRPr="002948CC">
        <w:t>.</w:t>
      </w:r>
    </w:p>
    <w:p w:rsidR="00796AE4" w:rsidRPr="00796AE4" w:rsidRDefault="00796AE4" w:rsidP="00796AE4">
      <w:pPr>
        <w:pStyle w:val="SingleTxtG"/>
        <w:spacing w:before="240" w:after="0"/>
        <w:jc w:val="center"/>
        <w:rPr>
          <w:u w:val="single"/>
        </w:rPr>
      </w:pPr>
      <w:r>
        <w:rPr>
          <w:u w:val="single"/>
        </w:rPr>
        <w:tab/>
      </w:r>
      <w:r>
        <w:rPr>
          <w:u w:val="single"/>
        </w:rPr>
        <w:tab/>
      </w:r>
      <w:r>
        <w:rPr>
          <w:u w:val="single"/>
        </w:rPr>
        <w:tab/>
      </w:r>
      <w:bookmarkStart w:id="0" w:name="_GoBack"/>
      <w:bookmarkEnd w:id="0"/>
    </w:p>
    <w:sectPr w:rsidR="00796AE4" w:rsidRPr="00796AE4" w:rsidSect="001B633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1A3" w:rsidRDefault="006F11A3" w:rsidP="00F95C08">
      <w:pPr>
        <w:spacing w:line="240" w:lineRule="auto"/>
      </w:pPr>
    </w:p>
  </w:endnote>
  <w:endnote w:type="continuationSeparator" w:id="0">
    <w:p w:rsidR="006F11A3" w:rsidRPr="00AC3823" w:rsidRDefault="006F11A3" w:rsidP="00AC3823">
      <w:pPr>
        <w:pStyle w:val="Pieddepage"/>
      </w:pPr>
    </w:p>
  </w:endnote>
  <w:endnote w:type="continuationNotice" w:id="1">
    <w:p w:rsidR="006F11A3" w:rsidRDefault="006F11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338" w:rsidRPr="001B6338" w:rsidRDefault="001B6338" w:rsidP="001B6338">
    <w:pPr>
      <w:pStyle w:val="Pieddepage"/>
      <w:tabs>
        <w:tab w:val="right" w:pos="9638"/>
      </w:tabs>
    </w:pPr>
    <w:r w:rsidRPr="001B6338">
      <w:rPr>
        <w:b/>
        <w:sz w:val="18"/>
      </w:rPr>
      <w:fldChar w:fldCharType="begin"/>
    </w:r>
    <w:r w:rsidRPr="001B6338">
      <w:rPr>
        <w:b/>
        <w:sz w:val="18"/>
      </w:rPr>
      <w:instrText xml:space="preserve"> PAGE  \* MERGEFORMAT </w:instrText>
    </w:r>
    <w:r w:rsidRPr="001B6338">
      <w:rPr>
        <w:b/>
        <w:sz w:val="18"/>
      </w:rPr>
      <w:fldChar w:fldCharType="separate"/>
    </w:r>
    <w:r w:rsidRPr="001B6338">
      <w:rPr>
        <w:b/>
        <w:noProof/>
        <w:sz w:val="18"/>
      </w:rPr>
      <w:t>2</w:t>
    </w:r>
    <w:r w:rsidRPr="001B6338">
      <w:rPr>
        <w:b/>
        <w:sz w:val="18"/>
      </w:rPr>
      <w:fldChar w:fldCharType="end"/>
    </w:r>
    <w:r>
      <w:rPr>
        <w:b/>
        <w:sz w:val="18"/>
      </w:rPr>
      <w:tab/>
    </w:r>
    <w:r>
      <w:t>GE.21-10710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338" w:rsidRPr="001B6338" w:rsidRDefault="001B6338" w:rsidP="001B6338">
    <w:pPr>
      <w:pStyle w:val="Pieddepage"/>
      <w:tabs>
        <w:tab w:val="right" w:pos="9638"/>
      </w:tabs>
      <w:rPr>
        <w:b/>
        <w:sz w:val="18"/>
      </w:rPr>
    </w:pPr>
    <w:r>
      <w:t>GE.21-10710</w:t>
    </w:r>
    <w:r>
      <w:tab/>
    </w:r>
    <w:r w:rsidRPr="001B6338">
      <w:rPr>
        <w:b/>
        <w:sz w:val="18"/>
      </w:rPr>
      <w:fldChar w:fldCharType="begin"/>
    </w:r>
    <w:r w:rsidRPr="001B6338">
      <w:rPr>
        <w:b/>
        <w:sz w:val="18"/>
      </w:rPr>
      <w:instrText xml:space="preserve"> PAGE  \* MERGEFORMAT </w:instrText>
    </w:r>
    <w:r w:rsidRPr="001B6338">
      <w:rPr>
        <w:b/>
        <w:sz w:val="18"/>
      </w:rPr>
      <w:fldChar w:fldCharType="separate"/>
    </w:r>
    <w:r w:rsidRPr="001B6338">
      <w:rPr>
        <w:b/>
        <w:noProof/>
        <w:sz w:val="18"/>
      </w:rPr>
      <w:t>3</w:t>
    </w:r>
    <w:r w:rsidRPr="001B63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20" w:rsidRPr="001B6338" w:rsidRDefault="001B6338" w:rsidP="001B6338">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21-10710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E6143">
      <w:rPr>
        <w:sz w:val="20"/>
      </w:rPr>
      <w:t xml:space="preserve">    190821    190821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1A3" w:rsidRPr="00AC3823" w:rsidRDefault="006F11A3" w:rsidP="00AC3823">
      <w:pPr>
        <w:pStyle w:val="Pieddepage"/>
        <w:tabs>
          <w:tab w:val="right" w:pos="2155"/>
        </w:tabs>
        <w:spacing w:after="80" w:line="240" w:lineRule="atLeast"/>
        <w:ind w:left="680"/>
        <w:rPr>
          <w:u w:val="single"/>
        </w:rPr>
      </w:pPr>
      <w:r>
        <w:rPr>
          <w:u w:val="single"/>
        </w:rPr>
        <w:tab/>
      </w:r>
    </w:p>
  </w:footnote>
  <w:footnote w:type="continuationSeparator" w:id="0">
    <w:p w:rsidR="006F11A3" w:rsidRPr="00AC3823" w:rsidRDefault="006F11A3" w:rsidP="00AC3823">
      <w:pPr>
        <w:pStyle w:val="Pieddepage"/>
        <w:tabs>
          <w:tab w:val="right" w:pos="2155"/>
        </w:tabs>
        <w:spacing w:after="80" w:line="240" w:lineRule="atLeast"/>
        <w:ind w:left="680"/>
        <w:rPr>
          <w:u w:val="single"/>
        </w:rPr>
      </w:pPr>
      <w:r>
        <w:rPr>
          <w:u w:val="single"/>
        </w:rPr>
        <w:tab/>
      </w:r>
    </w:p>
  </w:footnote>
  <w:footnote w:type="continuationNotice" w:id="1">
    <w:p w:rsidR="006F11A3" w:rsidRPr="00AC3823" w:rsidRDefault="006F11A3">
      <w:pPr>
        <w:spacing w:line="240" w:lineRule="auto"/>
        <w:rPr>
          <w:sz w:val="2"/>
          <w:szCs w:val="2"/>
        </w:rPr>
      </w:pPr>
    </w:p>
  </w:footnote>
  <w:footnote w:id="2">
    <w:p w:rsidR="00796AE4" w:rsidRPr="00427A7D" w:rsidRDefault="00796AE4" w:rsidP="00796AE4">
      <w:pPr>
        <w:pStyle w:val="Notedebasdepage"/>
        <w:rPr>
          <w:lang w:val="en-US"/>
        </w:rPr>
      </w:pPr>
      <w:r w:rsidRPr="00970229">
        <w:rPr>
          <w:lang w:val="fr-FR"/>
        </w:rPr>
        <w:tab/>
      </w:r>
      <w:r w:rsidRPr="007E59C0">
        <w:rPr>
          <w:rStyle w:val="Appelnotedebasdep"/>
        </w:rPr>
        <w:footnoteRef/>
      </w:r>
      <w:r>
        <w:rPr>
          <w:lang w:val="en-US"/>
        </w:rPr>
        <w:tab/>
      </w:r>
      <w:r w:rsidRPr="00427A7D">
        <w:rPr>
          <w:lang w:val="en-US"/>
        </w:rPr>
        <w:t>ECE/MP.PP/2/Add.9.</w:t>
      </w:r>
    </w:p>
  </w:footnote>
  <w:footnote w:id="3">
    <w:p w:rsidR="00796AE4" w:rsidRPr="00427A7D" w:rsidRDefault="00796AE4" w:rsidP="00796AE4">
      <w:pPr>
        <w:pStyle w:val="Notedebasdepage"/>
        <w:rPr>
          <w:lang w:val="en-US"/>
        </w:rPr>
      </w:pPr>
      <w:r>
        <w:rPr>
          <w:lang w:val="en-US"/>
        </w:rPr>
        <w:tab/>
      </w:r>
      <w:r w:rsidRPr="007E59C0">
        <w:rPr>
          <w:rStyle w:val="Appelnotedebasdep"/>
        </w:rPr>
        <w:footnoteRef/>
      </w:r>
      <w:r w:rsidRPr="00427A7D">
        <w:rPr>
          <w:lang w:val="en-US"/>
        </w:rPr>
        <w:t xml:space="preserve"> </w:t>
      </w:r>
      <w:r>
        <w:rPr>
          <w:lang w:val="en-US"/>
        </w:rPr>
        <w:tab/>
      </w:r>
      <w:r w:rsidRPr="00427A7D">
        <w:rPr>
          <w:lang w:val="en-US"/>
        </w:rPr>
        <w:t>ECE/MP.PP/2005/2/Add.14.</w:t>
      </w:r>
    </w:p>
  </w:footnote>
  <w:footnote w:id="4">
    <w:p w:rsidR="00796AE4" w:rsidRPr="00427A7D" w:rsidRDefault="00796AE4" w:rsidP="00796AE4">
      <w:pPr>
        <w:pStyle w:val="Notedebasdepage"/>
        <w:rPr>
          <w:lang w:val="en-US"/>
        </w:rPr>
      </w:pPr>
      <w:r>
        <w:rPr>
          <w:lang w:val="en-US"/>
        </w:rPr>
        <w:tab/>
      </w:r>
      <w:r w:rsidRPr="007E59C0">
        <w:rPr>
          <w:rStyle w:val="Appelnotedebasdep"/>
        </w:rPr>
        <w:footnoteRef/>
      </w:r>
      <w:r>
        <w:rPr>
          <w:lang w:val="en-US"/>
        </w:rPr>
        <w:tab/>
      </w:r>
      <w:r w:rsidRPr="00427A7D">
        <w:rPr>
          <w:lang w:val="en-US"/>
        </w:rPr>
        <w:t>ECE/MP.PP/2008/2/Add.7.</w:t>
      </w:r>
    </w:p>
  </w:footnote>
  <w:footnote w:id="5">
    <w:p w:rsidR="00796AE4" w:rsidRPr="00427A7D" w:rsidRDefault="00796AE4" w:rsidP="00796AE4">
      <w:pPr>
        <w:pStyle w:val="Notedebasdepage"/>
        <w:rPr>
          <w:lang w:val="en-US"/>
        </w:rPr>
      </w:pPr>
      <w:r>
        <w:rPr>
          <w:lang w:val="en-US"/>
        </w:rPr>
        <w:tab/>
      </w:r>
      <w:r w:rsidRPr="007E59C0">
        <w:rPr>
          <w:rStyle w:val="Appelnotedebasdep"/>
        </w:rPr>
        <w:footnoteRef/>
      </w:r>
      <w:r w:rsidRPr="00427A7D">
        <w:rPr>
          <w:lang w:val="en-US"/>
        </w:rPr>
        <w:t xml:space="preserve"> </w:t>
      </w:r>
      <w:r>
        <w:rPr>
          <w:lang w:val="en-US"/>
        </w:rPr>
        <w:tab/>
      </w:r>
      <w:r w:rsidRPr="00427A7D">
        <w:rPr>
          <w:lang w:val="en-US"/>
        </w:rPr>
        <w:t>ECE/MP.PP/2011/2/Add.1.</w:t>
      </w:r>
    </w:p>
  </w:footnote>
  <w:footnote w:id="6">
    <w:p w:rsidR="00796AE4" w:rsidRPr="00427A7D" w:rsidRDefault="00796AE4" w:rsidP="00796AE4">
      <w:pPr>
        <w:pStyle w:val="Notedebasdepage"/>
        <w:rPr>
          <w:lang w:val="en-US"/>
        </w:rPr>
      </w:pPr>
      <w:r>
        <w:rPr>
          <w:lang w:val="en-US"/>
        </w:rPr>
        <w:tab/>
      </w:r>
      <w:r w:rsidRPr="007E59C0">
        <w:rPr>
          <w:rStyle w:val="Appelnotedebasdep"/>
        </w:rPr>
        <w:footnoteRef/>
      </w:r>
      <w:r>
        <w:rPr>
          <w:lang w:val="en-US"/>
        </w:rPr>
        <w:tab/>
      </w:r>
      <w:r w:rsidRPr="00427A7D">
        <w:rPr>
          <w:lang w:val="en-US"/>
        </w:rPr>
        <w:t>ECE/MP.PP/2014/2/Add.1.</w:t>
      </w:r>
    </w:p>
  </w:footnote>
  <w:footnote w:id="7">
    <w:p w:rsidR="00796AE4" w:rsidRPr="00427A7D" w:rsidRDefault="00796AE4" w:rsidP="00796AE4">
      <w:pPr>
        <w:pStyle w:val="Notedebasdepage"/>
        <w:rPr>
          <w:lang w:val="en-US"/>
        </w:rPr>
      </w:pPr>
      <w:r>
        <w:rPr>
          <w:lang w:val="en-US"/>
        </w:rPr>
        <w:tab/>
      </w:r>
      <w:r w:rsidRPr="007E59C0">
        <w:rPr>
          <w:rStyle w:val="Appelnotedebasdep"/>
        </w:rPr>
        <w:footnoteRef/>
      </w:r>
      <w:r>
        <w:rPr>
          <w:lang w:val="en-US"/>
        </w:rPr>
        <w:tab/>
      </w:r>
      <w:r w:rsidRPr="00427A7D">
        <w:rPr>
          <w:lang w:val="en-US"/>
        </w:rPr>
        <w:t>ECE/MP.PP/2017/2/Add.1.</w:t>
      </w:r>
    </w:p>
  </w:footnote>
  <w:footnote w:id="8">
    <w:p w:rsidR="00796AE4" w:rsidRPr="00427A7D" w:rsidRDefault="00796AE4" w:rsidP="00796AE4">
      <w:pPr>
        <w:pStyle w:val="Notedebasdepage"/>
        <w:rPr>
          <w:lang w:val="en-US"/>
        </w:rPr>
      </w:pPr>
      <w:r>
        <w:rPr>
          <w:lang w:val="en-US"/>
        </w:rPr>
        <w:tab/>
      </w:r>
      <w:r w:rsidRPr="007E59C0">
        <w:rPr>
          <w:rStyle w:val="Appelnotedebasdep"/>
        </w:rPr>
        <w:footnoteRef/>
      </w:r>
      <w:r>
        <w:rPr>
          <w:lang w:val="en-US"/>
        </w:rPr>
        <w:tab/>
      </w:r>
      <w:r w:rsidRPr="00427A7D">
        <w:rPr>
          <w:lang w:val="en-US"/>
        </w:rPr>
        <w:t>ECE/MP.PP/2/Add.8.</w:t>
      </w:r>
    </w:p>
  </w:footnote>
  <w:footnote w:id="9">
    <w:p w:rsidR="00796AE4" w:rsidRPr="00E057F0" w:rsidRDefault="00796AE4" w:rsidP="00796AE4">
      <w:pPr>
        <w:pStyle w:val="Notedebasdepage"/>
        <w:rPr>
          <w:lang w:val="en-US"/>
        </w:rPr>
      </w:pPr>
      <w:r w:rsidRPr="00427A7D">
        <w:rPr>
          <w:lang w:val="en-US"/>
        </w:rPr>
        <w:tab/>
      </w:r>
      <w:r w:rsidRPr="007E59C0">
        <w:rPr>
          <w:rStyle w:val="Appelnotedebasdep"/>
        </w:rPr>
        <w:footnoteRef/>
      </w:r>
      <w:r w:rsidRPr="00E057F0">
        <w:rPr>
          <w:lang w:val="en-US"/>
        </w:rPr>
        <w:tab/>
        <w:t>ECE/MP.PP/20</w:t>
      </w:r>
      <w:r>
        <w:rPr>
          <w:lang w:val="en-US"/>
        </w:rPr>
        <w:t>21</w:t>
      </w:r>
      <w:r w:rsidRPr="00E057F0">
        <w:rPr>
          <w:lang w:val="en-US"/>
        </w:rPr>
        <w:t>/</w:t>
      </w:r>
      <w:r>
        <w:rPr>
          <w:lang w:val="en-US"/>
        </w:rPr>
        <w:t>6.</w:t>
      </w:r>
    </w:p>
  </w:footnote>
  <w:footnote w:id="10">
    <w:p w:rsidR="00796AE4" w:rsidRPr="007E59C0" w:rsidRDefault="00796AE4" w:rsidP="00796AE4">
      <w:pPr>
        <w:pStyle w:val="Notedebasdepage"/>
      </w:pPr>
      <w:r w:rsidRPr="00E057F0">
        <w:rPr>
          <w:lang w:val="en-US"/>
        </w:rPr>
        <w:tab/>
      </w:r>
      <w:r w:rsidRPr="007E59C0">
        <w:rPr>
          <w:rStyle w:val="Appelnotedebasdep"/>
        </w:rPr>
        <w:footnoteRef/>
      </w:r>
      <w:r w:rsidRPr="007E59C0">
        <w:tab/>
        <w:t>ECE/MP.PP/2021/44 et ECE/MP.PP/2021/45.</w:t>
      </w:r>
    </w:p>
  </w:footnote>
  <w:footnote w:id="11">
    <w:p w:rsidR="00796AE4" w:rsidRPr="007E59C0" w:rsidRDefault="00796AE4" w:rsidP="00796AE4">
      <w:pPr>
        <w:pStyle w:val="Notedebasdepage"/>
      </w:pPr>
      <w:r w:rsidRPr="007E59C0">
        <w:tab/>
      </w:r>
      <w:r w:rsidRPr="007E59C0">
        <w:rPr>
          <w:rStyle w:val="Appelnotedebasdep"/>
        </w:rPr>
        <w:footnoteRef/>
      </w:r>
      <w:r w:rsidRPr="007E59C0">
        <w:tab/>
        <w:t>ECE/MP.PP/2021/… à ECE/MP.PP/2021/…</w:t>
      </w:r>
    </w:p>
  </w:footnote>
  <w:footnote w:id="12">
    <w:p w:rsidR="00796AE4" w:rsidRPr="00CD0969" w:rsidRDefault="00796AE4" w:rsidP="00796AE4">
      <w:pPr>
        <w:pStyle w:val="Notedebasdepage"/>
      </w:pPr>
      <w:r>
        <w:rPr>
          <w:lang w:val="fr-FR"/>
        </w:rPr>
        <w:tab/>
      </w:r>
      <w:r w:rsidRPr="007E59C0">
        <w:rPr>
          <w:rStyle w:val="Appelnotedebasdep"/>
        </w:rPr>
        <w:footnoteRef/>
      </w:r>
      <w:r w:rsidR="009E6143">
        <w:rPr>
          <w:lang w:val="fr-FR"/>
        </w:rPr>
        <w:tab/>
      </w:r>
      <w:r>
        <w:rPr>
          <w:lang w:val="fr-FR"/>
        </w:rPr>
        <w:t xml:space="preserve">À consulter à l’adresse </w:t>
      </w:r>
      <w:hyperlink r:id="rId1" w:history="1">
        <w:r w:rsidRPr="00183CC1">
          <w:rPr>
            <w:rStyle w:val="Lienhypertexte"/>
            <w:color w:val="auto"/>
          </w:rPr>
          <w:t>https://unece.org/2021-reports-international-regional-and-non-</w:t>
        </w:r>
        <w:r w:rsidRPr="00183CC1">
          <w:rPr>
            <w:rStyle w:val="Lienhypertexte"/>
            <w:color w:val="auto"/>
          </w:rPr>
          <w:t>g</w:t>
        </w:r>
        <w:r w:rsidRPr="00183CC1">
          <w:rPr>
            <w:rStyle w:val="Lienhypertexte"/>
            <w:color w:val="auto"/>
          </w:rPr>
          <w:t>overnmental-organizations</w:t>
        </w:r>
      </w:hyperlink>
      <w:r w:rsidR="00183CC1">
        <w:t>.</w:t>
      </w:r>
    </w:p>
  </w:footnote>
  <w:footnote w:id="13">
    <w:p w:rsidR="00796AE4" w:rsidRPr="007E59C0" w:rsidRDefault="009E6143" w:rsidP="00796AE4">
      <w:pPr>
        <w:pStyle w:val="Notedebasdepage"/>
        <w:rPr>
          <w:lang w:val="fr-FR"/>
        </w:rPr>
      </w:pPr>
      <w:r>
        <w:tab/>
      </w:r>
      <w:r w:rsidR="00796AE4" w:rsidRPr="007E59C0">
        <w:rPr>
          <w:rStyle w:val="Appelnotedebasdep"/>
        </w:rPr>
        <w:footnoteRef/>
      </w:r>
      <w:r>
        <w:tab/>
      </w:r>
      <w:r w:rsidR="00796AE4">
        <w:rPr>
          <w:lang w:val="fr-FR"/>
        </w:rPr>
        <w:t>Au 22 juillet 2021.</w:t>
      </w:r>
    </w:p>
  </w:footnote>
  <w:footnote w:id="14">
    <w:p w:rsidR="00796AE4" w:rsidRPr="007E59C0" w:rsidRDefault="009E6143" w:rsidP="00796AE4">
      <w:pPr>
        <w:pStyle w:val="Notedebasdepage"/>
        <w:rPr>
          <w:lang w:val="fr-FR"/>
        </w:rPr>
      </w:pPr>
      <w:r>
        <w:tab/>
      </w:r>
      <w:r w:rsidR="00796AE4" w:rsidRPr="007E59C0">
        <w:rPr>
          <w:rStyle w:val="Appelnotedebasdep"/>
        </w:rPr>
        <w:footnoteRef/>
      </w:r>
      <w:r>
        <w:tab/>
      </w:r>
      <w:r w:rsidR="00796AE4">
        <w:rPr>
          <w:lang w:val="fr-FR"/>
        </w:rPr>
        <w:t>Au 22 juillet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338" w:rsidRPr="001B6338" w:rsidRDefault="001B6338">
    <w:pPr>
      <w:pStyle w:val="En-tte"/>
    </w:pPr>
    <w:fldSimple w:instr=" TITLE  \* MERGEFORMAT ">
      <w:r>
        <w:t>ECE/MP.PP/2021/14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338" w:rsidRPr="001B6338" w:rsidRDefault="001B6338" w:rsidP="001B6338">
    <w:pPr>
      <w:pStyle w:val="En-tte"/>
      <w:jc w:val="right"/>
    </w:pPr>
    <w:fldSimple w:instr=" TITLE  \* MERGEFORMAT ">
      <w:r>
        <w:t>ECE/MP.PP/2021/14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A3"/>
    <w:rsid w:val="00017F94"/>
    <w:rsid w:val="00023842"/>
    <w:rsid w:val="00031189"/>
    <w:rsid w:val="000334F9"/>
    <w:rsid w:val="0007796D"/>
    <w:rsid w:val="000B7790"/>
    <w:rsid w:val="00111F2F"/>
    <w:rsid w:val="0014365E"/>
    <w:rsid w:val="00176178"/>
    <w:rsid w:val="00183CC1"/>
    <w:rsid w:val="001B6338"/>
    <w:rsid w:val="001F525A"/>
    <w:rsid w:val="00223272"/>
    <w:rsid w:val="0024779E"/>
    <w:rsid w:val="002832AC"/>
    <w:rsid w:val="002B40F9"/>
    <w:rsid w:val="002D7C93"/>
    <w:rsid w:val="00441C3B"/>
    <w:rsid w:val="00446FE5"/>
    <w:rsid w:val="00452396"/>
    <w:rsid w:val="00475C4C"/>
    <w:rsid w:val="004808E7"/>
    <w:rsid w:val="004E468C"/>
    <w:rsid w:val="00512880"/>
    <w:rsid w:val="005505B7"/>
    <w:rsid w:val="00573BE5"/>
    <w:rsid w:val="00586ED3"/>
    <w:rsid w:val="00596AA9"/>
    <w:rsid w:val="005D6D16"/>
    <w:rsid w:val="005F26E5"/>
    <w:rsid w:val="006C0E3B"/>
    <w:rsid w:val="006F11A3"/>
    <w:rsid w:val="0071601D"/>
    <w:rsid w:val="007414EA"/>
    <w:rsid w:val="00796AE4"/>
    <w:rsid w:val="007A5FC4"/>
    <w:rsid w:val="007A62E6"/>
    <w:rsid w:val="0080684C"/>
    <w:rsid w:val="00871C75"/>
    <w:rsid w:val="008776DC"/>
    <w:rsid w:val="008D6B3F"/>
    <w:rsid w:val="0090540F"/>
    <w:rsid w:val="009705C8"/>
    <w:rsid w:val="009C1CF4"/>
    <w:rsid w:val="009E6143"/>
    <w:rsid w:val="00A14420"/>
    <w:rsid w:val="00A30353"/>
    <w:rsid w:val="00AC3823"/>
    <w:rsid w:val="00AE323C"/>
    <w:rsid w:val="00B00181"/>
    <w:rsid w:val="00B00B0D"/>
    <w:rsid w:val="00B61815"/>
    <w:rsid w:val="00B765F7"/>
    <w:rsid w:val="00BA0CA9"/>
    <w:rsid w:val="00C02897"/>
    <w:rsid w:val="00C554CE"/>
    <w:rsid w:val="00CE26D2"/>
    <w:rsid w:val="00D3439C"/>
    <w:rsid w:val="00D503D3"/>
    <w:rsid w:val="00DB1831"/>
    <w:rsid w:val="00DD3BFD"/>
    <w:rsid w:val="00DF5712"/>
    <w:rsid w:val="00DF6678"/>
    <w:rsid w:val="00E96BD6"/>
    <w:rsid w:val="00ED5F56"/>
    <w:rsid w:val="00EE22F9"/>
    <w:rsid w:val="00EF2E22"/>
    <w:rsid w:val="00F274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D88F74"/>
  <w15:docId w15:val="{4E22E794-D324-4599-8BBA-8777F068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9E6143"/>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qFormat/>
    <w:rsid w:val="00796AE4"/>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183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2021-reports-international-regional-and-non-governmental-organiz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1</TotalTime>
  <Pages>3</Pages>
  <Words>781</Words>
  <Characters>5389</Characters>
  <Application>Microsoft Office Word</Application>
  <DocSecurity>0</DocSecurity>
  <Lines>598</Lines>
  <Paragraphs>257</Paragraphs>
  <ScaleCrop>false</ScaleCrop>
  <HeadingPairs>
    <vt:vector size="2" baseType="variant">
      <vt:variant>
        <vt:lpstr>Titre</vt:lpstr>
      </vt:variant>
      <vt:variant>
        <vt:i4>1</vt:i4>
      </vt:variant>
    </vt:vector>
  </HeadingPairs>
  <TitlesOfParts>
    <vt:vector size="1" baseType="lpstr">
      <vt:lpstr>ECE/MP.PP/2021/14</vt:lpstr>
    </vt:vector>
  </TitlesOfParts>
  <Company>DCM</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ECE/MP.PP/2021/14</dc:title>
  <dc:subject/>
  <dc:creator>Nathalie VITTOZ</dc:creator>
  <cp:keywords/>
  <cp:lastModifiedBy>Nathalie Vittoz</cp:lastModifiedBy>
  <cp:revision>2</cp:revision>
  <cp:lastPrinted>2014-05-14T10:59:00Z</cp:lastPrinted>
  <dcterms:created xsi:type="dcterms:W3CDTF">2021-08-19T12:47:00Z</dcterms:created>
  <dcterms:modified xsi:type="dcterms:W3CDTF">2021-08-19T12:47:00Z</dcterms:modified>
</cp:coreProperties>
</file>