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14:paraId="231A2B46" w14:textId="77777777" w:rsidTr="00DF5712">
        <w:trPr>
          <w:trHeight w:hRule="exact" w:val="851"/>
        </w:trPr>
        <w:tc>
          <w:tcPr>
            <w:tcW w:w="1276" w:type="dxa"/>
            <w:tcBorders>
              <w:bottom w:val="single" w:sz="4" w:space="0" w:color="auto"/>
            </w:tcBorders>
          </w:tcPr>
          <w:p w14:paraId="7DA295C7" w14:textId="77777777" w:rsidR="00A14420" w:rsidRPr="00DB58B5" w:rsidRDefault="00A14420" w:rsidP="00DA034B"/>
        </w:tc>
        <w:tc>
          <w:tcPr>
            <w:tcW w:w="2268" w:type="dxa"/>
            <w:tcBorders>
              <w:bottom w:val="single" w:sz="4" w:space="0" w:color="auto"/>
            </w:tcBorders>
            <w:vAlign w:val="bottom"/>
          </w:tcPr>
          <w:p w14:paraId="6158F032" w14:textId="77777777"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C03A693" w14:textId="3CB44894" w:rsidR="00A14420" w:rsidRPr="00DB58B5" w:rsidRDefault="00DA034B" w:rsidP="00DA034B">
            <w:pPr>
              <w:jc w:val="right"/>
            </w:pPr>
            <w:r w:rsidRPr="00DA034B">
              <w:rPr>
                <w:sz w:val="40"/>
              </w:rPr>
              <w:t>ECE</w:t>
            </w:r>
            <w:r>
              <w:t>/MP.PP/2021/13</w:t>
            </w:r>
          </w:p>
        </w:tc>
      </w:tr>
      <w:tr w:rsidR="00A14420" w:rsidRPr="00DB58B5" w14:paraId="492A3BC2" w14:textId="77777777" w:rsidTr="00DF5712">
        <w:trPr>
          <w:trHeight w:hRule="exact" w:val="2835"/>
        </w:trPr>
        <w:tc>
          <w:tcPr>
            <w:tcW w:w="1276" w:type="dxa"/>
            <w:tcBorders>
              <w:top w:val="single" w:sz="4" w:space="0" w:color="auto"/>
              <w:bottom w:val="single" w:sz="12" w:space="0" w:color="auto"/>
            </w:tcBorders>
          </w:tcPr>
          <w:p w14:paraId="3DFAD60D" w14:textId="77777777" w:rsidR="00A14420" w:rsidRPr="00DB58B5" w:rsidRDefault="00A14420" w:rsidP="00DF5712">
            <w:pPr>
              <w:spacing w:before="120"/>
              <w:jc w:val="center"/>
            </w:pPr>
            <w:r>
              <w:rPr>
                <w:noProof/>
                <w:lang w:eastAsia="fr-CH"/>
              </w:rPr>
              <w:drawing>
                <wp:inline distT="0" distB="0" distL="0" distR="0" wp14:anchorId="526B6291" wp14:editId="7CB1372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AF27E59" w14:textId="77777777"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DC04E17" w14:textId="77777777" w:rsidR="00A14420" w:rsidRDefault="00DA034B" w:rsidP="00DF5712">
            <w:pPr>
              <w:spacing w:before="240"/>
            </w:pPr>
            <w:r>
              <w:t>Distr. générale</w:t>
            </w:r>
          </w:p>
          <w:p w14:paraId="2E044B88" w14:textId="23E07244" w:rsidR="00DA034B" w:rsidRDefault="00DA034B" w:rsidP="00DA034B">
            <w:pPr>
              <w:spacing w:line="240" w:lineRule="exact"/>
            </w:pPr>
            <w:r>
              <w:t>22 juillet 2021</w:t>
            </w:r>
          </w:p>
          <w:p w14:paraId="0555515C" w14:textId="77777777" w:rsidR="00DA034B" w:rsidRDefault="00DA034B" w:rsidP="00DA034B">
            <w:pPr>
              <w:spacing w:line="240" w:lineRule="exact"/>
            </w:pPr>
            <w:r>
              <w:t>Français</w:t>
            </w:r>
          </w:p>
          <w:p w14:paraId="23E5FD11" w14:textId="4601C7FC" w:rsidR="00DA034B" w:rsidRPr="00DB58B5" w:rsidRDefault="00DA034B" w:rsidP="00DA034B">
            <w:pPr>
              <w:spacing w:line="240" w:lineRule="exact"/>
            </w:pPr>
            <w:r>
              <w:t>Original : anglais</w:t>
            </w:r>
          </w:p>
        </w:tc>
      </w:tr>
    </w:tbl>
    <w:p w14:paraId="74435F5C" w14:textId="77777777" w:rsidR="00C554CE" w:rsidRDefault="00C554CE" w:rsidP="00C554CE">
      <w:pPr>
        <w:spacing w:before="120"/>
        <w:rPr>
          <w:b/>
          <w:sz w:val="28"/>
          <w:szCs w:val="28"/>
        </w:rPr>
      </w:pPr>
      <w:r w:rsidRPr="000312C0">
        <w:rPr>
          <w:b/>
          <w:sz w:val="28"/>
          <w:szCs w:val="28"/>
        </w:rPr>
        <w:t>Commission économique pour l’Europe</w:t>
      </w:r>
    </w:p>
    <w:p w14:paraId="2295EE58" w14:textId="40A34B79" w:rsidR="00DA034B" w:rsidRPr="00C554CE" w:rsidRDefault="00DA034B" w:rsidP="00C554CE">
      <w:pPr>
        <w:spacing w:before="120"/>
        <w:rPr>
          <w:sz w:val="28"/>
          <w:szCs w:val="28"/>
          <w:lang w:val="fr-FR"/>
        </w:rPr>
      </w:pPr>
      <w:r w:rsidRPr="00C554CE">
        <w:rPr>
          <w:sz w:val="28"/>
          <w:szCs w:val="28"/>
          <w:lang w:val="fr-FR"/>
        </w:rPr>
        <w:t>Réunion des Parties à la Convention sur</w:t>
      </w:r>
      <w:r>
        <w:rPr>
          <w:sz w:val="28"/>
          <w:szCs w:val="28"/>
          <w:lang w:val="fr-FR"/>
        </w:rPr>
        <w:t xml:space="preserve"> l’accès </w:t>
      </w:r>
      <w:r w:rsidRPr="00C554CE">
        <w:rPr>
          <w:sz w:val="28"/>
          <w:szCs w:val="28"/>
          <w:lang w:val="fr-FR"/>
        </w:rPr>
        <w:br/>
      </w:r>
      <w:r>
        <w:rPr>
          <w:sz w:val="28"/>
          <w:szCs w:val="28"/>
          <w:lang w:val="fr-FR"/>
        </w:rPr>
        <w:t xml:space="preserve">à l’information, la participation du public </w:t>
      </w:r>
      <w:r>
        <w:rPr>
          <w:sz w:val="28"/>
          <w:szCs w:val="28"/>
          <w:lang w:val="fr-FR"/>
        </w:rPr>
        <w:br/>
        <w:t xml:space="preserve">au processus décisionnel et l’accès </w:t>
      </w:r>
      <w:r>
        <w:rPr>
          <w:sz w:val="28"/>
          <w:szCs w:val="28"/>
          <w:lang w:val="fr-FR"/>
        </w:rPr>
        <w:br/>
        <w:t>à la justice en matière d’environnement</w:t>
      </w:r>
    </w:p>
    <w:p w14:paraId="36C1CF49" w14:textId="65A12601" w:rsidR="00DA034B" w:rsidRPr="005B76A3" w:rsidRDefault="00DA034B" w:rsidP="00C554CE">
      <w:pPr>
        <w:spacing w:before="120"/>
        <w:rPr>
          <w:b/>
        </w:rPr>
      </w:pPr>
      <w:r w:rsidRPr="00DA034B">
        <w:rPr>
          <w:b/>
        </w:rPr>
        <w:t>Septième</w:t>
      </w:r>
      <w:r>
        <w:rPr>
          <w:b/>
        </w:rPr>
        <w:t xml:space="preserve"> session</w:t>
      </w:r>
    </w:p>
    <w:p w14:paraId="4439E4A2" w14:textId="7C3257B4" w:rsidR="00DA034B" w:rsidRDefault="00DA034B" w:rsidP="00C554CE">
      <w:r>
        <w:t>Genève, 18-20 octobre 2021</w:t>
      </w:r>
    </w:p>
    <w:p w14:paraId="7C04EEC5" w14:textId="7C7EAEDE" w:rsidR="00DA034B" w:rsidRDefault="00DA034B" w:rsidP="00C554CE">
      <w:r>
        <w:t>Point 9 d) de l’ordre du jour provisoire</w:t>
      </w:r>
    </w:p>
    <w:p w14:paraId="00ADBCDF" w14:textId="37BD9E3A" w:rsidR="00DA034B" w:rsidRPr="00C336AB" w:rsidRDefault="00DA034B" w:rsidP="00DA034B">
      <w:pPr>
        <w:rPr>
          <w:b/>
          <w:bCs/>
        </w:rPr>
      </w:pPr>
      <w:r>
        <w:rPr>
          <w:b/>
          <w:bCs/>
        </w:rPr>
        <w:t>Programme de travail</w:t>
      </w:r>
      <w:r w:rsidRPr="0031243A">
        <w:rPr>
          <w:b/>
          <w:bCs/>
        </w:rPr>
        <w:t xml:space="preserve"> </w:t>
      </w:r>
      <w:r>
        <w:rPr>
          <w:b/>
          <w:bCs/>
        </w:rPr>
        <w:t>et fonctionnement de la Convention :</w:t>
      </w:r>
      <w:r w:rsidRPr="00C336AB">
        <w:rPr>
          <w:b/>
          <w:bCs/>
        </w:rPr>
        <w:t xml:space="preserve"> </w:t>
      </w:r>
      <w:r>
        <w:rPr>
          <w:b/>
          <w:bCs/>
        </w:rPr>
        <w:br/>
      </w:r>
      <w:r w:rsidRPr="00C336AB">
        <w:rPr>
          <w:b/>
          <w:bCs/>
        </w:rPr>
        <w:t>arrangements financiers</w:t>
      </w:r>
    </w:p>
    <w:p w14:paraId="243378A7" w14:textId="67CFB697" w:rsidR="00DA034B" w:rsidRPr="00C336AB" w:rsidRDefault="00DA034B" w:rsidP="007116D7">
      <w:pPr>
        <w:pStyle w:val="HChG"/>
        <w:spacing w:after="200"/>
      </w:pPr>
      <w:r w:rsidRPr="00C336AB">
        <w:tab/>
      </w:r>
      <w:r w:rsidRPr="00C336AB">
        <w:tab/>
        <w:t xml:space="preserve">Projet </w:t>
      </w:r>
      <w:r>
        <w:t xml:space="preserve">de décision VII/6 sur les </w:t>
      </w:r>
      <w:r w:rsidRPr="00C336AB">
        <w:t>arrangements financiers au</w:t>
      </w:r>
      <w:r>
        <w:t> </w:t>
      </w:r>
      <w:r w:rsidRPr="00C336AB">
        <w:t>titre de la Convention</w:t>
      </w:r>
    </w:p>
    <w:p w14:paraId="5EC4D13E" w14:textId="006BD6B0" w:rsidR="005F26E5" w:rsidRDefault="00DA034B" w:rsidP="007116D7">
      <w:pPr>
        <w:pStyle w:val="H1G"/>
        <w:spacing w:before="320" w:after="200"/>
      </w:pPr>
      <w:r w:rsidRPr="00C336AB">
        <w:tab/>
      </w:r>
      <w:r w:rsidRPr="00C336AB">
        <w:tab/>
        <w:t>Document établi par le Bureau</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DA034B" w14:paraId="7F3B4992" w14:textId="77777777">
        <w:trPr>
          <w:jc w:val="center"/>
        </w:trPr>
        <w:tc>
          <w:tcPr>
            <w:tcW w:w="9637" w:type="dxa"/>
            <w:shd w:val="clear" w:color="auto" w:fill="auto"/>
          </w:tcPr>
          <w:p w14:paraId="187297EE" w14:textId="77777777" w:rsidR="00DA034B" w:rsidRDefault="00DA034B">
            <w:pPr>
              <w:spacing w:before="240" w:after="120"/>
              <w:ind w:left="255"/>
              <w:rPr>
                <w:i/>
                <w:sz w:val="24"/>
              </w:rPr>
            </w:pPr>
            <w:r>
              <w:rPr>
                <w:i/>
                <w:sz w:val="24"/>
              </w:rPr>
              <w:t>Résumé</w:t>
            </w:r>
          </w:p>
        </w:tc>
      </w:tr>
      <w:tr w:rsidR="00DA034B" w14:paraId="43EFBD69" w14:textId="77777777">
        <w:trPr>
          <w:jc w:val="center"/>
        </w:trPr>
        <w:tc>
          <w:tcPr>
            <w:tcW w:w="9637" w:type="dxa"/>
            <w:shd w:val="clear" w:color="auto" w:fill="auto"/>
          </w:tcPr>
          <w:p w14:paraId="20825B27" w14:textId="51C8A031" w:rsidR="00DA034B" w:rsidRDefault="00DA034B" w:rsidP="00DA034B">
            <w:pPr>
              <w:pStyle w:val="SingleTxtG"/>
              <w:ind w:firstLine="567"/>
            </w:pPr>
            <w:r>
              <w:t xml:space="preserve">Le présent document contient un projet de décision sur les arrangements financiers au titre de </w:t>
            </w:r>
            <w:r w:rsidRPr="00C336AB">
              <w:t>la Convention sur l</w:t>
            </w:r>
            <w:r>
              <w:t>’</w:t>
            </w:r>
            <w:r w:rsidRPr="00C336AB">
              <w:t>accès à l</w:t>
            </w:r>
            <w:r>
              <w:t>’</w:t>
            </w:r>
            <w:r w:rsidRPr="00C336AB">
              <w:t>information, la participation du public au processus décisionnel et l</w:t>
            </w:r>
            <w:r>
              <w:t>’</w:t>
            </w:r>
            <w:r w:rsidRPr="00C336AB">
              <w:t>accès à la justice en matière d</w:t>
            </w:r>
            <w:r>
              <w:t>’</w:t>
            </w:r>
            <w:r w:rsidRPr="00C336AB">
              <w:t>environnement (Convention d</w:t>
            </w:r>
            <w:r>
              <w:t>’</w:t>
            </w:r>
            <w:r w:rsidRPr="00C336AB">
              <w:t>Aarhus)</w:t>
            </w:r>
            <w:r>
              <w:t>, qui a été</w:t>
            </w:r>
            <w:r w:rsidRPr="00C336AB">
              <w:t xml:space="preserve"> </w:t>
            </w:r>
            <w:r>
              <w:t>élaboré par le Bureau des Parties à la Convention.</w:t>
            </w:r>
          </w:p>
        </w:tc>
      </w:tr>
      <w:tr w:rsidR="00DA034B" w14:paraId="5F02A218" w14:textId="77777777">
        <w:trPr>
          <w:jc w:val="center"/>
        </w:trPr>
        <w:tc>
          <w:tcPr>
            <w:tcW w:w="9637" w:type="dxa"/>
            <w:shd w:val="clear" w:color="auto" w:fill="auto"/>
          </w:tcPr>
          <w:p w14:paraId="5300C140" w14:textId="61717153" w:rsidR="00DA034B" w:rsidRDefault="00DA034B" w:rsidP="00DA034B">
            <w:pPr>
              <w:pStyle w:val="SingleTxtG"/>
              <w:ind w:firstLine="567"/>
            </w:pPr>
            <w:r w:rsidRPr="00F51FD2">
              <w:t>À sa sixième session (Budva (Monténégro), 11-14</w:t>
            </w:r>
            <w:r>
              <w:t> </w:t>
            </w:r>
            <w:r w:rsidRPr="00F51FD2">
              <w:t>septembre 2017), la Réunion des Parties</w:t>
            </w:r>
            <w:r>
              <w:t xml:space="preserve"> </w:t>
            </w:r>
            <w:r w:rsidRPr="00C336AB">
              <w:t>a chargé le Bureau et le Groupe de travail des Parties d</w:t>
            </w:r>
            <w:r>
              <w:t>’</w:t>
            </w:r>
            <w:r w:rsidRPr="00C336AB">
              <w:t xml:space="preserve">examiner les moyens de mettre en place un financement plus prévisible, plus stable et </w:t>
            </w:r>
            <w:r>
              <w:t>plus</w:t>
            </w:r>
            <w:r w:rsidRPr="00C336AB">
              <w:t xml:space="preserve"> équitablement</w:t>
            </w:r>
            <w:r>
              <w:t xml:space="preserve"> </w:t>
            </w:r>
            <w:r w:rsidRPr="00C336AB">
              <w:t>partagé et leur a demandé de lui soumettre les propositions appropriées à sa septième session (ECE/MP</w:t>
            </w:r>
            <w:r w:rsidRPr="00305CAD">
              <w:t>.</w:t>
            </w:r>
            <w:r w:rsidRPr="00C336AB">
              <w:t>PRTR/2017/2/Add</w:t>
            </w:r>
            <w:r w:rsidRPr="00305CAD">
              <w:t>.</w:t>
            </w:r>
            <w:r w:rsidRPr="00C336AB">
              <w:t>1, décision</w:t>
            </w:r>
            <w:r>
              <w:t> </w:t>
            </w:r>
            <w:r w:rsidRPr="00C336AB">
              <w:t xml:space="preserve">VI/6, </w:t>
            </w:r>
            <w:r>
              <w:t>par</w:t>
            </w:r>
            <w:r w:rsidRPr="00305CAD">
              <w:t>.</w:t>
            </w:r>
            <w:r>
              <w:t> </w:t>
            </w:r>
            <w:r w:rsidRPr="00C336AB">
              <w:t>14 du dispositif)</w:t>
            </w:r>
            <w:r w:rsidRPr="00305CAD">
              <w:t>.</w:t>
            </w:r>
          </w:p>
        </w:tc>
      </w:tr>
      <w:tr w:rsidR="00DA034B" w14:paraId="6CDE8158" w14:textId="77777777" w:rsidTr="007116D7">
        <w:trPr>
          <w:jc w:val="center"/>
        </w:trPr>
        <w:tc>
          <w:tcPr>
            <w:tcW w:w="9637" w:type="dxa"/>
            <w:tcBorders>
              <w:bottom w:val="nil"/>
            </w:tcBorders>
            <w:shd w:val="clear" w:color="auto" w:fill="auto"/>
          </w:tcPr>
          <w:p w14:paraId="38B402DC" w14:textId="401FED00" w:rsidR="00DA034B" w:rsidRDefault="00DA034B" w:rsidP="00DA034B">
            <w:pPr>
              <w:pStyle w:val="SingleTxtG"/>
              <w:ind w:firstLine="567"/>
            </w:pPr>
            <w:r w:rsidRPr="00C336AB">
              <w:t>Le</w:t>
            </w:r>
            <w:r>
              <w:t xml:space="preserve"> Bureau a élaboré le</w:t>
            </w:r>
            <w:r w:rsidRPr="00C336AB">
              <w:t xml:space="preserve"> présent document en application de la décision</w:t>
            </w:r>
            <w:r>
              <w:t> </w:t>
            </w:r>
            <w:r w:rsidRPr="00C336AB">
              <w:t>VI/6</w:t>
            </w:r>
            <w:r w:rsidRPr="00305CAD">
              <w:t>.</w:t>
            </w:r>
            <w:r w:rsidRPr="00C336AB">
              <w:t xml:space="preserve"> </w:t>
            </w:r>
            <w:r>
              <w:t xml:space="preserve">Ce projet de décision prévoit trois options : le plan de financement actuel, qui repose sur les contributions volontaires ; </w:t>
            </w:r>
            <w:r w:rsidRPr="003F13C9">
              <w:t>un plan qui repose sur des contributions ayant valeur de recommandations</w:t>
            </w:r>
            <w:r>
              <w:t> </w:t>
            </w:r>
            <w:r w:rsidRPr="003F13C9">
              <w:t>;</w:t>
            </w:r>
            <w:r>
              <w:t xml:space="preserve"> </w:t>
            </w:r>
            <w:r w:rsidRPr="00BD59D1">
              <w:t>et un plan de contributions obligatoires aligné sur le barème des quotes</w:t>
            </w:r>
            <w:r>
              <w:noBreakHyphen/>
            </w:r>
            <w:r w:rsidRPr="00BD59D1">
              <w:t xml:space="preserve">parts de </w:t>
            </w:r>
            <w:r w:rsidRPr="00C336AB">
              <w:t>l</w:t>
            </w:r>
            <w:r>
              <w:t>’</w:t>
            </w:r>
            <w:r w:rsidRPr="00C336AB">
              <w:t>Organisation des Nations</w:t>
            </w:r>
            <w:r>
              <w:t> </w:t>
            </w:r>
            <w:r w:rsidRPr="00C336AB">
              <w:t>Unies</w:t>
            </w:r>
            <w:r w:rsidRPr="00BD59D1">
              <w:t xml:space="preserve"> </w:t>
            </w:r>
            <w:r>
              <w:t>(</w:t>
            </w:r>
            <w:r w:rsidRPr="00BD59D1">
              <w:t>ONU</w:t>
            </w:r>
            <w:r>
              <w:t>)</w:t>
            </w:r>
            <w:r w:rsidRPr="00BD59D1">
              <w:t>.</w:t>
            </w:r>
            <w:r>
              <w:t xml:space="preserve"> </w:t>
            </w:r>
            <w:r w:rsidRPr="00291F93">
              <w:t>Soucieux de présenter clairement les différentes possibilités de plan de financement à l</w:t>
            </w:r>
            <w:r>
              <w:t>’</w:t>
            </w:r>
            <w:r w:rsidRPr="00291F93">
              <w:t>examen, le Bureau a indiqué en gras à quelle option s</w:t>
            </w:r>
            <w:r>
              <w:t>’</w:t>
            </w:r>
            <w:r w:rsidRPr="00291F93">
              <w:t>appliquait chaque passage du projet de décision.</w:t>
            </w:r>
            <w:r>
              <w:t xml:space="preserve"> </w:t>
            </w:r>
            <w:r w:rsidRPr="00B9509D">
              <w:t>L</w:t>
            </w:r>
            <w:r>
              <w:t>’</w:t>
            </w:r>
            <w:r w:rsidRPr="00B9509D">
              <w:t>option</w:t>
            </w:r>
            <w:r>
              <w:t> </w:t>
            </w:r>
            <w:r w:rsidRPr="00B9509D">
              <w:t>A correspond à un plan de financement prévoyant des contributions volontaires.</w:t>
            </w:r>
            <w:r>
              <w:t xml:space="preserve"> </w:t>
            </w:r>
            <w:r w:rsidRPr="00815678">
              <w:t>L</w:t>
            </w:r>
            <w:r>
              <w:t>’</w:t>
            </w:r>
            <w:r w:rsidRPr="00815678">
              <w:t>option</w:t>
            </w:r>
            <w:r>
              <w:t> </w:t>
            </w:r>
            <w:r w:rsidRPr="00815678">
              <w:t>B correspond à un plan de financement prévoyant des contributions ayant valeur de recommandations.</w:t>
            </w:r>
            <w:r>
              <w:t xml:space="preserve"> </w:t>
            </w:r>
            <w:r w:rsidRPr="00815678">
              <w:t>L</w:t>
            </w:r>
            <w:r>
              <w:t>’</w:t>
            </w:r>
            <w:r w:rsidRPr="00815678">
              <w:t>option</w:t>
            </w:r>
            <w:r>
              <w:t> </w:t>
            </w:r>
            <w:r w:rsidRPr="00815678">
              <w:t>C correspond à un plan de financement prévoyant des contributions obligatoires.</w:t>
            </w:r>
          </w:p>
        </w:tc>
      </w:tr>
      <w:tr w:rsidR="00DA034B" w14:paraId="1C676D7D" w14:textId="77777777" w:rsidTr="007116D7">
        <w:trPr>
          <w:jc w:val="center"/>
        </w:trPr>
        <w:tc>
          <w:tcPr>
            <w:tcW w:w="9637" w:type="dxa"/>
            <w:tcBorders>
              <w:top w:val="nil"/>
              <w:bottom w:val="nil"/>
            </w:tcBorders>
            <w:shd w:val="clear" w:color="auto" w:fill="auto"/>
          </w:tcPr>
          <w:p w14:paraId="41275151" w14:textId="16B0216A" w:rsidR="00DA034B" w:rsidRPr="00C336AB" w:rsidRDefault="00DA034B" w:rsidP="00DA034B">
            <w:pPr>
              <w:pStyle w:val="SingleTxtG"/>
              <w:ind w:firstLine="567"/>
            </w:pPr>
            <w:r w:rsidRPr="00C336AB">
              <w:t>Il</w:t>
            </w:r>
            <w:r>
              <w:t xml:space="preserve"> s’agissait </w:t>
            </w:r>
            <w:r w:rsidRPr="00C336AB">
              <w:t>notamment pour le Groupe de travail d</w:t>
            </w:r>
            <w:r>
              <w:t>’</w:t>
            </w:r>
            <w:r w:rsidRPr="00C336AB">
              <w:t>établir</w:t>
            </w:r>
            <w:r>
              <w:t> :</w:t>
            </w:r>
            <w:r w:rsidRPr="00C336AB">
              <w:t xml:space="preserve"> a)</w:t>
            </w:r>
            <w:r>
              <w:t> </w:t>
            </w:r>
            <w:r w:rsidRPr="00C336AB">
              <w:t xml:space="preserve">si le plan relatif aux </w:t>
            </w:r>
            <w:r>
              <w:t xml:space="preserve">arrangements </w:t>
            </w:r>
            <w:r w:rsidRPr="00C336AB">
              <w:t>financi</w:t>
            </w:r>
            <w:r>
              <w:t>ers</w:t>
            </w:r>
            <w:r w:rsidRPr="00C336AB">
              <w:t xml:space="preserve"> devait être obligatoire, avoir valeur de recommandation ou être </w:t>
            </w:r>
            <w:r w:rsidRPr="00DA034B">
              <w:rPr>
                <w:spacing w:val="-1"/>
              </w:rPr>
              <w:t>volontaire ; et b) si le barème des quotes-parts de l’ONU devait s’appliquer aux contributions.</w:t>
            </w:r>
          </w:p>
        </w:tc>
      </w:tr>
      <w:tr w:rsidR="00DA034B" w14:paraId="2016DA69" w14:textId="77777777" w:rsidTr="007116D7">
        <w:trPr>
          <w:jc w:val="center"/>
        </w:trPr>
        <w:tc>
          <w:tcPr>
            <w:tcW w:w="9637" w:type="dxa"/>
            <w:tcBorders>
              <w:top w:val="nil"/>
            </w:tcBorders>
            <w:shd w:val="clear" w:color="auto" w:fill="auto"/>
          </w:tcPr>
          <w:p w14:paraId="49F03B11" w14:textId="4864C63A" w:rsidR="00DA034B" w:rsidRPr="00C336AB" w:rsidRDefault="00DA034B" w:rsidP="00DA034B">
            <w:pPr>
              <w:pStyle w:val="SingleTxtG"/>
              <w:ind w:firstLine="567"/>
            </w:pPr>
            <w:r w:rsidRPr="00C336AB">
              <w:lastRenderedPageBreak/>
              <w:t xml:space="preserve">Le Groupe de travail </w:t>
            </w:r>
            <w:r>
              <w:t>a</w:t>
            </w:r>
            <w:r w:rsidRPr="00C336AB">
              <w:t xml:space="preserve"> examin</w:t>
            </w:r>
            <w:r>
              <w:t>é</w:t>
            </w:r>
            <w:r w:rsidRPr="00C336AB">
              <w:t xml:space="preserve"> l</w:t>
            </w:r>
            <w:r>
              <w:t xml:space="preserve">e document </w:t>
            </w:r>
            <w:r w:rsidRPr="00C336AB">
              <w:t>à sa vingt-quatrième réunion (Genève, 1</w:t>
            </w:r>
            <w:r w:rsidRPr="004E39B3">
              <w:rPr>
                <w:vertAlign w:val="superscript"/>
              </w:rPr>
              <w:t>er</w:t>
            </w:r>
            <w:r w:rsidRPr="00C336AB">
              <w:t>-3</w:t>
            </w:r>
            <w:r>
              <w:t> </w:t>
            </w:r>
            <w:r w:rsidRPr="00C336AB">
              <w:t xml:space="preserve">juillet et </w:t>
            </w:r>
            <w:r>
              <w:t xml:space="preserve">28 et 29 octobre 2020) et prié </w:t>
            </w:r>
            <w:r w:rsidRPr="00C336AB">
              <w:t>le Bureau d</w:t>
            </w:r>
            <w:r>
              <w:t>’élaborer un projet de décision sur les arrangements financiers, compte tenu des observations formulées par le Groupe de travail, aux fins de sa soumission au Groupe de travail à sa vingt-cinquième réunion</w:t>
            </w:r>
            <w:r w:rsidRPr="00305CAD">
              <w:t>.</w:t>
            </w:r>
            <w:r>
              <w:t xml:space="preserve"> </w:t>
            </w:r>
            <w:r w:rsidRPr="00F114E5">
              <w:t>Le présent projet de décision a fait l</w:t>
            </w:r>
            <w:r>
              <w:t>’</w:t>
            </w:r>
            <w:r w:rsidRPr="00F114E5">
              <w:t>objet de consultations ouvertes entre les correspondants nationaux et les parties prenantes après la vingt-quatrième réunion du Groupe de travail.</w:t>
            </w:r>
            <w:r>
              <w:t xml:space="preserve"> Aucune observation n’a été reçue au sujet du projet</w:t>
            </w:r>
            <w:r w:rsidRPr="00305CAD">
              <w:t>.</w:t>
            </w:r>
            <w:r>
              <w:t xml:space="preserve"> Le document a par conséquent été soumis au Groupe de travail pour examen et approbation à sa vingt-cinquième réunion </w:t>
            </w:r>
            <w:r w:rsidRPr="0038767A">
              <w:t>(Genève, 3</w:t>
            </w:r>
            <w:r>
              <w:t> </w:t>
            </w:r>
            <w:r w:rsidRPr="0038767A">
              <w:t>mai et 7 et 8</w:t>
            </w:r>
            <w:r>
              <w:t> </w:t>
            </w:r>
            <w:r w:rsidRPr="0038767A">
              <w:t xml:space="preserve">juin 2021) </w:t>
            </w:r>
            <w:r>
              <w:t>avec des corrections de forme uniquement</w:t>
            </w:r>
            <w:r w:rsidRPr="00305CAD">
              <w:t>.</w:t>
            </w:r>
            <w:r>
              <w:t xml:space="preserve"> </w:t>
            </w:r>
            <w:r w:rsidRPr="00E95EBA">
              <w:t>À sa vingt-cinquième réunion, le Groupe de travail n</w:t>
            </w:r>
            <w:r>
              <w:t>’</w:t>
            </w:r>
            <w:r w:rsidRPr="00E95EBA">
              <w:t>a pas été en mesure de parvenir à un consensus sur le régime des contributions (par exemple, obligatoires, recommandées ou volontaires)</w:t>
            </w:r>
            <w:r>
              <w:t xml:space="preserve">, </w:t>
            </w:r>
            <w:r w:rsidRPr="0091177F">
              <w:t>l</w:t>
            </w:r>
            <w:r>
              <w:t>’</w:t>
            </w:r>
            <w:r w:rsidRPr="0091177F">
              <w:t>utilisation du barème des quotes-parts de l</w:t>
            </w:r>
            <w:r>
              <w:t>’</w:t>
            </w:r>
            <w:r w:rsidRPr="0091177F">
              <w:t>ONU</w:t>
            </w:r>
            <w:r>
              <w:t xml:space="preserve"> et le</w:t>
            </w:r>
            <w:r w:rsidRPr="00F82294">
              <w:t xml:space="preserve"> relèvement de 500 à 1</w:t>
            </w:r>
            <w:r>
              <w:t> </w:t>
            </w:r>
            <w:r w:rsidRPr="00F82294">
              <w:t>000</w:t>
            </w:r>
            <w:r>
              <w:t> </w:t>
            </w:r>
            <w:r w:rsidRPr="00F82294">
              <w:t>dollars du niveau minimum des contributions</w:t>
            </w:r>
            <w:r>
              <w:t xml:space="preserve">. </w:t>
            </w:r>
            <w:r w:rsidRPr="009937C3">
              <w:t xml:space="preserve">Il a approuvé le projet de décision sur les </w:t>
            </w:r>
            <w:r>
              <w:t xml:space="preserve">arrangements </w:t>
            </w:r>
            <w:r w:rsidRPr="009937C3">
              <w:t>financi</w:t>
            </w:r>
            <w:r>
              <w:t>ers</w:t>
            </w:r>
            <w:r w:rsidRPr="009937C3">
              <w:t xml:space="preserve"> (ECE/MP.PP/WG.1/2021/9) et demandé au secrétariat de le soumettre à la Réunion des Parties pour examen à sa septième session.</w:t>
            </w:r>
          </w:p>
        </w:tc>
      </w:tr>
      <w:tr w:rsidR="00DA034B" w14:paraId="0BDBB6B2" w14:textId="77777777">
        <w:trPr>
          <w:jc w:val="center"/>
        </w:trPr>
        <w:tc>
          <w:tcPr>
            <w:tcW w:w="9637" w:type="dxa"/>
            <w:shd w:val="clear" w:color="auto" w:fill="auto"/>
          </w:tcPr>
          <w:p w14:paraId="5F42419B" w14:textId="77777777" w:rsidR="00DA034B" w:rsidRDefault="00DA034B"/>
        </w:tc>
      </w:tr>
    </w:tbl>
    <w:p w14:paraId="4417D995" w14:textId="1A7EE352" w:rsidR="00DA034B" w:rsidRDefault="00DA034B" w:rsidP="00DA034B">
      <w:pPr>
        <w:pStyle w:val="SingleTxtG"/>
      </w:pPr>
      <w:r>
        <w:br w:type="page"/>
      </w:r>
    </w:p>
    <w:p w14:paraId="7FC38E55" w14:textId="77777777" w:rsidR="00DA034B" w:rsidRPr="00C336AB" w:rsidRDefault="00DA034B" w:rsidP="00DA034B">
      <w:pPr>
        <w:pStyle w:val="SingleTxtG"/>
        <w:ind w:firstLine="567"/>
        <w:rPr>
          <w:i/>
          <w:iCs/>
        </w:rPr>
      </w:pPr>
      <w:r w:rsidRPr="00C336AB">
        <w:rPr>
          <w:i/>
          <w:iCs/>
        </w:rPr>
        <w:t>La Réunion des Parties</w:t>
      </w:r>
      <w:r w:rsidRPr="004E39B3">
        <w:t>,</w:t>
      </w:r>
    </w:p>
    <w:p w14:paraId="0C385D93" w14:textId="2A20E198" w:rsidR="00DA034B" w:rsidRPr="00E87011" w:rsidRDefault="00DA034B" w:rsidP="00DA034B">
      <w:pPr>
        <w:pStyle w:val="SingleTxtG"/>
        <w:ind w:firstLine="567"/>
        <w:rPr>
          <w:spacing w:val="-4"/>
        </w:rPr>
      </w:pPr>
      <w:r w:rsidRPr="00E87011">
        <w:rPr>
          <w:i/>
          <w:spacing w:val="-4"/>
        </w:rPr>
        <w:t>Rappelant</w:t>
      </w:r>
      <w:r w:rsidRPr="00E87011">
        <w:rPr>
          <w:spacing w:val="-4"/>
        </w:rPr>
        <w:t xml:space="preserve"> le paragraphe 3 de l’article 10 de la Convention sur l’accès à l’information, la participation du public au processus décisionnel et l’accès à la justice en matière d’environnement </w:t>
      </w:r>
      <w:r w:rsidRPr="00E87011">
        <w:t>(Convention d’Aarhus), qui dispose que la Réunion des Parties à la Convention peut, au besoin, envisager d’arrêter des dispositions d’ordre financier par consensus,</w:t>
      </w:r>
    </w:p>
    <w:p w14:paraId="696A8C45" w14:textId="742F9C3E" w:rsidR="00DA034B" w:rsidRPr="00C336AB" w:rsidRDefault="00DA034B" w:rsidP="00DA034B">
      <w:pPr>
        <w:pStyle w:val="SingleTxtG"/>
        <w:tabs>
          <w:tab w:val="clear" w:pos="1701"/>
          <w:tab w:val="clear" w:pos="2268"/>
          <w:tab w:val="clear" w:pos="2835"/>
        </w:tabs>
        <w:ind w:firstLine="567"/>
      </w:pPr>
      <w:r w:rsidRPr="00C336AB">
        <w:rPr>
          <w:i/>
        </w:rPr>
        <w:t>Rappelant</w:t>
      </w:r>
      <w:r w:rsidRPr="00C336AB">
        <w:t xml:space="preserve"> </w:t>
      </w:r>
      <w:r w:rsidRPr="00C336AB">
        <w:rPr>
          <w:i/>
        </w:rPr>
        <w:t>également</w:t>
      </w:r>
      <w:r w:rsidRPr="00C336AB">
        <w:t xml:space="preserve"> ses décisions</w:t>
      </w:r>
      <w:r>
        <w:t> </w:t>
      </w:r>
      <w:r w:rsidRPr="00C336AB">
        <w:t>I/13</w:t>
      </w:r>
      <w:r w:rsidRPr="00EC3283">
        <w:rPr>
          <w:rStyle w:val="Appelnotedebasdep"/>
        </w:rPr>
        <w:footnoteReference w:id="2"/>
      </w:r>
      <w:r w:rsidRPr="00C336AB">
        <w:t>, II/6</w:t>
      </w:r>
      <w:r w:rsidRPr="00EC3283">
        <w:rPr>
          <w:rStyle w:val="Appelnotedebasdep"/>
        </w:rPr>
        <w:footnoteReference w:id="3"/>
      </w:r>
      <w:r w:rsidRPr="00C336AB">
        <w:t>, III/7</w:t>
      </w:r>
      <w:r w:rsidRPr="00EC3283">
        <w:rPr>
          <w:rStyle w:val="Appelnotedebasdep"/>
        </w:rPr>
        <w:footnoteReference w:id="4"/>
      </w:r>
      <w:r w:rsidRPr="00C336AB">
        <w:t>, IV/7</w:t>
      </w:r>
      <w:r w:rsidRPr="00EC3283">
        <w:rPr>
          <w:rStyle w:val="Appelnotedebasdep"/>
        </w:rPr>
        <w:footnoteReference w:id="5"/>
      </w:r>
      <w:r w:rsidRPr="00C336AB">
        <w:t>, V/7</w:t>
      </w:r>
      <w:r w:rsidRPr="00EC3283">
        <w:rPr>
          <w:rStyle w:val="Appelnotedebasdep"/>
        </w:rPr>
        <w:footnoteReference w:id="6"/>
      </w:r>
      <w:r>
        <w:t xml:space="preserve"> </w:t>
      </w:r>
      <w:r w:rsidRPr="00C336AB">
        <w:t>et VI/6</w:t>
      </w:r>
      <w:r w:rsidRPr="00EC3283">
        <w:rPr>
          <w:rStyle w:val="Appelnotedebasdep"/>
        </w:rPr>
        <w:footnoteReference w:id="7"/>
      </w:r>
      <w:r w:rsidRPr="00C336AB">
        <w:t>, par lesquelles un plan provisoire de contributions volontaires ouvert aux contributions des Parties, des Signataires et d</w:t>
      </w:r>
      <w:r>
        <w:t>’</w:t>
      </w:r>
      <w:r w:rsidRPr="00C336AB">
        <w:t>autres États ayant choisi d</w:t>
      </w:r>
      <w:r>
        <w:t>’</w:t>
      </w:r>
      <w:r w:rsidRPr="00C336AB">
        <w:t>y participer, a été établi et maintenu,</w:t>
      </w:r>
    </w:p>
    <w:p w14:paraId="379411ED" w14:textId="77777777" w:rsidR="00DA034B" w:rsidRPr="00C336AB" w:rsidRDefault="00DA034B" w:rsidP="00DA034B">
      <w:pPr>
        <w:pStyle w:val="SingleTxtG"/>
        <w:ind w:firstLine="567"/>
      </w:pPr>
      <w:r w:rsidRPr="00C336AB">
        <w:rPr>
          <w:i/>
        </w:rPr>
        <w:t>Ayant étudié</w:t>
      </w:r>
      <w:r w:rsidRPr="00C336AB">
        <w:t xml:space="preserve"> les résultats de l</w:t>
      </w:r>
      <w:r>
        <w:t>’</w:t>
      </w:r>
      <w:r w:rsidRPr="00C336AB">
        <w:t>évaluation de l</w:t>
      </w:r>
      <w:r>
        <w:t>’</w:t>
      </w:r>
      <w:r w:rsidRPr="00C336AB">
        <w:t>actuel plan provisoire de contributions (ECE/MP</w:t>
      </w:r>
      <w:r w:rsidRPr="00305CAD">
        <w:t>.</w:t>
      </w:r>
      <w:r w:rsidRPr="00C336AB">
        <w:t>PP/WG</w:t>
      </w:r>
      <w:r w:rsidRPr="00305CAD">
        <w:t>.</w:t>
      </w:r>
      <w:r w:rsidRPr="00C336AB">
        <w:t>1/2013/9), et rappelant les discussions qu</w:t>
      </w:r>
      <w:r>
        <w:t>’</w:t>
      </w:r>
      <w:r w:rsidRPr="00C336AB">
        <w:t>elle a tenues et les décisions qu</w:t>
      </w:r>
      <w:r>
        <w:t>’</w:t>
      </w:r>
      <w:r w:rsidRPr="00C336AB">
        <w:t>elle a prises à chacune de ses sessions précédentes sur les arrangements financiers au titre de la Convention [sur la nécessité d</w:t>
      </w:r>
      <w:r>
        <w:t>’</w:t>
      </w:r>
      <w:r w:rsidRPr="00C336AB">
        <w:t xml:space="preserve">établir des </w:t>
      </w:r>
      <w:r>
        <w:t>arrangements</w:t>
      </w:r>
      <w:r w:rsidRPr="00C336AB">
        <w:t xml:space="preserve"> financi</w:t>
      </w:r>
      <w:r>
        <w:t>er</w:t>
      </w:r>
      <w:r w:rsidRPr="00C336AB">
        <w:t>s fondés sur les objectifs de stabilité, de prévisibilité et de partage équitable de la charge],</w:t>
      </w:r>
    </w:p>
    <w:p w14:paraId="4680894A" w14:textId="77777777" w:rsidR="00DA034B" w:rsidRPr="00C336AB" w:rsidRDefault="00DA034B" w:rsidP="00DA034B">
      <w:pPr>
        <w:pStyle w:val="SingleTxtG"/>
        <w:ind w:firstLine="567"/>
      </w:pPr>
      <w:r w:rsidRPr="00C336AB">
        <w:rPr>
          <w:i/>
        </w:rPr>
        <w:t>Conscient</w:t>
      </w:r>
      <w:r>
        <w:rPr>
          <w:i/>
        </w:rPr>
        <w:t>e</w:t>
      </w:r>
      <w:r w:rsidRPr="00C336AB">
        <w:rPr>
          <w:i/>
        </w:rPr>
        <w:t xml:space="preserve"> </w:t>
      </w:r>
      <w:r w:rsidRPr="00C336AB">
        <w:t>de la nécessité</w:t>
      </w:r>
      <w:r>
        <w:t> :</w:t>
      </w:r>
    </w:p>
    <w:p w14:paraId="4C1FADB4" w14:textId="43BDA370" w:rsidR="00DA034B" w:rsidRPr="00C336AB" w:rsidRDefault="00DA034B" w:rsidP="00DA034B">
      <w:pPr>
        <w:spacing w:after="120"/>
        <w:ind w:left="1134" w:right="1134" w:firstLine="567"/>
        <w:jc w:val="both"/>
      </w:pPr>
      <w:r w:rsidRPr="00C336AB">
        <w:t>a)</w:t>
      </w:r>
      <w:r w:rsidRPr="00C336AB">
        <w:tab/>
        <w:t xml:space="preserve">De veiller à ce que des ressources suffisantes soient disponibles pour la mise en œuvre du programme de travail de la Convention pour </w:t>
      </w:r>
      <w:r>
        <w:t xml:space="preserve">la période </w:t>
      </w:r>
      <w:r w:rsidRPr="00C336AB">
        <w:t>202</w:t>
      </w:r>
      <w:r>
        <w:t>2</w:t>
      </w:r>
      <w:r w:rsidRPr="00C336AB">
        <w:t>-2025, qui a été adopté par la décision</w:t>
      </w:r>
      <w:r>
        <w:t> </w:t>
      </w:r>
      <w:r w:rsidRPr="00C336AB">
        <w:t>VII/</w:t>
      </w:r>
      <w:r>
        <w:t>5 ;</w:t>
      </w:r>
    </w:p>
    <w:p w14:paraId="7657B9B7" w14:textId="2B774755" w:rsidR="00DA034B" w:rsidRPr="00C336AB" w:rsidRDefault="00DA034B" w:rsidP="00DA034B">
      <w:pPr>
        <w:spacing w:after="120"/>
        <w:ind w:left="1134" w:right="1134" w:firstLine="567"/>
        <w:jc w:val="both"/>
      </w:pPr>
      <w:r w:rsidRPr="00C336AB">
        <w:t>b)</w:t>
      </w:r>
      <w:r w:rsidRPr="00C336AB">
        <w:tab/>
        <w:t>De veiller à ce que le plan de contributions financières soit transparent et accessible à tous, Parties, Signataires et autres États et organisations souhaitant y contribuer</w:t>
      </w:r>
      <w:r>
        <w:t> ;</w:t>
      </w:r>
    </w:p>
    <w:p w14:paraId="1E7C8DD4" w14:textId="77777777" w:rsidR="00DA034B" w:rsidRDefault="00DA034B" w:rsidP="00DA034B">
      <w:pPr>
        <w:spacing w:after="120"/>
        <w:ind w:left="1134" w:right="1134" w:firstLine="567"/>
        <w:jc w:val="both"/>
      </w:pPr>
      <w:r w:rsidRPr="00C336AB">
        <w:t>c)</w:t>
      </w:r>
      <w:r w:rsidRPr="00C336AB">
        <w:tab/>
        <w:t>D</w:t>
      </w:r>
      <w:r>
        <w:t>’</w:t>
      </w:r>
      <w:r w:rsidRPr="00C336AB">
        <w:t>arrêter, au titre de la Convention, des arrangements financiers fondés sur les principes du partage équitable de la charge, de la stabilité et de la prévisibilité des sources de financement, de la responsabilité et d</w:t>
      </w:r>
      <w:r>
        <w:t>’</w:t>
      </w:r>
      <w:r w:rsidRPr="00C336AB">
        <w:t>une saine gestion financière</w:t>
      </w:r>
      <w:r>
        <w:t>,</w:t>
      </w:r>
    </w:p>
    <w:p w14:paraId="2B59CAAB" w14:textId="77777777" w:rsidR="00DA034B" w:rsidRPr="00C336AB" w:rsidRDefault="00DA034B" w:rsidP="00DA034B">
      <w:pPr>
        <w:pStyle w:val="SingleTxtG"/>
        <w:ind w:firstLine="567"/>
      </w:pPr>
      <w:r w:rsidRPr="00C336AB">
        <w:t>[</w:t>
      </w:r>
      <w:r w:rsidRPr="00C336AB">
        <w:rPr>
          <w:i/>
        </w:rPr>
        <w:t>Se déclarant profondément préoccupée</w:t>
      </w:r>
      <w:r w:rsidRPr="00C336AB">
        <w:t xml:space="preserve"> par le fait que la répartition de la charge financière n</w:t>
      </w:r>
      <w:r>
        <w:t>’</w:t>
      </w:r>
      <w:r w:rsidRPr="00C336AB">
        <w:t>a pas été équitable au cours de la période intersession</w:t>
      </w:r>
      <w:r>
        <w:t>s</w:t>
      </w:r>
      <w:r w:rsidRPr="00C336AB">
        <w:t xml:space="preserve"> actuelle, plusieurs Parties et Signataires n</w:t>
      </w:r>
      <w:r>
        <w:t>’</w:t>
      </w:r>
      <w:r w:rsidRPr="00C336AB">
        <w:t>ayant apporté aucune contribution,]</w:t>
      </w:r>
      <w:r w:rsidRPr="00EC3283">
        <w:rPr>
          <w:rStyle w:val="Appelnotedebasdep"/>
        </w:rPr>
        <w:footnoteReference w:id="8"/>
      </w:r>
    </w:p>
    <w:p w14:paraId="2EC0D4FE" w14:textId="77777777" w:rsidR="00DA034B" w:rsidRPr="00C336AB" w:rsidRDefault="00DA034B" w:rsidP="00DA034B">
      <w:pPr>
        <w:pStyle w:val="SingleTxtG"/>
        <w:ind w:firstLine="567"/>
      </w:pPr>
      <w:r w:rsidRPr="00C336AB">
        <w:rPr>
          <w:i/>
        </w:rPr>
        <w:t>Considérant</w:t>
      </w:r>
      <w:r w:rsidRPr="00C336AB">
        <w:t xml:space="preserve"> qu</w:t>
      </w:r>
      <w:r>
        <w:t>’</w:t>
      </w:r>
      <w:r w:rsidRPr="00C336AB">
        <w:t xml:space="preserve">elle devrait envisager à sa prochaine session des solutions susceptibles de remplacer les </w:t>
      </w:r>
      <w:r>
        <w:t>arrangements</w:t>
      </w:r>
      <w:r w:rsidRPr="00C336AB">
        <w:t xml:space="preserve"> financi</w:t>
      </w:r>
      <w:r>
        <w:t>er</w:t>
      </w:r>
      <w:r w:rsidRPr="00C336AB">
        <w:t>s existants afin que soient respectés les principes de stabilité, de prévisibilité et de partage équitable de la charge,</w:t>
      </w:r>
    </w:p>
    <w:p w14:paraId="36B7EA11" w14:textId="206444FC" w:rsidR="00DA034B" w:rsidRPr="00C336AB" w:rsidRDefault="00DA034B" w:rsidP="00DA034B">
      <w:pPr>
        <w:pStyle w:val="SingleTxtG"/>
        <w:ind w:firstLine="567"/>
      </w:pPr>
      <w:r w:rsidRPr="00C336AB">
        <w:t>1</w:t>
      </w:r>
      <w:r w:rsidRPr="00305CAD">
        <w:t>.</w:t>
      </w:r>
      <w:r w:rsidRPr="00C336AB">
        <w:tab/>
      </w:r>
      <w:r w:rsidRPr="00C336AB">
        <w:rPr>
          <w:b/>
          <w:bCs/>
        </w:rPr>
        <w:t>Option</w:t>
      </w:r>
      <w:r>
        <w:rPr>
          <w:b/>
          <w:bCs/>
        </w:rPr>
        <w:t> </w:t>
      </w:r>
      <w:r w:rsidRPr="00C336AB">
        <w:rPr>
          <w:b/>
          <w:bCs/>
        </w:rPr>
        <w:t>A pour les contributions volontaires</w:t>
      </w:r>
      <w:r>
        <w:t> :</w:t>
      </w:r>
      <w:r w:rsidRPr="00C336AB">
        <w:t xml:space="preserve"> [</w:t>
      </w:r>
      <w:r w:rsidRPr="00C336AB">
        <w:rPr>
          <w:i/>
        </w:rPr>
        <w:t>Décide</w:t>
      </w:r>
      <w:r w:rsidRPr="00C336AB">
        <w:t xml:space="preserve"> de conserver le plan de contributions provisoire existant, tel qu</w:t>
      </w:r>
      <w:r>
        <w:t>’</w:t>
      </w:r>
      <w:r w:rsidRPr="00C336AB">
        <w:t>il est décrit dans la décision</w:t>
      </w:r>
      <w:r>
        <w:t> </w:t>
      </w:r>
      <w:r w:rsidRPr="00C336AB">
        <w:t>VI/6 de la Réunion des Parties à la Convention (ECE/MP</w:t>
      </w:r>
      <w:r w:rsidRPr="00305CAD">
        <w:t>.</w:t>
      </w:r>
      <w:r w:rsidRPr="00C336AB">
        <w:t>PP/2017/2/Add</w:t>
      </w:r>
      <w:r w:rsidRPr="00305CAD">
        <w:t>.</w:t>
      </w:r>
      <w:r w:rsidRPr="00C336AB">
        <w:t xml:space="preserve">1)] </w:t>
      </w:r>
      <w:r w:rsidRPr="00C336AB">
        <w:rPr>
          <w:b/>
          <w:bCs/>
        </w:rPr>
        <w:t>Option</w:t>
      </w:r>
      <w:r>
        <w:rPr>
          <w:b/>
          <w:bCs/>
        </w:rPr>
        <w:t> </w:t>
      </w:r>
      <w:r w:rsidRPr="00C336AB">
        <w:rPr>
          <w:b/>
          <w:bCs/>
        </w:rPr>
        <w:t>B pour les contributions ayant valeur de recommandations</w:t>
      </w:r>
      <w:r>
        <w:t> :</w:t>
      </w:r>
      <w:r w:rsidRPr="00C336AB">
        <w:t xml:space="preserve"> [</w:t>
      </w:r>
      <w:r w:rsidRPr="00C336AB">
        <w:rPr>
          <w:i/>
        </w:rPr>
        <w:t>Instaure</w:t>
      </w:r>
      <w:r w:rsidRPr="00C336AB">
        <w:t xml:space="preserve"> un plan de contributions ayant valeur de recommandations] </w:t>
      </w:r>
      <w:r w:rsidRPr="00C336AB">
        <w:rPr>
          <w:b/>
          <w:bCs/>
        </w:rPr>
        <w:t>Option</w:t>
      </w:r>
      <w:r>
        <w:rPr>
          <w:b/>
          <w:bCs/>
        </w:rPr>
        <w:t> </w:t>
      </w:r>
      <w:r w:rsidRPr="00C336AB">
        <w:rPr>
          <w:b/>
          <w:bCs/>
        </w:rPr>
        <w:t>C pour les contributions obligatoires</w:t>
      </w:r>
      <w:r>
        <w:t> :</w:t>
      </w:r>
      <w:r w:rsidRPr="00C336AB">
        <w:t xml:space="preserve"> [</w:t>
      </w:r>
      <w:r w:rsidRPr="00C336AB">
        <w:rPr>
          <w:i/>
        </w:rPr>
        <w:t>Établit</w:t>
      </w:r>
      <w:r w:rsidRPr="00C336AB">
        <w:t xml:space="preserve"> un plan de contributions obligatoire] visant à couvrir le</w:t>
      </w:r>
      <w:r>
        <w:t>s</w:t>
      </w:r>
      <w:r w:rsidRPr="00C336AB">
        <w:t xml:space="preserve"> coût</w:t>
      </w:r>
      <w:r>
        <w:t>s</w:t>
      </w:r>
      <w:r w:rsidRPr="00C336AB">
        <w:t xml:space="preserve"> des activités inscrites au programme de travail qui </w:t>
      </w:r>
      <w:r>
        <w:t>ne sont</w:t>
      </w:r>
      <w:r w:rsidRPr="00C336AB">
        <w:t xml:space="preserve"> pas imputé</w:t>
      </w:r>
      <w:r>
        <w:t>s</w:t>
      </w:r>
      <w:r w:rsidRPr="00C336AB">
        <w:t xml:space="preserve"> sur le budget ordinaire de l</w:t>
      </w:r>
      <w:r>
        <w:t>’</w:t>
      </w:r>
      <w:r w:rsidRPr="00C336AB">
        <w:t>ONU, selon les principes ci-après</w:t>
      </w:r>
      <w:r>
        <w:t> :</w:t>
      </w:r>
    </w:p>
    <w:p w14:paraId="489B6731" w14:textId="2EC02B66" w:rsidR="00DA034B" w:rsidRPr="00C336AB" w:rsidRDefault="00DA034B" w:rsidP="00DA034B">
      <w:pPr>
        <w:spacing w:after="120"/>
        <w:ind w:left="1134" w:right="1134" w:firstLine="567"/>
        <w:jc w:val="both"/>
      </w:pPr>
      <w:r w:rsidRPr="00C336AB">
        <w:t>a)</w:t>
      </w:r>
      <w:r w:rsidRPr="00C336AB">
        <w:tab/>
        <w:t>Les Parties veillent collectivement à ce que le</w:t>
      </w:r>
      <w:r>
        <w:t>s</w:t>
      </w:r>
      <w:r w:rsidRPr="00C336AB">
        <w:t xml:space="preserve"> coût</w:t>
      </w:r>
      <w:r>
        <w:t>s</w:t>
      </w:r>
      <w:r w:rsidRPr="00C336AB">
        <w:t xml:space="preserve"> des activités inscrites au programme de travail qui </w:t>
      </w:r>
      <w:r>
        <w:t>ne sont</w:t>
      </w:r>
      <w:r w:rsidRPr="00C336AB">
        <w:t xml:space="preserve"> pas imputé</w:t>
      </w:r>
      <w:r>
        <w:t>s</w:t>
      </w:r>
      <w:r w:rsidRPr="00C336AB">
        <w:t xml:space="preserve"> sur le budget ordinaire de l</w:t>
      </w:r>
      <w:r>
        <w:t>’</w:t>
      </w:r>
      <w:r w:rsidRPr="00C336AB">
        <w:t>ONU soi</w:t>
      </w:r>
      <w:r>
        <w:t>en</w:t>
      </w:r>
      <w:r w:rsidRPr="00C336AB">
        <w:t>t couvert</w:t>
      </w:r>
      <w:r>
        <w:t>s</w:t>
      </w:r>
      <w:r w:rsidRPr="00C336AB">
        <w:t xml:space="preserve"> par le plan de financement</w:t>
      </w:r>
      <w:r>
        <w:t> ;</w:t>
      </w:r>
    </w:p>
    <w:p w14:paraId="0CD2948D" w14:textId="413CD0A3" w:rsidR="00DA034B" w:rsidRPr="00C336AB" w:rsidRDefault="00DA034B" w:rsidP="00522E16">
      <w:pPr>
        <w:pStyle w:val="SingleTxtG"/>
        <w:ind w:firstLine="567"/>
      </w:pPr>
      <w:r w:rsidRPr="00C336AB">
        <w:rPr>
          <w:b/>
          <w:bCs/>
        </w:rPr>
        <w:t>Ne s</w:t>
      </w:r>
      <w:r>
        <w:rPr>
          <w:b/>
          <w:bCs/>
        </w:rPr>
        <w:t>’</w:t>
      </w:r>
      <w:r w:rsidRPr="00C336AB">
        <w:rPr>
          <w:b/>
          <w:bCs/>
        </w:rPr>
        <w:t>applique qu</w:t>
      </w:r>
      <w:r>
        <w:rPr>
          <w:b/>
          <w:bCs/>
        </w:rPr>
        <w:t>’</w:t>
      </w:r>
      <w:r w:rsidRPr="00C336AB">
        <w:rPr>
          <w:b/>
          <w:bCs/>
        </w:rPr>
        <w:t>à l</w:t>
      </w:r>
      <w:r>
        <w:rPr>
          <w:b/>
          <w:bCs/>
        </w:rPr>
        <w:t>’</w:t>
      </w:r>
      <w:r w:rsidRPr="00C336AB">
        <w:rPr>
          <w:b/>
          <w:bCs/>
        </w:rPr>
        <w:t>option</w:t>
      </w:r>
      <w:r>
        <w:rPr>
          <w:b/>
          <w:bCs/>
        </w:rPr>
        <w:t> </w:t>
      </w:r>
      <w:r w:rsidRPr="00C336AB">
        <w:rPr>
          <w:b/>
          <w:bCs/>
        </w:rPr>
        <w:t>C</w:t>
      </w:r>
      <w:r w:rsidRPr="00DA034B">
        <w:t> :</w:t>
      </w:r>
      <w:r w:rsidRPr="00C336AB">
        <w:t xml:space="preserve"> [b)]</w:t>
      </w:r>
      <w:r>
        <w:t xml:space="preserve"> </w:t>
      </w:r>
      <w:r w:rsidRPr="00C336AB">
        <w:t>La charge de la couverture des coûts des activités est répartie entre les Parties à la Convention et ses Signataires proportionnellement au barème des quotes-parts de l</w:t>
      </w:r>
      <w:r>
        <w:t>’</w:t>
      </w:r>
      <w:r w:rsidRPr="00C336AB">
        <w:t>ONU</w:t>
      </w:r>
      <w:r w:rsidRPr="00EC3283">
        <w:rPr>
          <w:rStyle w:val="Appelnotedebasdep"/>
        </w:rPr>
        <w:footnoteReference w:id="9"/>
      </w:r>
      <w:r w:rsidRPr="00C336AB">
        <w:t>, le montant indicatif de la contribution de chaque Partie pour 20</w:t>
      </w:r>
      <w:r>
        <w:t>21</w:t>
      </w:r>
      <w:r w:rsidRPr="00C336AB">
        <w:t xml:space="preserve"> étant indiqué en annexe</w:t>
      </w:r>
      <w:r>
        <w:t> ;</w:t>
      </w:r>
    </w:p>
    <w:p w14:paraId="05999F39" w14:textId="4CE9377A" w:rsidR="00DA034B" w:rsidRPr="00C336AB" w:rsidRDefault="00DA034B" w:rsidP="00DA034B">
      <w:pPr>
        <w:pStyle w:val="SingleTxtG"/>
        <w:ind w:firstLine="567"/>
      </w:pPr>
      <w:r w:rsidRPr="00C336AB">
        <w:t>c)</w:t>
      </w:r>
      <w:r w:rsidRPr="00C336AB">
        <w:tab/>
        <w:t>Le barème des quotes-parts est ajusté de façon qu</w:t>
      </w:r>
      <w:r>
        <w:t>’</w:t>
      </w:r>
      <w:r w:rsidRPr="00C336AB">
        <w:t xml:space="preserve">aucune Partie ou aucun Signataire ne soit appelé à </w:t>
      </w:r>
      <w:r>
        <w:t>verser</w:t>
      </w:r>
      <w:r w:rsidRPr="00C336AB">
        <w:t xml:space="preserve"> une contribution représentant plus de 22</w:t>
      </w:r>
      <w:r>
        <w:t> </w:t>
      </w:r>
      <w:r w:rsidRPr="00C336AB">
        <w:t>%</w:t>
      </w:r>
      <w:r w:rsidRPr="00EC3283">
        <w:rPr>
          <w:rStyle w:val="Appelnotedebasdep"/>
        </w:rPr>
        <w:footnoteReference w:id="10"/>
      </w:r>
      <w:r w:rsidRPr="00C336AB">
        <w:t xml:space="preserve"> des coûts estimatifs devant être couverts par le plan</w:t>
      </w:r>
      <w:r>
        <w:t> ;</w:t>
      </w:r>
    </w:p>
    <w:p w14:paraId="717DF172" w14:textId="77777777" w:rsidR="00DA034B" w:rsidRDefault="00DA034B" w:rsidP="00DA034B">
      <w:pPr>
        <w:pStyle w:val="SingleTxtG"/>
        <w:ind w:firstLine="567"/>
      </w:pPr>
      <w:r w:rsidRPr="00C336AB">
        <w:t>d)</w:t>
      </w:r>
      <w:r w:rsidRPr="00C336AB">
        <w:tab/>
        <w:t>Chaque Partie ou Signataire verse chaque année, au minimum, le montant calculé en appliquant le barème des quotes-parts ajusté visé à l</w:t>
      </w:r>
      <w:r>
        <w:t>’</w:t>
      </w:r>
      <w:r w:rsidRPr="00C336AB">
        <w:t>alinéa</w:t>
      </w:r>
      <w:r>
        <w:t> </w:t>
      </w:r>
      <w:r w:rsidRPr="00305CAD">
        <w:t>...</w:t>
      </w:r>
      <w:r w:rsidRPr="00C336AB">
        <w:t xml:space="preserve"> [ci</w:t>
      </w:r>
      <w:r>
        <w:noBreakHyphen/>
      </w:r>
      <w:r w:rsidRPr="00C336AB">
        <w:t>dessus/ci</w:t>
      </w:r>
      <w:r>
        <w:noBreakHyphen/>
      </w:r>
      <w:r w:rsidRPr="00C336AB">
        <w:t>dessous] au total des coûts estimatifs des activités, pour autant que chaque contribution ne soit pas inférieure au montant indiqué à l</w:t>
      </w:r>
      <w:r>
        <w:t>’</w:t>
      </w:r>
      <w:r w:rsidRPr="00C336AB">
        <w:t>alinéa</w:t>
      </w:r>
      <w:r>
        <w:t> …</w:t>
      </w:r>
      <w:r w:rsidRPr="00C336AB">
        <w:t xml:space="preserve"> [ci-dessus/ci-dessous]</w:t>
      </w:r>
      <w:r>
        <w:t> ;</w:t>
      </w:r>
      <w:r w:rsidRPr="00C336AB">
        <w:t>]</w:t>
      </w:r>
    </w:p>
    <w:p w14:paraId="07A494E9" w14:textId="51C786C8" w:rsidR="00DA034B" w:rsidRDefault="00DA034B" w:rsidP="00DA034B">
      <w:pPr>
        <w:pStyle w:val="SingleTxtG"/>
        <w:ind w:firstLine="567"/>
      </w:pPr>
      <w:r w:rsidRPr="00C336AB">
        <w:rPr>
          <w:b/>
          <w:bCs/>
        </w:rPr>
        <w:t>S</w:t>
      </w:r>
      <w:r>
        <w:rPr>
          <w:b/>
          <w:bCs/>
        </w:rPr>
        <w:t>’</w:t>
      </w:r>
      <w:r w:rsidRPr="00C336AB">
        <w:rPr>
          <w:b/>
          <w:bCs/>
        </w:rPr>
        <w:t>applique aux options</w:t>
      </w:r>
      <w:r>
        <w:rPr>
          <w:b/>
          <w:bCs/>
        </w:rPr>
        <w:t> </w:t>
      </w:r>
      <w:r w:rsidRPr="00C336AB">
        <w:rPr>
          <w:b/>
          <w:bCs/>
        </w:rPr>
        <w:t>A, B et C</w:t>
      </w:r>
      <w:r w:rsidRPr="00DA034B">
        <w:t> :</w:t>
      </w:r>
    </w:p>
    <w:p w14:paraId="4FF150BC" w14:textId="36581147" w:rsidR="00DA034B" w:rsidRPr="00C336AB" w:rsidRDefault="00DA034B" w:rsidP="00DA034B">
      <w:pPr>
        <w:spacing w:after="120"/>
        <w:ind w:left="1134" w:right="1134" w:firstLine="567"/>
        <w:jc w:val="both"/>
      </w:pPr>
      <w:r w:rsidRPr="00C336AB">
        <w:t>[b)]</w:t>
      </w:r>
      <w:r w:rsidRPr="00C336AB">
        <w:tab/>
        <w:t>Aucune Partie ni aucun Signataire n</w:t>
      </w:r>
      <w:r>
        <w:t>’</w:t>
      </w:r>
      <w:r w:rsidRPr="00C336AB">
        <w:t>est censé verser une contribution inférieure à [500] [1</w:t>
      </w:r>
      <w:r>
        <w:t> </w:t>
      </w:r>
      <w:r w:rsidRPr="00C336AB">
        <w:t>000]</w:t>
      </w:r>
      <w:r>
        <w:t> </w:t>
      </w:r>
      <w:r w:rsidRPr="00C336AB">
        <w:t>dollars des États-Unis pour une année civile donnée pour la mise en œuvre du programme de travail établi au titre de la Convention</w:t>
      </w:r>
      <w:r w:rsidR="00B40FA0">
        <w:t> </w:t>
      </w:r>
      <w:r>
        <w:t>;</w:t>
      </w:r>
    </w:p>
    <w:p w14:paraId="77B32EEF" w14:textId="4B083BE4" w:rsidR="00DA034B" w:rsidRPr="00C336AB" w:rsidRDefault="00DA034B" w:rsidP="00DA034B">
      <w:pPr>
        <w:spacing w:after="120"/>
        <w:ind w:left="1134" w:right="1134" w:firstLine="567"/>
        <w:jc w:val="both"/>
      </w:pPr>
      <w:r w:rsidRPr="00C336AB">
        <w:t>[c)]</w:t>
      </w:r>
      <w:r w:rsidRPr="00C336AB">
        <w:tab/>
        <w:t>Les contributions sont versées en espèces et ne sont pas affectées à une activité particulière</w:t>
      </w:r>
      <w:r w:rsidR="00B40FA0">
        <w:t> </w:t>
      </w:r>
      <w:r>
        <w:t>;</w:t>
      </w:r>
    </w:p>
    <w:p w14:paraId="301C8395" w14:textId="76234C73" w:rsidR="00DA034B" w:rsidRPr="00C336AB" w:rsidRDefault="00DA034B" w:rsidP="00DA034B">
      <w:pPr>
        <w:spacing w:after="120"/>
        <w:ind w:left="1134" w:right="1134" w:firstLine="567"/>
        <w:jc w:val="both"/>
      </w:pPr>
      <w:r w:rsidRPr="00C336AB">
        <w:t>[d)]</w:t>
      </w:r>
      <w:r w:rsidRPr="00C336AB">
        <w:tab/>
        <w:t>Les contributions sont versées en espèces et ne sont pas affectées à une activité particulière</w:t>
      </w:r>
      <w:r w:rsidR="00B40FA0">
        <w:t> </w:t>
      </w:r>
      <w:r>
        <w:t>;</w:t>
      </w:r>
    </w:p>
    <w:p w14:paraId="50F0AF3D" w14:textId="72D47731" w:rsidR="00DA034B" w:rsidRPr="00C336AB" w:rsidRDefault="00DA034B" w:rsidP="00DA034B">
      <w:pPr>
        <w:spacing w:after="120"/>
        <w:ind w:left="1134" w:right="1134" w:firstLine="567"/>
        <w:jc w:val="both"/>
      </w:pPr>
      <w:r w:rsidRPr="00C336AB">
        <w:t>[e)]</w:t>
      </w:r>
      <w:r w:rsidRPr="00C336AB">
        <w:tab/>
        <w:t>Les contributions en espèces sont versées par l</w:t>
      </w:r>
      <w:r>
        <w:t>’</w:t>
      </w:r>
      <w:r w:rsidRPr="00C336AB">
        <w:t>intermédiaire du fonds d</w:t>
      </w:r>
      <w:r>
        <w:t>’</w:t>
      </w:r>
      <w:r w:rsidRPr="00C336AB">
        <w:t>affectation spéciale de la CEE pour la coopération technique locale (projet relevant de la Convention d</w:t>
      </w:r>
      <w:r>
        <w:t>’</w:t>
      </w:r>
      <w:r w:rsidRPr="00C336AB">
        <w:t>Aarhus)</w:t>
      </w:r>
      <w:r w:rsidR="00B40FA0">
        <w:t> </w:t>
      </w:r>
      <w:r>
        <w:t>;</w:t>
      </w:r>
    </w:p>
    <w:p w14:paraId="3C7F9545" w14:textId="6A039A7D" w:rsidR="00DA034B" w:rsidRPr="00C336AB" w:rsidRDefault="00DA034B" w:rsidP="00DA034B">
      <w:pPr>
        <w:spacing w:after="120"/>
        <w:ind w:left="1134" w:right="1134" w:firstLine="567"/>
        <w:jc w:val="both"/>
      </w:pPr>
      <w:r w:rsidRPr="00C336AB">
        <w:t>[f)]</w:t>
      </w:r>
      <w:r w:rsidRPr="00C336AB">
        <w:tab/>
        <w:t>Pour autant que les procédures budgétaires internes des Parties le permettent, les contributions pour une année civile donnée devraient être versées au plus tard le</w:t>
      </w:r>
      <w:r w:rsidR="00B40FA0">
        <w:t> </w:t>
      </w:r>
      <w:r w:rsidRPr="00C336AB">
        <w:t>1</w:t>
      </w:r>
      <w:r w:rsidRPr="00BB5943">
        <w:rPr>
          <w:vertAlign w:val="superscript"/>
        </w:rPr>
        <w:t>er</w:t>
      </w:r>
      <w:r>
        <w:t> </w:t>
      </w:r>
      <w:r w:rsidRPr="00C336AB">
        <w:t>octobre de l</w:t>
      </w:r>
      <w:r>
        <w:t>’</w:t>
      </w:r>
      <w:r w:rsidRPr="00C336AB">
        <w:t>année précédente et, lorsque ce n</w:t>
      </w:r>
      <w:r>
        <w:t>’</w:t>
      </w:r>
      <w:r w:rsidRPr="00C336AB">
        <w:t>est pas possible, il est recommandé de verser les contributions au cours des six premiers mois de l</w:t>
      </w:r>
      <w:r>
        <w:t>’</w:t>
      </w:r>
      <w:r w:rsidRPr="00C336AB">
        <w:t>année civile, de façon à couvrir les dépenses de personnel pour assurer, en priorité, le bon fonctionnement du secrétariat, ainsi que l</w:t>
      </w:r>
      <w:r>
        <w:t>’</w:t>
      </w:r>
      <w:r w:rsidRPr="00C336AB">
        <w:t>exécution efficace et en temps voulu des activités prioritaires inscrites au programme de travail correspondant</w:t>
      </w:r>
      <w:r w:rsidR="00B40FA0">
        <w:t> </w:t>
      </w:r>
      <w:r>
        <w:t>;</w:t>
      </w:r>
    </w:p>
    <w:p w14:paraId="058E574E" w14:textId="755F5A28" w:rsidR="00DA034B" w:rsidRPr="00C336AB" w:rsidRDefault="00DA034B" w:rsidP="00DA034B">
      <w:pPr>
        <w:spacing w:after="120"/>
        <w:ind w:left="1134" w:right="1134" w:firstLine="567"/>
        <w:jc w:val="both"/>
      </w:pPr>
      <w:r w:rsidRPr="00C336AB">
        <w:t>[g)]</w:t>
      </w:r>
      <w:r w:rsidRPr="00C336AB">
        <w:tab/>
      </w:r>
      <w:r w:rsidRPr="00C336AB">
        <w:rPr>
          <w:b/>
          <w:bCs/>
          <w:i/>
          <w:iCs/>
        </w:rPr>
        <w:t>Nouveau paragraphe ajouté</w:t>
      </w:r>
      <w:r w:rsidRPr="00B40FA0">
        <w:rPr>
          <w:iCs/>
        </w:rPr>
        <w:t> :</w:t>
      </w:r>
      <w:r w:rsidRPr="00C336AB">
        <w:t xml:space="preserve"> Afin de maintenir les coûts administratifs liés à la gestion des fonds au niveau minimum, dans la mesure du possible et pour autant que les procédures budgétaires internes des Parties le permettent, les contributions versées devraient de préférence être nettes de charges, les donateurs prenant à leur charge les frais éventuels, et être concentrées autant que possible pendant la période intersessions</w:t>
      </w:r>
      <w:r w:rsidR="00522E16">
        <w:t> </w:t>
      </w:r>
      <w:r>
        <w:t>;</w:t>
      </w:r>
      <w:r w:rsidRPr="00C336AB">
        <w:t xml:space="preserve"> les donateurs pourraient par exemple verser des contributions pluriannuelles ou annuelles sans discontinuité (pour chaque année civile) et faire un seul transfert pour les contributions à la Convention d</w:t>
      </w:r>
      <w:r>
        <w:t>’</w:t>
      </w:r>
      <w:r w:rsidRPr="00C336AB">
        <w:t>Aarhus et les contributions au Protocole, le cas échéant</w:t>
      </w:r>
      <w:r w:rsidR="00B40FA0">
        <w:t> </w:t>
      </w:r>
      <w:r>
        <w:t>;</w:t>
      </w:r>
    </w:p>
    <w:p w14:paraId="40B7F9A4" w14:textId="720AFC65" w:rsidR="00DA034B" w:rsidRPr="00C336AB" w:rsidRDefault="00DA034B" w:rsidP="00DA034B">
      <w:pPr>
        <w:spacing w:after="120"/>
        <w:ind w:left="1134" w:right="1134" w:firstLine="567"/>
        <w:jc w:val="both"/>
      </w:pPr>
      <w:r w:rsidRPr="00C336AB">
        <w:t>[h)]</w:t>
      </w:r>
      <w:r w:rsidRPr="00C336AB">
        <w:tab/>
        <w:t>Les Parties annoncent, si possible avant l</w:t>
      </w:r>
      <w:r>
        <w:t>’</w:t>
      </w:r>
      <w:r w:rsidRPr="00C336AB">
        <w:t>adoption d</w:t>
      </w:r>
      <w:r>
        <w:t>’</w:t>
      </w:r>
      <w:r w:rsidRPr="00C336AB">
        <w:t>un programme de travail par la Réunion des Parties, le montant de leur contribution financière annuelle ou pluriannuelle et la contribution en nature qu</w:t>
      </w:r>
      <w:r>
        <w:t>’</w:t>
      </w:r>
      <w:r w:rsidRPr="00C336AB">
        <w:t>elles comptent apporter</w:t>
      </w:r>
      <w:r w:rsidRPr="00305CAD">
        <w:t>.</w:t>
      </w:r>
      <w:r w:rsidRPr="00C336AB">
        <w:t xml:space="preserve"> Les Signataires ainsi que les autres États et les organisations intéressés pourront eux aussi indiquer quelle sera, en</w:t>
      </w:r>
      <w:r w:rsidR="00522E16">
        <w:t> </w:t>
      </w:r>
      <w:r w:rsidRPr="00C336AB">
        <w:t>principe, leur contribution</w:t>
      </w:r>
      <w:r w:rsidR="00B40FA0">
        <w:t> </w:t>
      </w:r>
      <w:r>
        <w:t>;</w:t>
      </w:r>
    </w:p>
    <w:p w14:paraId="6CF0EC28" w14:textId="053F4E48" w:rsidR="00DA034B" w:rsidRPr="00C336AB" w:rsidRDefault="00DA034B" w:rsidP="00DA034B">
      <w:pPr>
        <w:pStyle w:val="SingleTxtG"/>
        <w:ind w:firstLine="567"/>
      </w:pPr>
      <w:r w:rsidRPr="00C336AB">
        <w:t>2</w:t>
      </w:r>
      <w:r w:rsidRPr="00305CAD">
        <w:t>.</w:t>
      </w:r>
      <w:r w:rsidRPr="00C336AB">
        <w:tab/>
      </w:r>
      <w:r w:rsidRPr="00C336AB">
        <w:rPr>
          <w:i/>
        </w:rPr>
        <w:t>Demande</w:t>
      </w:r>
      <w:r w:rsidRPr="00C336AB">
        <w:t xml:space="preserve"> aux Parties d</w:t>
      </w:r>
      <w:r>
        <w:t>’</w:t>
      </w:r>
      <w:r w:rsidRPr="00C336AB">
        <w:t>apporter leur contribution sur une base annuelle ou pluriannuelle en vue de couvrir les coûts des activités inscrites au programme de travail, conformément au plan visé au paragraphe</w:t>
      </w:r>
      <w:r w:rsidR="00B40FA0">
        <w:t> </w:t>
      </w:r>
      <w:r w:rsidRPr="00C336AB">
        <w:t>1 ci-dessus</w:t>
      </w:r>
      <w:r w:rsidR="00B40FA0">
        <w:t> </w:t>
      </w:r>
      <w:r>
        <w:t>;</w:t>
      </w:r>
    </w:p>
    <w:p w14:paraId="71A0A3BA" w14:textId="45094C87" w:rsidR="00DA034B" w:rsidRPr="00C336AB" w:rsidRDefault="00DA034B" w:rsidP="00E87011">
      <w:pPr>
        <w:pStyle w:val="SingleTxtG"/>
        <w:ind w:firstLine="567"/>
      </w:pPr>
      <w:r w:rsidRPr="00C336AB">
        <w:t>3</w:t>
      </w:r>
      <w:r w:rsidRPr="00305CAD">
        <w:t>.</w:t>
      </w:r>
      <w:r w:rsidRPr="00C336AB">
        <w:tab/>
      </w:r>
      <w:r w:rsidRPr="00C336AB">
        <w:rPr>
          <w:i/>
        </w:rPr>
        <w:t>Invite</w:t>
      </w:r>
      <w:r w:rsidRPr="00C336AB">
        <w:t xml:space="preserve"> les Signataires, les autres États et les organismes publics intéressés, ainsi que le secteur privé, à apporter leur contribution</w:t>
      </w:r>
      <w:r w:rsidRPr="00EC3283">
        <w:rPr>
          <w:rStyle w:val="Appelnotedebasdep"/>
        </w:rPr>
        <w:footnoteReference w:id="11"/>
      </w:r>
      <w:r w:rsidRPr="00C336AB">
        <w:t>, conformément aux Directives pour une coopération entre les Nations</w:t>
      </w:r>
      <w:r w:rsidR="00B40FA0">
        <w:t> </w:t>
      </w:r>
      <w:r w:rsidRPr="00C336AB">
        <w:t>Unies et le secteur privé fondée sur des principes (2015), en espèces ou en nature, en vue de couvrir le</w:t>
      </w:r>
      <w:r>
        <w:t>s</w:t>
      </w:r>
      <w:r w:rsidRPr="00C336AB">
        <w:t xml:space="preserve"> coût</w:t>
      </w:r>
      <w:r>
        <w:t>s</w:t>
      </w:r>
      <w:r w:rsidRPr="00C336AB">
        <w:t xml:space="preserve"> </w:t>
      </w:r>
      <w:r>
        <w:t>associés au</w:t>
      </w:r>
      <w:r w:rsidRPr="00C336AB">
        <w:t xml:space="preserve"> programme de travail</w:t>
      </w:r>
      <w:r w:rsidR="00B40FA0">
        <w:t> </w:t>
      </w:r>
      <w:r>
        <w:t>;</w:t>
      </w:r>
    </w:p>
    <w:p w14:paraId="3AB617AC" w14:textId="2714A2F0" w:rsidR="00DA034B" w:rsidRPr="00C336AB" w:rsidRDefault="00DA034B" w:rsidP="00DA034B">
      <w:pPr>
        <w:pStyle w:val="SingleTxtG"/>
        <w:ind w:firstLine="567"/>
      </w:pPr>
      <w:r w:rsidRPr="00C336AB">
        <w:t>4</w:t>
      </w:r>
      <w:r w:rsidRPr="00305CAD">
        <w:t>.</w:t>
      </w:r>
      <w:r w:rsidRPr="00C336AB">
        <w:tab/>
      </w:r>
      <w:r w:rsidRPr="00C336AB">
        <w:rPr>
          <w:i/>
        </w:rPr>
        <w:t>Demande</w:t>
      </w:r>
      <w:r w:rsidRPr="00C336AB">
        <w:t xml:space="preserve"> aux pays en transition de financer, dans la mesure du possible, leur participation aux activités</w:t>
      </w:r>
      <w:r w:rsidR="00B40FA0">
        <w:t> </w:t>
      </w:r>
      <w:r>
        <w:t>;</w:t>
      </w:r>
    </w:p>
    <w:p w14:paraId="76B6FA1F" w14:textId="7E0E1D3A" w:rsidR="00DA034B" w:rsidRPr="00C336AB" w:rsidRDefault="00DA034B" w:rsidP="00DA034B">
      <w:pPr>
        <w:pStyle w:val="SingleTxtG"/>
        <w:ind w:firstLine="567"/>
      </w:pPr>
      <w:r w:rsidRPr="00C336AB">
        <w:t>5</w:t>
      </w:r>
      <w:r w:rsidRPr="00305CAD">
        <w:t>.</w:t>
      </w:r>
      <w:r w:rsidRPr="00C336AB">
        <w:tab/>
      </w:r>
      <w:r w:rsidRPr="00C336AB">
        <w:rPr>
          <w:i/>
        </w:rPr>
        <w:t>Engage</w:t>
      </w:r>
      <w:r w:rsidRPr="00C336AB">
        <w:t xml:space="preserve"> les organisations internationales qui mènent des activités dans les pays en transition à appuyer la participation de représentants de ces pays et de représentants d</w:t>
      </w:r>
      <w:r>
        <w:t>’</w:t>
      </w:r>
      <w:r w:rsidRPr="00C336AB">
        <w:t>organisations non gouvernementales aux réunions et autres activités</w:t>
      </w:r>
      <w:r w:rsidR="00B40FA0">
        <w:t> </w:t>
      </w:r>
      <w:r>
        <w:t>;</w:t>
      </w:r>
    </w:p>
    <w:p w14:paraId="64A672E4" w14:textId="32AAF685" w:rsidR="00DA034B" w:rsidRPr="00E87011" w:rsidRDefault="00DA034B" w:rsidP="00DA034B">
      <w:pPr>
        <w:pStyle w:val="SingleTxtG"/>
        <w:ind w:firstLine="567"/>
        <w:rPr>
          <w:spacing w:val="-2"/>
          <w:u w:val="single"/>
        </w:rPr>
      </w:pPr>
      <w:r w:rsidRPr="00E87011">
        <w:rPr>
          <w:spacing w:val="-2"/>
        </w:rPr>
        <w:t>6.</w:t>
      </w:r>
      <w:r w:rsidRPr="00E87011">
        <w:rPr>
          <w:spacing w:val="-2"/>
        </w:rPr>
        <w:tab/>
      </w:r>
      <w:r w:rsidRPr="00E87011">
        <w:rPr>
          <w:i/>
          <w:spacing w:val="-2"/>
        </w:rPr>
        <w:t>Encourage</w:t>
      </w:r>
      <w:r w:rsidRPr="00E87011">
        <w:rPr>
          <w:spacing w:val="-2"/>
        </w:rPr>
        <w:t xml:space="preserve"> les Parties qui par le passé ont fait preuve de générosité dans le versement de leur contribution à maintenir ou rétablir leurs précédents niveaux de contribution</w:t>
      </w:r>
      <w:r w:rsidR="00B40FA0" w:rsidRPr="00E87011">
        <w:rPr>
          <w:spacing w:val="-2"/>
        </w:rPr>
        <w:t> </w:t>
      </w:r>
      <w:r w:rsidRPr="00E87011">
        <w:rPr>
          <w:spacing w:val="-2"/>
        </w:rPr>
        <w:t>;</w:t>
      </w:r>
    </w:p>
    <w:p w14:paraId="609289F0" w14:textId="5A48C373" w:rsidR="00DA034B" w:rsidRDefault="00DA034B" w:rsidP="00DA034B">
      <w:pPr>
        <w:pStyle w:val="SingleTxtG"/>
        <w:ind w:firstLine="567"/>
      </w:pPr>
      <w:r w:rsidRPr="00C336AB">
        <w:t>7</w:t>
      </w:r>
      <w:r w:rsidRPr="00305CAD">
        <w:t>.</w:t>
      </w:r>
      <w:r w:rsidRPr="00C336AB">
        <w:tab/>
      </w:r>
      <w:r w:rsidRPr="00C336AB">
        <w:rPr>
          <w:i/>
        </w:rPr>
        <w:t>Prie</w:t>
      </w:r>
      <w:r w:rsidRPr="00C336AB">
        <w:t xml:space="preserve"> toutes les Parties de garantir une répartition équitable de la responsabilité financière de la mise en œuvre du programme de travail, et prie le Bureau de prendre contact avec les Parties, s</w:t>
      </w:r>
      <w:r>
        <w:t>’</w:t>
      </w:r>
      <w:r w:rsidRPr="00C336AB">
        <w:t>il y a lieu, en vue d</w:t>
      </w:r>
      <w:r>
        <w:t>’</w:t>
      </w:r>
      <w:r w:rsidRPr="00C336AB">
        <w:t>atteindre cet objectif</w:t>
      </w:r>
      <w:r w:rsidR="00B40FA0">
        <w:t> </w:t>
      </w:r>
      <w:r>
        <w:t>;</w:t>
      </w:r>
    </w:p>
    <w:p w14:paraId="70C2B8B7" w14:textId="766962FA" w:rsidR="00DA034B" w:rsidRPr="00C336AB" w:rsidRDefault="00DA034B" w:rsidP="00DA034B">
      <w:pPr>
        <w:pStyle w:val="SingleTxtG"/>
        <w:ind w:firstLine="567"/>
      </w:pPr>
      <w:r w:rsidRPr="00C336AB">
        <w:t>8</w:t>
      </w:r>
      <w:r w:rsidRPr="00305CAD">
        <w:t>.</w:t>
      </w:r>
      <w:r w:rsidRPr="00C336AB">
        <w:tab/>
      </w:r>
      <w:r w:rsidRPr="00C336AB">
        <w:rPr>
          <w:i/>
        </w:rPr>
        <w:t>Prie</w:t>
      </w:r>
      <w:r w:rsidRPr="00C336AB">
        <w:t xml:space="preserve"> le secrétariat d</w:t>
      </w:r>
      <w:r>
        <w:t>’</w:t>
      </w:r>
      <w:r w:rsidRPr="00C336AB">
        <w:t>allouer au fonds d</w:t>
      </w:r>
      <w:r>
        <w:t>’</w:t>
      </w:r>
      <w:r w:rsidRPr="00C336AB">
        <w:t>affectation spéciale de la Convention, conformément aux règles de gestion financière de l</w:t>
      </w:r>
      <w:r>
        <w:t>’</w:t>
      </w:r>
      <w:r w:rsidRPr="00C336AB">
        <w:t>ONU et le 1</w:t>
      </w:r>
      <w:r w:rsidRPr="00BB5943">
        <w:rPr>
          <w:vertAlign w:val="superscript"/>
        </w:rPr>
        <w:t>er</w:t>
      </w:r>
      <w:r w:rsidR="00B40FA0">
        <w:t> </w:t>
      </w:r>
      <w:r w:rsidRPr="00C336AB">
        <w:t>octobre de chaque année au plus tard, la somme nécessaire à la prorogation des contrats du personnel de secrétariat financés sur des fonds extrabudgétaires pour l</w:t>
      </w:r>
      <w:r>
        <w:t>’</w:t>
      </w:r>
      <w:r w:rsidRPr="00C336AB">
        <w:t>année suivante, en priorité, et à la réalisation des activités du premier trimestre de l</w:t>
      </w:r>
      <w:r>
        <w:t>’</w:t>
      </w:r>
      <w:r w:rsidRPr="00C336AB">
        <w:t>année suivante</w:t>
      </w:r>
      <w:r w:rsidR="00B40FA0">
        <w:t> </w:t>
      </w:r>
      <w:r>
        <w:t>;</w:t>
      </w:r>
    </w:p>
    <w:p w14:paraId="79354055" w14:textId="77777777" w:rsidR="00DA034B" w:rsidRPr="00C336AB" w:rsidRDefault="00DA034B" w:rsidP="00DA034B">
      <w:pPr>
        <w:pStyle w:val="SingleTxtG"/>
        <w:ind w:firstLine="567"/>
      </w:pPr>
      <w:r w:rsidRPr="00C336AB">
        <w:t>9</w:t>
      </w:r>
      <w:r w:rsidRPr="00305CAD">
        <w:t>.</w:t>
      </w:r>
      <w:r w:rsidRPr="00C336AB">
        <w:tab/>
      </w:r>
      <w:r w:rsidRPr="00C336AB">
        <w:rPr>
          <w:i/>
        </w:rPr>
        <w:t>Prie également</w:t>
      </w:r>
      <w:r w:rsidRPr="00C336AB">
        <w:t xml:space="preserve"> le secrétariat, conformément aux règles de gestion financière de l</w:t>
      </w:r>
      <w:r>
        <w:t>’</w:t>
      </w:r>
      <w:r w:rsidRPr="00C336AB">
        <w:t>ONU, de suivre les dépenses et d</w:t>
      </w:r>
      <w:r>
        <w:t>’</w:t>
      </w:r>
      <w:r w:rsidRPr="00C336AB">
        <w:t xml:space="preserve">établir des rapports annuels </w:t>
      </w:r>
      <w:r>
        <w:t>détaillant</w:t>
      </w:r>
      <w:r w:rsidRPr="00C336AB">
        <w:t xml:space="preserve"> les contributions ainsi que tout changement intervenu dans</w:t>
      </w:r>
      <w:r>
        <w:t> :</w:t>
      </w:r>
    </w:p>
    <w:p w14:paraId="0AF206D3" w14:textId="5ED71CE8" w:rsidR="00DA034B" w:rsidRDefault="00DA034B" w:rsidP="00DA034B">
      <w:pPr>
        <w:spacing w:after="120"/>
        <w:ind w:left="1134" w:right="1134" w:firstLine="567"/>
        <w:jc w:val="both"/>
      </w:pPr>
      <w:r w:rsidRPr="00C336AB">
        <w:t>a)</w:t>
      </w:r>
      <w:r w:rsidRPr="00C336AB">
        <w:tab/>
        <w:t>Le coût estimatif des activités pour l</w:t>
      </w:r>
      <w:r>
        <w:t>’</w:t>
      </w:r>
      <w:r w:rsidRPr="00C336AB">
        <w:t>année civile suivante</w:t>
      </w:r>
      <w:r w:rsidR="00B40FA0">
        <w:t> </w:t>
      </w:r>
      <w:r>
        <w:t>;</w:t>
      </w:r>
    </w:p>
    <w:p w14:paraId="01FC8F91" w14:textId="3A51172E" w:rsidR="00DA034B" w:rsidRPr="00C336AB" w:rsidRDefault="00DA034B" w:rsidP="00DA034B">
      <w:pPr>
        <w:spacing w:after="120"/>
        <w:ind w:left="1134" w:right="1134" w:firstLine="567"/>
        <w:jc w:val="both"/>
      </w:pPr>
      <w:r w:rsidRPr="00C336AB">
        <w:t>b)</w:t>
      </w:r>
      <w:r w:rsidRPr="00C336AB">
        <w:tab/>
        <w:t>La liste des Parties, aux fins d</w:t>
      </w:r>
      <w:r>
        <w:t>’</w:t>
      </w:r>
      <w:r w:rsidRPr="00C336AB">
        <w:t>examen par le Groupe de travail des Parties, pour tenter de faire en sorte que le montant des contributions corresponde à celui des ressources financières nécessaires à la mise en œuvre du programme de travail</w:t>
      </w:r>
      <w:r w:rsidR="00B40FA0">
        <w:t> </w:t>
      </w:r>
      <w:r>
        <w:t>;</w:t>
      </w:r>
    </w:p>
    <w:p w14:paraId="511C6905" w14:textId="2FE30B00" w:rsidR="00DA034B" w:rsidRPr="00C336AB" w:rsidRDefault="00DA034B" w:rsidP="00DA034B">
      <w:pPr>
        <w:pStyle w:val="SingleTxtG"/>
        <w:ind w:firstLine="567"/>
      </w:pPr>
      <w:r w:rsidRPr="00C336AB">
        <w:t>10</w:t>
      </w:r>
      <w:r w:rsidRPr="00305CAD">
        <w:t>.</w:t>
      </w:r>
      <w:r w:rsidRPr="00C336AB">
        <w:tab/>
      </w:r>
      <w:r w:rsidRPr="00C336AB">
        <w:rPr>
          <w:i/>
        </w:rPr>
        <w:t>Prie</w:t>
      </w:r>
      <w:r w:rsidRPr="00C336AB">
        <w:t xml:space="preserve"> le Bureau de fournir, avec l</w:t>
      </w:r>
      <w:r>
        <w:t>’</w:t>
      </w:r>
      <w:r w:rsidRPr="00C336AB">
        <w:t xml:space="preserve">aide du secrétariat, une estimation </w:t>
      </w:r>
      <w:r>
        <w:t>du budget</w:t>
      </w:r>
      <w:r w:rsidRPr="00C336AB">
        <w:t xml:space="preserve"> opérationnel nécessaire au bon fonctionnement de la Convention, qui devrait clairement </w:t>
      </w:r>
      <w:r>
        <w:t>être</w:t>
      </w:r>
      <w:r w:rsidRPr="00C336AB">
        <w:t xml:space="preserve"> différenci</w:t>
      </w:r>
      <w:r>
        <w:t>ée</w:t>
      </w:r>
      <w:r w:rsidRPr="00C336AB">
        <w:t xml:space="preserve"> du coût d</w:t>
      </w:r>
      <w:r>
        <w:t>’</w:t>
      </w:r>
      <w:r w:rsidRPr="00C336AB">
        <w:t>autres activités subordonnées à la disponibilité des ressources</w:t>
      </w:r>
      <w:r w:rsidR="00B40FA0">
        <w:t> </w:t>
      </w:r>
      <w:r>
        <w:t>;</w:t>
      </w:r>
    </w:p>
    <w:p w14:paraId="49F5B943" w14:textId="41F25E7D" w:rsidR="00DA034B" w:rsidRPr="00C336AB" w:rsidRDefault="00DA034B" w:rsidP="00DA034B">
      <w:pPr>
        <w:pStyle w:val="SingleTxtG"/>
        <w:ind w:firstLine="567"/>
      </w:pPr>
      <w:r w:rsidRPr="00C336AB">
        <w:t>11</w:t>
      </w:r>
      <w:r w:rsidRPr="00305CAD">
        <w:t>.</w:t>
      </w:r>
      <w:r w:rsidRPr="00C336AB">
        <w:tab/>
      </w:r>
      <w:r w:rsidRPr="00C336AB">
        <w:rPr>
          <w:i/>
        </w:rPr>
        <w:t>Demande</w:t>
      </w:r>
      <w:r w:rsidRPr="00C336AB">
        <w:t xml:space="preserve"> au Groupe de travail des Parties d</w:t>
      </w:r>
      <w:r>
        <w:t>’</w:t>
      </w:r>
      <w:r w:rsidRPr="00C336AB">
        <w:t>examiner, à la lumière de ces rapports annuels, s</w:t>
      </w:r>
      <w:r>
        <w:t>’</w:t>
      </w:r>
      <w:r w:rsidRPr="00C336AB">
        <w:t>il serait nécessaire d</w:t>
      </w:r>
      <w:r>
        <w:t>’</w:t>
      </w:r>
      <w:r w:rsidRPr="00C336AB">
        <w:t>apporter des modifications au contenu ou au calendrier du programme de travail dans l</w:t>
      </w:r>
      <w:r>
        <w:t>’</w:t>
      </w:r>
      <w:r w:rsidRPr="00C336AB">
        <w:t>hypothèse où le montant des contributions effectives et/ou annoncées ne correspondrait pas à celui du financement requis</w:t>
      </w:r>
      <w:r w:rsidR="00B40FA0">
        <w:t> </w:t>
      </w:r>
      <w:r>
        <w:t>;</w:t>
      </w:r>
    </w:p>
    <w:p w14:paraId="72D12504" w14:textId="7D6DE2C8" w:rsidR="00DA034B" w:rsidRPr="00C336AB" w:rsidRDefault="00DA034B" w:rsidP="00DA034B">
      <w:pPr>
        <w:pStyle w:val="SingleTxtG"/>
        <w:ind w:firstLine="567"/>
      </w:pPr>
      <w:r w:rsidRPr="00C336AB">
        <w:t>12</w:t>
      </w:r>
      <w:r w:rsidRPr="00305CAD">
        <w:t>.</w:t>
      </w:r>
      <w:r w:rsidRPr="00C336AB">
        <w:tab/>
      </w:r>
      <w:r w:rsidRPr="00C336AB">
        <w:rPr>
          <w:i/>
        </w:rPr>
        <w:t>Demande</w:t>
      </w:r>
      <w:r w:rsidRPr="00C336AB">
        <w:t xml:space="preserve"> au secrétariat d</w:t>
      </w:r>
      <w:r>
        <w:t>’</w:t>
      </w:r>
      <w:r w:rsidRPr="00C336AB">
        <w:t>établir, pour chaque session de la Réunion des Parties, un rapport financier d</w:t>
      </w:r>
      <w:r>
        <w:t>’</w:t>
      </w:r>
      <w:r w:rsidRPr="00C336AB">
        <w:t>ensemble comprenant notamment des renseignements sur le montant des contributions en espèces et en nature au budget de la Convention qui ont été faites par les Parties ainsi que par d</w:t>
      </w:r>
      <w:r>
        <w:t>’</w:t>
      </w:r>
      <w:r w:rsidRPr="00C336AB">
        <w:t>autres États et par des organisations y participant, ainsi que sur la manière dont ces contributions ont été utilisées</w:t>
      </w:r>
      <w:r w:rsidR="00B40FA0">
        <w:t> </w:t>
      </w:r>
      <w:r>
        <w:t>;</w:t>
      </w:r>
    </w:p>
    <w:p w14:paraId="5C85F6F3" w14:textId="13CB92E5" w:rsidR="00DA034B" w:rsidRPr="00C336AB" w:rsidRDefault="00DA034B" w:rsidP="00DA034B">
      <w:pPr>
        <w:pStyle w:val="SingleTxtG"/>
        <w:ind w:firstLine="567"/>
      </w:pPr>
      <w:r w:rsidRPr="00C336AB">
        <w:t>13</w:t>
      </w:r>
      <w:r w:rsidRPr="00305CAD">
        <w:t>.</w:t>
      </w:r>
      <w:r w:rsidRPr="00C336AB">
        <w:tab/>
      </w:r>
      <w:r w:rsidRPr="00C336AB">
        <w:rPr>
          <w:i/>
        </w:rPr>
        <w:t>Décide</w:t>
      </w:r>
      <w:r w:rsidRPr="00C336AB">
        <w:t xml:space="preserve"> d</w:t>
      </w:r>
      <w:r>
        <w:t>’</w:t>
      </w:r>
      <w:r w:rsidRPr="00C336AB">
        <w:t xml:space="preserve">examiner le fonctionnement du plan relatif aux </w:t>
      </w:r>
      <w:r>
        <w:t>arrangements</w:t>
      </w:r>
      <w:r w:rsidRPr="00C336AB">
        <w:t xml:space="preserve"> financi</w:t>
      </w:r>
      <w:r>
        <w:t>er</w:t>
      </w:r>
      <w:r w:rsidRPr="00C336AB">
        <w:t>s à sa huitième session</w:t>
      </w:r>
      <w:r w:rsidR="00B40FA0">
        <w:t> </w:t>
      </w:r>
      <w:r>
        <w:t>;</w:t>
      </w:r>
    </w:p>
    <w:p w14:paraId="10FE957D" w14:textId="77777777" w:rsidR="00E87011" w:rsidRDefault="00DA034B" w:rsidP="00E87011">
      <w:pPr>
        <w:pStyle w:val="SingleTxtG"/>
        <w:ind w:firstLine="567"/>
      </w:pPr>
      <w:r w:rsidRPr="00C336AB">
        <w:t>14</w:t>
      </w:r>
      <w:r w:rsidRPr="00305CAD">
        <w:t>.</w:t>
      </w:r>
      <w:r w:rsidRPr="00C336AB">
        <w:tab/>
      </w:r>
      <w:r w:rsidRPr="00C336AB">
        <w:rPr>
          <w:i/>
        </w:rPr>
        <w:t>Charge</w:t>
      </w:r>
      <w:r w:rsidRPr="00C336AB">
        <w:t xml:space="preserve"> le Bureau et le Groupe de travail des Parties de rechercher, pendant la prochaine période intersessions, des solutions qui permettraient un financement plus prévisible, plus stable et plus équitablement partagé, et les prie de lui soumettre les propositions appropriées à sa huitième session</w:t>
      </w:r>
      <w:r w:rsidR="00B40FA0">
        <w:t> </w:t>
      </w:r>
      <w:r>
        <w:t>;</w:t>
      </w:r>
    </w:p>
    <w:p w14:paraId="10E38580" w14:textId="6BFAD65D" w:rsidR="00DA034B" w:rsidRDefault="00DA034B" w:rsidP="00E87011">
      <w:pPr>
        <w:pStyle w:val="SingleTxtG"/>
        <w:ind w:firstLine="567"/>
      </w:pPr>
      <w:r w:rsidRPr="00C336AB">
        <w:t>15</w:t>
      </w:r>
      <w:r w:rsidRPr="00305CAD">
        <w:t>.</w:t>
      </w:r>
      <w:r w:rsidRPr="00C336AB">
        <w:tab/>
      </w:r>
      <w:r w:rsidRPr="00C336AB">
        <w:rPr>
          <w:i/>
        </w:rPr>
        <w:t>Prie</w:t>
      </w:r>
      <w:r w:rsidRPr="00C336AB">
        <w:t xml:space="preserve"> la Commission économique pour l</w:t>
      </w:r>
      <w:r>
        <w:t>’</w:t>
      </w:r>
      <w:r w:rsidRPr="00C336AB">
        <w:t>Europe d</w:t>
      </w:r>
      <w:r>
        <w:t>’</w:t>
      </w:r>
      <w:r w:rsidRPr="00C336AB">
        <w:t>allouer davantage de ressources au financement des travaux au titre de la Convention, en notant à ce sujet l</w:t>
      </w:r>
      <w:r>
        <w:t>’</w:t>
      </w:r>
      <w:r w:rsidRPr="00C336AB">
        <w:t>évaluation positive du sous-programme Environnement au cours de l</w:t>
      </w:r>
      <w:r>
        <w:t>’</w:t>
      </w:r>
      <w:r w:rsidRPr="00C336AB">
        <w:t>examen de la réforme de 2005 de la Commission en 2013</w:t>
      </w:r>
      <w:r w:rsidRPr="00EC3283">
        <w:rPr>
          <w:rStyle w:val="Appelnotedebasdep"/>
        </w:rPr>
        <w:footnoteReference w:id="12"/>
      </w:r>
      <w:r w:rsidRPr="00C336AB">
        <w:t>, compte tenu notamment d</w:t>
      </w:r>
      <w:r>
        <w:t>’</w:t>
      </w:r>
      <w:r w:rsidRPr="00C336AB">
        <w:t>une utilisation équilibrée des ressources budgétaires ordinaires dans les différents sous-programmes</w:t>
      </w:r>
      <w:r w:rsidRPr="00305CAD">
        <w:t>.</w:t>
      </w:r>
    </w:p>
    <w:p w14:paraId="6F355E0D" w14:textId="332E6B6B" w:rsidR="00DA034B" w:rsidRDefault="00DA034B" w:rsidP="00DA034B">
      <w:pPr>
        <w:pStyle w:val="SingleTxtG"/>
      </w:pPr>
      <w:r>
        <w:br w:type="page"/>
      </w:r>
    </w:p>
    <w:p w14:paraId="6C1D1858" w14:textId="77777777" w:rsidR="00DA034B" w:rsidRPr="00C336AB" w:rsidRDefault="00DA034B" w:rsidP="00DA034B">
      <w:pPr>
        <w:pStyle w:val="HChG"/>
      </w:pPr>
      <w:r w:rsidRPr="00C336AB">
        <w:t>[Annexe</w:t>
      </w:r>
    </w:p>
    <w:p w14:paraId="333BCA33" w14:textId="77777777" w:rsidR="00DA034B" w:rsidRPr="00C336AB" w:rsidRDefault="00DA034B" w:rsidP="00DA034B">
      <w:pPr>
        <w:pStyle w:val="HChG"/>
      </w:pPr>
      <w:r w:rsidRPr="00C336AB">
        <w:tab/>
      </w:r>
      <w:r w:rsidRPr="00C336AB">
        <w:tab/>
        <w:t>M</w:t>
      </w:r>
      <w:r w:rsidRPr="000C7816">
        <w:t>o</w:t>
      </w:r>
      <w:r w:rsidRPr="00C336AB">
        <w:t>ntant indicatif des contributions pour 2021</w:t>
      </w:r>
    </w:p>
    <w:tbl>
      <w:tblPr>
        <w:tblW w:w="7370" w:type="dxa"/>
        <w:tblInd w:w="1134" w:type="dxa"/>
        <w:tblLayout w:type="fixed"/>
        <w:tblCellMar>
          <w:left w:w="0" w:type="dxa"/>
          <w:right w:w="0" w:type="dxa"/>
        </w:tblCellMar>
        <w:tblLook w:val="04A0" w:firstRow="1" w:lastRow="0" w:firstColumn="1" w:lastColumn="0" w:noHBand="0" w:noVBand="1"/>
      </w:tblPr>
      <w:tblGrid>
        <w:gridCol w:w="2127"/>
        <w:gridCol w:w="1747"/>
        <w:gridCol w:w="1748"/>
        <w:gridCol w:w="1748"/>
      </w:tblGrid>
      <w:tr w:rsidR="00DA034B" w:rsidRPr="00E87011" w14:paraId="2B128289" w14:textId="77777777" w:rsidTr="0022679B">
        <w:trPr>
          <w:tblHeader/>
        </w:trPr>
        <w:tc>
          <w:tcPr>
            <w:tcW w:w="2127" w:type="dxa"/>
            <w:tcBorders>
              <w:top w:val="single" w:sz="4" w:space="0" w:color="auto"/>
              <w:bottom w:val="single" w:sz="12" w:space="0" w:color="auto"/>
            </w:tcBorders>
            <w:shd w:val="clear" w:color="auto" w:fill="auto"/>
            <w:vAlign w:val="bottom"/>
            <w:hideMark/>
          </w:tcPr>
          <w:p w14:paraId="17C8E577" w14:textId="77777777" w:rsidR="00DA034B" w:rsidRPr="00E87011" w:rsidRDefault="00DA034B" w:rsidP="00B40FA0">
            <w:pPr>
              <w:suppressAutoHyphens w:val="0"/>
              <w:spacing w:before="80" w:after="80" w:line="200" w:lineRule="exact"/>
              <w:rPr>
                <w:bCs/>
                <w:i/>
                <w:sz w:val="16"/>
              </w:rPr>
            </w:pPr>
            <w:r w:rsidRPr="00E87011">
              <w:rPr>
                <w:i/>
                <w:sz w:val="16"/>
              </w:rPr>
              <w:t xml:space="preserve">Colonne A : </w:t>
            </w:r>
            <w:r w:rsidRPr="00E87011">
              <w:rPr>
                <w:i/>
                <w:sz w:val="16"/>
              </w:rPr>
              <w:br/>
              <w:t>Pays (Parties et Signataires)</w:t>
            </w:r>
          </w:p>
        </w:tc>
        <w:tc>
          <w:tcPr>
            <w:tcW w:w="1747" w:type="dxa"/>
            <w:tcBorders>
              <w:top w:val="single" w:sz="4" w:space="0" w:color="auto"/>
              <w:bottom w:val="single" w:sz="12" w:space="0" w:color="auto"/>
            </w:tcBorders>
            <w:shd w:val="clear" w:color="auto" w:fill="auto"/>
            <w:vAlign w:val="bottom"/>
            <w:hideMark/>
          </w:tcPr>
          <w:p w14:paraId="1117BF08" w14:textId="034816C0" w:rsidR="00DA034B" w:rsidRPr="00E87011" w:rsidRDefault="00DA034B" w:rsidP="00B40FA0">
            <w:pPr>
              <w:suppressAutoHyphens w:val="0"/>
              <w:spacing w:before="80" w:after="80" w:line="200" w:lineRule="exact"/>
              <w:jc w:val="right"/>
              <w:rPr>
                <w:bCs/>
                <w:i/>
                <w:sz w:val="16"/>
              </w:rPr>
            </w:pPr>
            <w:r w:rsidRPr="00E87011">
              <w:rPr>
                <w:i/>
                <w:sz w:val="16"/>
              </w:rPr>
              <w:t xml:space="preserve">Colonne B : </w:t>
            </w:r>
            <w:r w:rsidRPr="00E87011">
              <w:rPr>
                <w:i/>
                <w:sz w:val="16"/>
              </w:rPr>
              <w:br/>
              <w:t xml:space="preserve">Barème des </w:t>
            </w:r>
            <w:r w:rsidR="0022679B" w:rsidRPr="00E87011">
              <w:rPr>
                <w:i/>
                <w:sz w:val="16"/>
              </w:rPr>
              <w:br/>
            </w:r>
            <w:r w:rsidRPr="00E87011">
              <w:rPr>
                <w:i/>
                <w:sz w:val="16"/>
              </w:rPr>
              <w:t>quotes</w:t>
            </w:r>
            <w:r w:rsidR="00B40FA0" w:rsidRPr="00E87011">
              <w:rPr>
                <w:i/>
                <w:sz w:val="16"/>
              </w:rPr>
              <w:noBreakHyphen/>
            </w:r>
            <w:r w:rsidRPr="00E87011">
              <w:rPr>
                <w:i/>
                <w:sz w:val="16"/>
              </w:rPr>
              <w:t xml:space="preserve">parts de l’ONU </w:t>
            </w:r>
            <w:r w:rsidR="00B40FA0" w:rsidRPr="00E87011">
              <w:rPr>
                <w:i/>
                <w:sz w:val="16"/>
              </w:rPr>
              <w:br/>
            </w:r>
            <w:r w:rsidRPr="00E87011">
              <w:rPr>
                <w:i/>
                <w:sz w:val="16"/>
              </w:rPr>
              <w:t>(</w:t>
            </w:r>
            <w:r w:rsidR="00B40FA0" w:rsidRPr="00E87011">
              <w:rPr>
                <w:i/>
                <w:sz w:val="16"/>
              </w:rPr>
              <w:t xml:space="preserve">En </w:t>
            </w:r>
            <w:r w:rsidRPr="00E87011">
              <w:rPr>
                <w:i/>
                <w:sz w:val="16"/>
              </w:rPr>
              <w:t>%)</w:t>
            </w:r>
            <w:r w:rsidRPr="00E87011">
              <w:rPr>
                <w:sz w:val="16"/>
                <w:vertAlign w:val="superscript"/>
              </w:rPr>
              <w:t>a</w:t>
            </w:r>
          </w:p>
        </w:tc>
        <w:tc>
          <w:tcPr>
            <w:tcW w:w="1748" w:type="dxa"/>
            <w:tcBorders>
              <w:top w:val="single" w:sz="4" w:space="0" w:color="auto"/>
              <w:bottom w:val="single" w:sz="12" w:space="0" w:color="auto"/>
            </w:tcBorders>
            <w:shd w:val="clear" w:color="auto" w:fill="auto"/>
            <w:vAlign w:val="bottom"/>
            <w:hideMark/>
          </w:tcPr>
          <w:p w14:paraId="57083D3E" w14:textId="1C0CA6B0" w:rsidR="00DA034B" w:rsidRPr="00E87011" w:rsidRDefault="00DA034B" w:rsidP="00B40FA0">
            <w:pPr>
              <w:suppressAutoHyphens w:val="0"/>
              <w:spacing w:before="80" w:after="80" w:line="200" w:lineRule="exact"/>
              <w:jc w:val="right"/>
              <w:rPr>
                <w:bCs/>
                <w:i/>
                <w:sz w:val="16"/>
              </w:rPr>
            </w:pPr>
            <w:r w:rsidRPr="00E87011">
              <w:rPr>
                <w:i/>
                <w:sz w:val="16"/>
              </w:rPr>
              <w:t xml:space="preserve">Colonne C : </w:t>
            </w:r>
            <w:r w:rsidRPr="00E87011">
              <w:rPr>
                <w:i/>
                <w:sz w:val="16"/>
              </w:rPr>
              <w:br/>
              <w:t>Barème ajusté des quotes</w:t>
            </w:r>
            <w:r w:rsidR="00B40FA0" w:rsidRPr="00E87011">
              <w:rPr>
                <w:i/>
                <w:sz w:val="16"/>
              </w:rPr>
              <w:noBreakHyphen/>
            </w:r>
            <w:r w:rsidRPr="00E87011">
              <w:rPr>
                <w:i/>
                <w:sz w:val="16"/>
              </w:rPr>
              <w:t xml:space="preserve">parts de l’ONU </w:t>
            </w:r>
            <w:r w:rsidR="00B40FA0" w:rsidRPr="00E87011">
              <w:rPr>
                <w:i/>
                <w:sz w:val="16"/>
              </w:rPr>
              <w:br/>
            </w:r>
            <w:r w:rsidRPr="00E87011">
              <w:rPr>
                <w:i/>
                <w:sz w:val="16"/>
              </w:rPr>
              <w:t>(</w:t>
            </w:r>
            <w:r w:rsidR="00B40FA0" w:rsidRPr="00E87011">
              <w:rPr>
                <w:i/>
                <w:sz w:val="16"/>
              </w:rPr>
              <w:t xml:space="preserve">En </w:t>
            </w:r>
            <w:r w:rsidRPr="00E87011">
              <w:rPr>
                <w:i/>
                <w:sz w:val="16"/>
              </w:rPr>
              <w:t>%)</w:t>
            </w:r>
            <w:r w:rsidRPr="00E87011">
              <w:rPr>
                <w:sz w:val="16"/>
                <w:vertAlign w:val="superscript"/>
              </w:rPr>
              <w:t>b</w:t>
            </w:r>
          </w:p>
        </w:tc>
        <w:tc>
          <w:tcPr>
            <w:tcW w:w="1748" w:type="dxa"/>
            <w:tcBorders>
              <w:top w:val="single" w:sz="4" w:space="0" w:color="auto"/>
              <w:bottom w:val="single" w:sz="12" w:space="0" w:color="auto"/>
            </w:tcBorders>
            <w:shd w:val="clear" w:color="auto" w:fill="auto"/>
            <w:vAlign w:val="bottom"/>
            <w:hideMark/>
          </w:tcPr>
          <w:p w14:paraId="72225B39" w14:textId="2A954086" w:rsidR="00DA034B" w:rsidRPr="00E87011" w:rsidRDefault="00DA034B" w:rsidP="00B40FA0">
            <w:pPr>
              <w:suppressAutoHyphens w:val="0"/>
              <w:spacing w:before="80" w:after="80" w:line="200" w:lineRule="exact"/>
              <w:jc w:val="right"/>
              <w:rPr>
                <w:bCs/>
                <w:i/>
                <w:sz w:val="16"/>
              </w:rPr>
            </w:pPr>
            <w:r w:rsidRPr="00E87011">
              <w:rPr>
                <w:i/>
                <w:sz w:val="16"/>
              </w:rPr>
              <w:t xml:space="preserve">Colonne D : </w:t>
            </w:r>
            <w:r w:rsidRPr="00E87011">
              <w:rPr>
                <w:i/>
                <w:sz w:val="16"/>
              </w:rPr>
              <w:br/>
              <w:t xml:space="preserve">Montant de la </w:t>
            </w:r>
            <w:r w:rsidR="0022679B" w:rsidRPr="00E87011">
              <w:rPr>
                <w:i/>
                <w:sz w:val="16"/>
              </w:rPr>
              <w:br/>
            </w:r>
            <w:r w:rsidRPr="00E87011">
              <w:rPr>
                <w:i/>
                <w:sz w:val="16"/>
              </w:rPr>
              <w:t xml:space="preserve">contribution pour 2021 </w:t>
            </w:r>
            <w:r w:rsidR="00B40FA0" w:rsidRPr="00E87011">
              <w:rPr>
                <w:i/>
                <w:sz w:val="16"/>
              </w:rPr>
              <w:br/>
            </w:r>
            <w:r w:rsidRPr="00E87011">
              <w:rPr>
                <w:i/>
                <w:sz w:val="16"/>
              </w:rPr>
              <w:t>(</w:t>
            </w:r>
            <w:r w:rsidR="00B40FA0" w:rsidRPr="00E87011">
              <w:rPr>
                <w:i/>
                <w:sz w:val="16"/>
              </w:rPr>
              <w:t xml:space="preserve">En </w:t>
            </w:r>
            <w:r w:rsidRPr="00E87011">
              <w:rPr>
                <w:i/>
                <w:sz w:val="16"/>
              </w:rPr>
              <w:t>dollars É.-U.)</w:t>
            </w:r>
          </w:p>
        </w:tc>
      </w:tr>
      <w:tr w:rsidR="00DA034B" w:rsidRPr="00E87011" w14:paraId="7820C170" w14:textId="77777777" w:rsidTr="0022679B">
        <w:tc>
          <w:tcPr>
            <w:tcW w:w="2127" w:type="dxa"/>
            <w:tcBorders>
              <w:top w:val="single" w:sz="12" w:space="0" w:color="auto"/>
            </w:tcBorders>
            <w:shd w:val="clear" w:color="auto" w:fill="auto"/>
            <w:noWrap/>
            <w:hideMark/>
          </w:tcPr>
          <w:p w14:paraId="002679BF" w14:textId="77777777" w:rsidR="00DA034B" w:rsidRPr="00E87011" w:rsidRDefault="00DA034B" w:rsidP="00B40FA0">
            <w:pPr>
              <w:suppressAutoHyphens w:val="0"/>
              <w:spacing w:before="40" w:after="40" w:line="220" w:lineRule="exact"/>
              <w:rPr>
                <w:sz w:val="18"/>
              </w:rPr>
            </w:pPr>
            <w:r w:rsidRPr="00E87011">
              <w:rPr>
                <w:sz w:val="18"/>
              </w:rPr>
              <w:t>Albanie</w:t>
            </w:r>
          </w:p>
        </w:tc>
        <w:tc>
          <w:tcPr>
            <w:tcW w:w="1747" w:type="dxa"/>
            <w:tcBorders>
              <w:top w:val="single" w:sz="12" w:space="0" w:color="auto"/>
            </w:tcBorders>
            <w:shd w:val="clear" w:color="auto" w:fill="auto"/>
            <w:noWrap/>
            <w:vAlign w:val="bottom"/>
            <w:hideMark/>
          </w:tcPr>
          <w:p w14:paraId="5F193BCC" w14:textId="77777777" w:rsidR="00DA034B" w:rsidRPr="00E87011" w:rsidRDefault="00DA034B" w:rsidP="00B40FA0">
            <w:pPr>
              <w:suppressAutoHyphens w:val="0"/>
              <w:spacing w:before="40" w:after="40" w:line="220" w:lineRule="exact"/>
              <w:jc w:val="right"/>
              <w:rPr>
                <w:sz w:val="18"/>
              </w:rPr>
            </w:pPr>
            <w:r w:rsidRPr="00E87011">
              <w:rPr>
                <w:sz w:val="18"/>
              </w:rPr>
              <w:t>0,008</w:t>
            </w:r>
          </w:p>
        </w:tc>
        <w:tc>
          <w:tcPr>
            <w:tcW w:w="1748" w:type="dxa"/>
            <w:tcBorders>
              <w:top w:val="single" w:sz="12" w:space="0" w:color="auto"/>
            </w:tcBorders>
            <w:shd w:val="clear" w:color="auto" w:fill="auto"/>
            <w:noWrap/>
            <w:vAlign w:val="bottom"/>
          </w:tcPr>
          <w:p w14:paraId="6617EFC7" w14:textId="77777777" w:rsidR="00DA034B" w:rsidRPr="00E87011" w:rsidRDefault="00DA034B" w:rsidP="00B40FA0">
            <w:pPr>
              <w:suppressAutoHyphens w:val="0"/>
              <w:spacing w:before="40" w:after="40" w:line="220" w:lineRule="exact"/>
              <w:jc w:val="right"/>
              <w:rPr>
                <w:sz w:val="18"/>
              </w:rPr>
            </w:pPr>
            <w:r w:rsidRPr="00E87011">
              <w:rPr>
                <w:sz w:val="18"/>
              </w:rPr>
              <w:t>0,026</w:t>
            </w:r>
          </w:p>
        </w:tc>
        <w:tc>
          <w:tcPr>
            <w:tcW w:w="1748" w:type="dxa"/>
            <w:tcBorders>
              <w:top w:val="single" w:sz="12" w:space="0" w:color="auto"/>
            </w:tcBorders>
            <w:shd w:val="clear" w:color="auto" w:fill="auto"/>
            <w:vAlign w:val="bottom"/>
          </w:tcPr>
          <w:p w14:paraId="3F569862" w14:textId="77777777" w:rsidR="00DA034B" w:rsidRPr="00E87011" w:rsidRDefault="00DA034B" w:rsidP="00B40FA0">
            <w:pPr>
              <w:suppressAutoHyphens w:val="0"/>
              <w:spacing w:before="40" w:after="40" w:line="220" w:lineRule="exact"/>
              <w:jc w:val="right"/>
              <w:rPr>
                <w:sz w:val="18"/>
              </w:rPr>
            </w:pPr>
          </w:p>
        </w:tc>
      </w:tr>
      <w:tr w:rsidR="00DA034B" w:rsidRPr="00E87011" w14:paraId="5424A706" w14:textId="77777777" w:rsidTr="0022679B">
        <w:tc>
          <w:tcPr>
            <w:tcW w:w="2127" w:type="dxa"/>
            <w:shd w:val="clear" w:color="auto" w:fill="auto"/>
            <w:noWrap/>
            <w:hideMark/>
          </w:tcPr>
          <w:p w14:paraId="1BA9DDBA" w14:textId="77777777" w:rsidR="00DA034B" w:rsidRPr="00E87011" w:rsidRDefault="00DA034B" w:rsidP="00B40FA0">
            <w:pPr>
              <w:suppressAutoHyphens w:val="0"/>
              <w:spacing w:before="40" w:after="40" w:line="220" w:lineRule="exact"/>
              <w:rPr>
                <w:sz w:val="18"/>
              </w:rPr>
            </w:pPr>
            <w:r w:rsidRPr="00E87011">
              <w:rPr>
                <w:sz w:val="18"/>
              </w:rPr>
              <w:t>Allemagne</w:t>
            </w:r>
          </w:p>
        </w:tc>
        <w:tc>
          <w:tcPr>
            <w:tcW w:w="1747" w:type="dxa"/>
            <w:shd w:val="clear" w:color="auto" w:fill="auto"/>
            <w:noWrap/>
            <w:vAlign w:val="bottom"/>
            <w:hideMark/>
          </w:tcPr>
          <w:p w14:paraId="5EABDBBF" w14:textId="77777777" w:rsidR="00DA034B" w:rsidRPr="00E87011" w:rsidRDefault="00DA034B" w:rsidP="00B40FA0">
            <w:pPr>
              <w:suppressAutoHyphens w:val="0"/>
              <w:spacing w:before="40" w:after="40" w:line="220" w:lineRule="exact"/>
              <w:jc w:val="right"/>
              <w:rPr>
                <w:sz w:val="18"/>
              </w:rPr>
            </w:pPr>
            <w:r w:rsidRPr="00E87011">
              <w:rPr>
                <w:sz w:val="18"/>
              </w:rPr>
              <w:t>6,090</w:t>
            </w:r>
          </w:p>
        </w:tc>
        <w:tc>
          <w:tcPr>
            <w:tcW w:w="1748" w:type="dxa"/>
            <w:shd w:val="clear" w:color="auto" w:fill="auto"/>
            <w:noWrap/>
            <w:vAlign w:val="bottom"/>
          </w:tcPr>
          <w:p w14:paraId="021A0A8D" w14:textId="77777777" w:rsidR="00DA034B" w:rsidRPr="00E87011" w:rsidRDefault="00DA034B" w:rsidP="00B40FA0">
            <w:pPr>
              <w:suppressAutoHyphens w:val="0"/>
              <w:spacing w:before="40" w:after="40" w:line="220" w:lineRule="exact"/>
              <w:jc w:val="right"/>
              <w:rPr>
                <w:sz w:val="18"/>
              </w:rPr>
            </w:pPr>
            <w:r w:rsidRPr="00E87011">
              <w:rPr>
                <w:sz w:val="18"/>
              </w:rPr>
              <w:t>19,707</w:t>
            </w:r>
          </w:p>
        </w:tc>
        <w:tc>
          <w:tcPr>
            <w:tcW w:w="1748" w:type="dxa"/>
            <w:shd w:val="clear" w:color="auto" w:fill="auto"/>
            <w:vAlign w:val="bottom"/>
          </w:tcPr>
          <w:p w14:paraId="3C1386BC" w14:textId="77777777" w:rsidR="00DA034B" w:rsidRPr="00E87011" w:rsidRDefault="00DA034B" w:rsidP="00B40FA0">
            <w:pPr>
              <w:suppressAutoHyphens w:val="0"/>
              <w:spacing w:before="40" w:after="40" w:line="220" w:lineRule="exact"/>
              <w:jc w:val="right"/>
              <w:rPr>
                <w:sz w:val="18"/>
              </w:rPr>
            </w:pPr>
          </w:p>
        </w:tc>
      </w:tr>
      <w:tr w:rsidR="00DA034B" w:rsidRPr="00E87011" w14:paraId="7F64F70F" w14:textId="77777777" w:rsidTr="0022679B">
        <w:tc>
          <w:tcPr>
            <w:tcW w:w="2127" w:type="dxa"/>
            <w:shd w:val="clear" w:color="auto" w:fill="auto"/>
            <w:noWrap/>
            <w:hideMark/>
          </w:tcPr>
          <w:p w14:paraId="1D288206" w14:textId="77777777" w:rsidR="00DA034B" w:rsidRPr="00E87011" w:rsidRDefault="00DA034B" w:rsidP="00B40FA0">
            <w:pPr>
              <w:suppressAutoHyphens w:val="0"/>
              <w:spacing w:before="40" w:after="40" w:line="220" w:lineRule="exact"/>
              <w:rPr>
                <w:sz w:val="18"/>
              </w:rPr>
            </w:pPr>
            <w:r w:rsidRPr="00E87011">
              <w:rPr>
                <w:sz w:val="18"/>
              </w:rPr>
              <w:t>Arménie</w:t>
            </w:r>
          </w:p>
        </w:tc>
        <w:tc>
          <w:tcPr>
            <w:tcW w:w="1747" w:type="dxa"/>
            <w:shd w:val="clear" w:color="auto" w:fill="auto"/>
            <w:noWrap/>
            <w:vAlign w:val="bottom"/>
            <w:hideMark/>
          </w:tcPr>
          <w:p w14:paraId="3610E8C9" w14:textId="77777777" w:rsidR="00DA034B" w:rsidRPr="00E87011" w:rsidRDefault="00DA034B" w:rsidP="00B40FA0">
            <w:pPr>
              <w:suppressAutoHyphens w:val="0"/>
              <w:spacing w:before="40" w:after="40" w:line="220" w:lineRule="exact"/>
              <w:jc w:val="right"/>
              <w:rPr>
                <w:sz w:val="18"/>
              </w:rPr>
            </w:pPr>
            <w:r w:rsidRPr="00E87011">
              <w:rPr>
                <w:sz w:val="18"/>
              </w:rPr>
              <w:t>0,007</w:t>
            </w:r>
          </w:p>
        </w:tc>
        <w:tc>
          <w:tcPr>
            <w:tcW w:w="1748" w:type="dxa"/>
            <w:shd w:val="clear" w:color="auto" w:fill="auto"/>
            <w:noWrap/>
            <w:vAlign w:val="bottom"/>
          </w:tcPr>
          <w:p w14:paraId="41BF413C" w14:textId="77777777" w:rsidR="00DA034B" w:rsidRPr="00E87011" w:rsidRDefault="00DA034B" w:rsidP="00B40FA0">
            <w:pPr>
              <w:suppressAutoHyphens w:val="0"/>
              <w:spacing w:before="40" w:after="40" w:line="220" w:lineRule="exact"/>
              <w:jc w:val="right"/>
              <w:rPr>
                <w:sz w:val="18"/>
              </w:rPr>
            </w:pPr>
            <w:r w:rsidRPr="00E87011">
              <w:rPr>
                <w:sz w:val="18"/>
              </w:rPr>
              <w:t>0,023</w:t>
            </w:r>
          </w:p>
        </w:tc>
        <w:tc>
          <w:tcPr>
            <w:tcW w:w="1748" w:type="dxa"/>
            <w:shd w:val="clear" w:color="auto" w:fill="auto"/>
            <w:vAlign w:val="bottom"/>
          </w:tcPr>
          <w:p w14:paraId="613668F2" w14:textId="77777777" w:rsidR="00DA034B" w:rsidRPr="00E87011" w:rsidRDefault="00DA034B" w:rsidP="00B40FA0">
            <w:pPr>
              <w:suppressAutoHyphens w:val="0"/>
              <w:spacing w:before="40" w:after="40" w:line="220" w:lineRule="exact"/>
              <w:jc w:val="right"/>
              <w:rPr>
                <w:sz w:val="18"/>
              </w:rPr>
            </w:pPr>
          </w:p>
        </w:tc>
      </w:tr>
      <w:tr w:rsidR="00DA034B" w:rsidRPr="00E87011" w14:paraId="683F1445" w14:textId="77777777" w:rsidTr="0022679B">
        <w:tc>
          <w:tcPr>
            <w:tcW w:w="2127" w:type="dxa"/>
            <w:shd w:val="clear" w:color="auto" w:fill="auto"/>
            <w:noWrap/>
            <w:hideMark/>
          </w:tcPr>
          <w:p w14:paraId="5F66F0E9" w14:textId="77777777" w:rsidR="00DA034B" w:rsidRPr="00E87011" w:rsidRDefault="00DA034B" w:rsidP="00B40FA0">
            <w:pPr>
              <w:suppressAutoHyphens w:val="0"/>
              <w:spacing w:before="40" w:after="40" w:line="220" w:lineRule="exact"/>
              <w:rPr>
                <w:sz w:val="18"/>
              </w:rPr>
            </w:pPr>
            <w:r w:rsidRPr="00E87011">
              <w:rPr>
                <w:sz w:val="18"/>
              </w:rPr>
              <w:t>Autriche</w:t>
            </w:r>
          </w:p>
        </w:tc>
        <w:tc>
          <w:tcPr>
            <w:tcW w:w="1747" w:type="dxa"/>
            <w:shd w:val="clear" w:color="auto" w:fill="auto"/>
            <w:noWrap/>
            <w:vAlign w:val="bottom"/>
            <w:hideMark/>
          </w:tcPr>
          <w:p w14:paraId="0B34FB3B" w14:textId="77777777" w:rsidR="00DA034B" w:rsidRPr="00E87011" w:rsidRDefault="00DA034B" w:rsidP="00B40FA0">
            <w:pPr>
              <w:suppressAutoHyphens w:val="0"/>
              <w:spacing w:before="40" w:after="40" w:line="220" w:lineRule="exact"/>
              <w:jc w:val="right"/>
              <w:rPr>
                <w:sz w:val="18"/>
              </w:rPr>
            </w:pPr>
            <w:r w:rsidRPr="00E87011">
              <w:rPr>
                <w:sz w:val="18"/>
              </w:rPr>
              <w:t>0,677</w:t>
            </w:r>
          </w:p>
        </w:tc>
        <w:tc>
          <w:tcPr>
            <w:tcW w:w="1748" w:type="dxa"/>
            <w:shd w:val="clear" w:color="auto" w:fill="auto"/>
            <w:noWrap/>
            <w:vAlign w:val="bottom"/>
          </w:tcPr>
          <w:p w14:paraId="0A96BF15" w14:textId="77777777" w:rsidR="00DA034B" w:rsidRPr="00E87011" w:rsidRDefault="00DA034B" w:rsidP="00B40FA0">
            <w:pPr>
              <w:suppressAutoHyphens w:val="0"/>
              <w:spacing w:before="40" w:after="40" w:line="220" w:lineRule="exact"/>
              <w:jc w:val="right"/>
              <w:rPr>
                <w:sz w:val="18"/>
              </w:rPr>
            </w:pPr>
            <w:r w:rsidRPr="00E87011">
              <w:rPr>
                <w:sz w:val="18"/>
              </w:rPr>
              <w:t>2,190</w:t>
            </w:r>
          </w:p>
        </w:tc>
        <w:tc>
          <w:tcPr>
            <w:tcW w:w="1748" w:type="dxa"/>
            <w:shd w:val="clear" w:color="auto" w:fill="auto"/>
            <w:vAlign w:val="bottom"/>
          </w:tcPr>
          <w:p w14:paraId="542D4864" w14:textId="77777777" w:rsidR="00DA034B" w:rsidRPr="00E87011" w:rsidRDefault="00DA034B" w:rsidP="00B40FA0">
            <w:pPr>
              <w:suppressAutoHyphens w:val="0"/>
              <w:spacing w:before="40" w:after="40" w:line="220" w:lineRule="exact"/>
              <w:jc w:val="right"/>
              <w:rPr>
                <w:sz w:val="18"/>
              </w:rPr>
            </w:pPr>
          </w:p>
        </w:tc>
      </w:tr>
      <w:tr w:rsidR="00DA034B" w:rsidRPr="00E87011" w14:paraId="3C65F037" w14:textId="77777777" w:rsidTr="0022679B">
        <w:tc>
          <w:tcPr>
            <w:tcW w:w="2127" w:type="dxa"/>
            <w:shd w:val="clear" w:color="auto" w:fill="auto"/>
            <w:noWrap/>
          </w:tcPr>
          <w:p w14:paraId="56F98324" w14:textId="77777777" w:rsidR="00DA034B" w:rsidRPr="00E87011" w:rsidRDefault="00DA034B" w:rsidP="00B40FA0">
            <w:pPr>
              <w:suppressAutoHyphens w:val="0"/>
              <w:spacing w:before="40" w:after="40" w:line="220" w:lineRule="exact"/>
              <w:rPr>
                <w:sz w:val="18"/>
              </w:rPr>
            </w:pPr>
            <w:r w:rsidRPr="00E87011">
              <w:rPr>
                <w:sz w:val="18"/>
              </w:rPr>
              <w:t>Azerbaïdjan</w:t>
            </w:r>
          </w:p>
        </w:tc>
        <w:tc>
          <w:tcPr>
            <w:tcW w:w="1747" w:type="dxa"/>
            <w:shd w:val="clear" w:color="auto" w:fill="auto"/>
            <w:noWrap/>
            <w:vAlign w:val="bottom"/>
          </w:tcPr>
          <w:p w14:paraId="3D28E162" w14:textId="77777777" w:rsidR="00DA034B" w:rsidRPr="00E87011" w:rsidRDefault="00DA034B" w:rsidP="00B40FA0">
            <w:pPr>
              <w:suppressAutoHyphens w:val="0"/>
              <w:spacing w:before="40" w:after="40" w:line="220" w:lineRule="exact"/>
              <w:jc w:val="right"/>
              <w:rPr>
                <w:sz w:val="18"/>
              </w:rPr>
            </w:pPr>
            <w:r w:rsidRPr="00E87011">
              <w:rPr>
                <w:sz w:val="18"/>
              </w:rPr>
              <w:t>0,049</w:t>
            </w:r>
          </w:p>
        </w:tc>
        <w:tc>
          <w:tcPr>
            <w:tcW w:w="1748" w:type="dxa"/>
            <w:shd w:val="clear" w:color="auto" w:fill="auto"/>
            <w:noWrap/>
            <w:vAlign w:val="bottom"/>
          </w:tcPr>
          <w:p w14:paraId="645B3641" w14:textId="77777777" w:rsidR="00DA034B" w:rsidRPr="00E87011" w:rsidDel="000D050E" w:rsidRDefault="00DA034B" w:rsidP="00B40FA0">
            <w:pPr>
              <w:suppressAutoHyphens w:val="0"/>
              <w:spacing w:before="40" w:after="40" w:line="220" w:lineRule="exact"/>
              <w:jc w:val="right"/>
              <w:rPr>
                <w:sz w:val="18"/>
              </w:rPr>
            </w:pPr>
            <w:r w:rsidRPr="00E87011">
              <w:rPr>
                <w:sz w:val="18"/>
              </w:rPr>
              <w:t>0,159</w:t>
            </w:r>
          </w:p>
        </w:tc>
        <w:tc>
          <w:tcPr>
            <w:tcW w:w="1748" w:type="dxa"/>
            <w:shd w:val="clear" w:color="auto" w:fill="auto"/>
            <w:vAlign w:val="bottom"/>
          </w:tcPr>
          <w:p w14:paraId="1A3D4AA9" w14:textId="77777777" w:rsidR="00DA034B" w:rsidRPr="00E87011" w:rsidRDefault="00DA034B" w:rsidP="00B40FA0">
            <w:pPr>
              <w:suppressAutoHyphens w:val="0"/>
              <w:spacing w:before="40" w:after="40" w:line="220" w:lineRule="exact"/>
              <w:jc w:val="right"/>
              <w:rPr>
                <w:sz w:val="18"/>
              </w:rPr>
            </w:pPr>
          </w:p>
        </w:tc>
      </w:tr>
      <w:tr w:rsidR="00DA034B" w:rsidRPr="00E87011" w14:paraId="3C6FEC49" w14:textId="77777777" w:rsidTr="0022679B">
        <w:tc>
          <w:tcPr>
            <w:tcW w:w="2127" w:type="dxa"/>
            <w:shd w:val="clear" w:color="auto" w:fill="auto"/>
            <w:noWrap/>
          </w:tcPr>
          <w:p w14:paraId="2DBD3803" w14:textId="77777777" w:rsidR="00DA034B" w:rsidRPr="00E87011" w:rsidRDefault="00DA034B" w:rsidP="00B40FA0">
            <w:pPr>
              <w:suppressAutoHyphens w:val="0"/>
              <w:spacing w:before="40" w:after="40" w:line="220" w:lineRule="exact"/>
              <w:rPr>
                <w:sz w:val="18"/>
              </w:rPr>
            </w:pPr>
            <w:r w:rsidRPr="00E87011">
              <w:rPr>
                <w:sz w:val="18"/>
              </w:rPr>
              <w:t>Bélarus</w:t>
            </w:r>
          </w:p>
        </w:tc>
        <w:tc>
          <w:tcPr>
            <w:tcW w:w="1747" w:type="dxa"/>
            <w:shd w:val="clear" w:color="auto" w:fill="auto"/>
            <w:noWrap/>
            <w:vAlign w:val="bottom"/>
          </w:tcPr>
          <w:p w14:paraId="4F1A9040" w14:textId="77777777" w:rsidR="00DA034B" w:rsidRPr="00E87011" w:rsidRDefault="00DA034B" w:rsidP="00B40FA0">
            <w:pPr>
              <w:suppressAutoHyphens w:val="0"/>
              <w:spacing w:before="40" w:after="40" w:line="220" w:lineRule="exact"/>
              <w:jc w:val="right"/>
              <w:rPr>
                <w:sz w:val="18"/>
              </w:rPr>
            </w:pPr>
            <w:r w:rsidRPr="00E87011">
              <w:rPr>
                <w:sz w:val="18"/>
              </w:rPr>
              <w:t>0,049</w:t>
            </w:r>
          </w:p>
        </w:tc>
        <w:tc>
          <w:tcPr>
            <w:tcW w:w="1748" w:type="dxa"/>
            <w:shd w:val="clear" w:color="auto" w:fill="auto"/>
            <w:noWrap/>
            <w:vAlign w:val="bottom"/>
          </w:tcPr>
          <w:p w14:paraId="491CB3D4" w14:textId="77777777" w:rsidR="00DA034B" w:rsidRPr="00E87011" w:rsidDel="000D050E" w:rsidRDefault="00DA034B" w:rsidP="00B40FA0">
            <w:pPr>
              <w:suppressAutoHyphens w:val="0"/>
              <w:spacing w:before="40" w:after="40" w:line="220" w:lineRule="exact"/>
              <w:jc w:val="right"/>
              <w:rPr>
                <w:sz w:val="18"/>
              </w:rPr>
            </w:pPr>
            <w:r w:rsidRPr="00E87011">
              <w:rPr>
                <w:sz w:val="18"/>
              </w:rPr>
              <w:t>0,159</w:t>
            </w:r>
          </w:p>
        </w:tc>
        <w:tc>
          <w:tcPr>
            <w:tcW w:w="1748" w:type="dxa"/>
            <w:shd w:val="clear" w:color="auto" w:fill="auto"/>
            <w:vAlign w:val="bottom"/>
          </w:tcPr>
          <w:p w14:paraId="6D2B97EA" w14:textId="77777777" w:rsidR="00DA034B" w:rsidRPr="00E87011" w:rsidRDefault="00DA034B" w:rsidP="00B40FA0">
            <w:pPr>
              <w:suppressAutoHyphens w:val="0"/>
              <w:spacing w:before="40" w:after="40" w:line="220" w:lineRule="exact"/>
              <w:jc w:val="right"/>
              <w:rPr>
                <w:sz w:val="18"/>
              </w:rPr>
            </w:pPr>
          </w:p>
        </w:tc>
      </w:tr>
      <w:tr w:rsidR="00DA034B" w:rsidRPr="00E87011" w14:paraId="0D8B8DE8" w14:textId="77777777" w:rsidTr="0022679B">
        <w:tc>
          <w:tcPr>
            <w:tcW w:w="2127" w:type="dxa"/>
            <w:shd w:val="clear" w:color="auto" w:fill="auto"/>
            <w:noWrap/>
            <w:hideMark/>
          </w:tcPr>
          <w:p w14:paraId="2CC88529" w14:textId="77777777" w:rsidR="00DA034B" w:rsidRPr="00E87011" w:rsidRDefault="00DA034B" w:rsidP="00B40FA0">
            <w:pPr>
              <w:suppressAutoHyphens w:val="0"/>
              <w:spacing w:before="40" w:after="40" w:line="220" w:lineRule="exact"/>
              <w:rPr>
                <w:sz w:val="18"/>
              </w:rPr>
            </w:pPr>
            <w:r w:rsidRPr="00E87011">
              <w:rPr>
                <w:sz w:val="18"/>
              </w:rPr>
              <w:t xml:space="preserve">Belgique </w:t>
            </w:r>
          </w:p>
        </w:tc>
        <w:tc>
          <w:tcPr>
            <w:tcW w:w="1747" w:type="dxa"/>
            <w:shd w:val="clear" w:color="auto" w:fill="auto"/>
            <w:noWrap/>
            <w:vAlign w:val="bottom"/>
            <w:hideMark/>
          </w:tcPr>
          <w:p w14:paraId="23A94B2A" w14:textId="77777777" w:rsidR="00DA034B" w:rsidRPr="00E87011" w:rsidRDefault="00DA034B" w:rsidP="00B40FA0">
            <w:pPr>
              <w:suppressAutoHyphens w:val="0"/>
              <w:spacing w:before="40" w:after="40" w:line="220" w:lineRule="exact"/>
              <w:jc w:val="right"/>
              <w:rPr>
                <w:sz w:val="18"/>
              </w:rPr>
            </w:pPr>
            <w:r w:rsidRPr="00E87011">
              <w:rPr>
                <w:sz w:val="18"/>
              </w:rPr>
              <w:t>0,821</w:t>
            </w:r>
          </w:p>
        </w:tc>
        <w:tc>
          <w:tcPr>
            <w:tcW w:w="1748" w:type="dxa"/>
            <w:shd w:val="clear" w:color="auto" w:fill="auto"/>
            <w:noWrap/>
            <w:vAlign w:val="bottom"/>
          </w:tcPr>
          <w:p w14:paraId="30B558DC" w14:textId="77777777" w:rsidR="00DA034B" w:rsidRPr="00E87011" w:rsidRDefault="00DA034B" w:rsidP="00B40FA0">
            <w:pPr>
              <w:suppressAutoHyphens w:val="0"/>
              <w:spacing w:before="40" w:after="40" w:line="220" w:lineRule="exact"/>
              <w:jc w:val="right"/>
              <w:rPr>
                <w:sz w:val="18"/>
              </w:rPr>
            </w:pPr>
            <w:r w:rsidRPr="00E87011">
              <w:rPr>
                <w:sz w:val="18"/>
              </w:rPr>
              <w:t>2,657</w:t>
            </w:r>
          </w:p>
        </w:tc>
        <w:tc>
          <w:tcPr>
            <w:tcW w:w="1748" w:type="dxa"/>
            <w:shd w:val="clear" w:color="auto" w:fill="auto"/>
            <w:vAlign w:val="bottom"/>
          </w:tcPr>
          <w:p w14:paraId="381EB827" w14:textId="77777777" w:rsidR="00DA034B" w:rsidRPr="00E87011" w:rsidRDefault="00DA034B" w:rsidP="00B40FA0">
            <w:pPr>
              <w:suppressAutoHyphens w:val="0"/>
              <w:spacing w:before="40" w:after="40" w:line="220" w:lineRule="exact"/>
              <w:jc w:val="right"/>
              <w:rPr>
                <w:sz w:val="18"/>
              </w:rPr>
            </w:pPr>
          </w:p>
        </w:tc>
      </w:tr>
      <w:tr w:rsidR="00DA034B" w:rsidRPr="00E87011" w14:paraId="6505C7FD" w14:textId="77777777" w:rsidTr="0022679B">
        <w:tc>
          <w:tcPr>
            <w:tcW w:w="2127" w:type="dxa"/>
            <w:shd w:val="clear" w:color="auto" w:fill="auto"/>
            <w:noWrap/>
            <w:hideMark/>
          </w:tcPr>
          <w:p w14:paraId="3DCFB9AD" w14:textId="77777777" w:rsidR="00DA034B" w:rsidRPr="00E87011" w:rsidRDefault="00DA034B" w:rsidP="00B40FA0">
            <w:pPr>
              <w:suppressAutoHyphens w:val="0"/>
              <w:spacing w:before="40" w:after="40" w:line="220" w:lineRule="exact"/>
              <w:rPr>
                <w:sz w:val="18"/>
              </w:rPr>
            </w:pPr>
            <w:r w:rsidRPr="00E87011">
              <w:rPr>
                <w:sz w:val="18"/>
              </w:rPr>
              <w:t>Bosnie-Herzégovine</w:t>
            </w:r>
          </w:p>
        </w:tc>
        <w:tc>
          <w:tcPr>
            <w:tcW w:w="1747" w:type="dxa"/>
            <w:shd w:val="clear" w:color="auto" w:fill="auto"/>
            <w:noWrap/>
            <w:vAlign w:val="bottom"/>
            <w:hideMark/>
          </w:tcPr>
          <w:p w14:paraId="6512E4C2" w14:textId="77777777" w:rsidR="00DA034B" w:rsidRPr="00E87011" w:rsidRDefault="00DA034B" w:rsidP="00B40FA0">
            <w:pPr>
              <w:suppressAutoHyphens w:val="0"/>
              <w:spacing w:before="40" w:after="40" w:line="220" w:lineRule="exact"/>
              <w:jc w:val="right"/>
              <w:rPr>
                <w:sz w:val="18"/>
              </w:rPr>
            </w:pPr>
            <w:r w:rsidRPr="00E87011">
              <w:rPr>
                <w:sz w:val="18"/>
              </w:rPr>
              <w:t>0,012</w:t>
            </w:r>
          </w:p>
        </w:tc>
        <w:tc>
          <w:tcPr>
            <w:tcW w:w="1748" w:type="dxa"/>
            <w:shd w:val="clear" w:color="auto" w:fill="auto"/>
            <w:noWrap/>
            <w:vAlign w:val="bottom"/>
          </w:tcPr>
          <w:p w14:paraId="20DEC82F" w14:textId="77777777" w:rsidR="00DA034B" w:rsidRPr="00E87011" w:rsidRDefault="00DA034B" w:rsidP="00B40FA0">
            <w:pPr>
              <w:suppressAutoHyphens w:val="0"/>
              <w:spacing w:before="40" w:after="40" w:line="220" w:lineRule="exact"/>
              <w:jc w:val="right"/>
              <w:rPr>
                <w:sz w:val="18"/>
              </w:rPr>
            </w:pPr>
            <w:r w:rsidRPr="00E87011">
              <w:rPr>
                <w:sz w:val="18"/>
              </w:rPr>
              <w:t>0,039</w:t>
            </w:r>
          </w:p>
        </w:tc>
        <w:tc>
          <w:tcPr>
            <w:tcW w:w="1748" w:type="dxa"/>
            <w:shd w:val="clear" w:color="auto" w:fill="auto"/>
            <w:vAlign w:val="bottom"/>
          </w:tcPr>
          <w:p w14:paraId="1DB28785" w14:textId="77777777" w:rsidR="00DA034B" w:rsidRPr="00E87011" w:rsidRDefault="00DA034B" w:rsidP="00B40FA0">
            <w:pPr>
              <w:suppressAutoHyphens w:val="0"/>
              <w:spacing w:before="40" w:after="40" w:line="220" w:lineRule="exact"/>
              <w:jc w:val="right"/>
              <w:rPr>
                <w:sz w:val="18"/>
              </w:rPr>
            </w:pPr>
          </w:p>
        </w:tc>
      </w:tr>
      <w:tr w:rsidR="00DA034B" w:rsidRPr="00E87011" w14:paraId="347CDFFA" w14:textId="77777777" w:rsidTr="0022679B">
        <w:tc>
          <w:tcPr>
            <w:tcW w:w="2127" w:type="dxa"/>
            <w:shd w:val="clear" w:color="auto" w:fill="auto"/>
            <w:noWrap/>
            <w:hideMark/>
          </w:tcPr>
          <w:p w14:paraId="29D62A79" w14:textId="77777777" w:rsidR="00DA034B" w:rsidRPr="00E87011" w:rsidRDefault="00DA034B" w:rsidP="00B40FA0">
            <w:pPr>
              <w:suppressAutoHyphens w:val="0"/>
              <w:spacing w:before="40" w:after="40" w:line="220" w:lineRule="exact"/>
              <w:rPr>
                <w:sz w:val="18"/>
              </w:rPr>
            </w:pPr>
            <w:r w:rsidRPr="00E87011">
              <w:rPr>
                <w:sz w:val="18"/>
              </w:rPr>
              <w:t>Bulgarie</w:t>
            </w:r>
          </w:p>
        </w:tc>
        <w:tc>
          <w:tcPr>
            <w:tcW w:w="1747" w:type="dxa"/>
            <w:shd w:val="clear" w:color="auto" w:fill="auto"/>
            <w:noWrap/>
            <w:vAlign w:val="bottom"/>
            <w:hideMark/>
          </w:tcPr>
          <w:p w14:paraId="18283D93" w14:textId="77777777" w:rsidR="00DA034B" w:rsidRPr="00E87011" w:rsidRDefault="00DA034B" w:rsidP="00B40FA0">
            <w:pPr>
              <w:suppressAutoHyphens w:val="0"/>
              <w:spacing w:before="40" w:after="40" w:line="220" w:lineRule="exact"/>
              <w:jc w:val="right"/>
              <w:rPr>
                <w:sz w:val="18"/>
              </w:rPr>
            </w:pPr>
            <w:r w:rsidRPr="00E87011">
              <w:rPr>
                <w:sz w:val="18"/>
              </w:rPr>
              <w:t>0,046</w:t>
            </w:r>
          </w:p>
        </w:tc>
        <w:tc>
          <w:tcPr>
            <w:tcW w:w="1748" w:type="dxa"/>
            <w:shd w:val="clear" w:color="auto" w:fill="auto"/>
            <w:noWrap/>
            <w:vAlign w:val="bottom"/>
          </w:tcPr>
          <w:p w14:paraId="5ACEED2B" w14:textId="77777777" w:rsidR="00DA034B" w:rsidRPr="00E87011" w:rsidRDefault="00DA034B" w:rsidP="00B40FA0">
            <w:pPr>
              <w:suppressAutoHyphens w:val="0"/>
              <w:spacing w:before="40" w:after="40" w:line="220" w:lineRule="exact"/>
              <w:jc w:val="right"/>
              <w:rPr>
                <w:sz w:val="18"/>
              </w:rPr>
            </w:pPr>
            <w:r w:rsidRPr="00E87011">
              <w:rPr>
                <w:sz w:val="18"/>
              </w:rPr>
              <w:t>0,149</w:t>
            </w:r>
          </w:p>
        </w:tc>
        <w:tc>
          <w:tcPr>
            <w:tcW w:w="1748" w:type="dxa"/>
            <w:shd w:val="clear" w:color="auto" w:fill="auto"/>
            <w:vAlign w:val="bottom"/>
          </w:tcPr>
          <w:p w14:paraId="4F6D7060" w14:textId="77777777" w:rsidR="00DA034B" w:rsidRPr="00E87011" w:rsidRDefault="00DA034B" w:rsidP="00B40FA0">
            <w:pPr>
              <w:suppressAutoHyphens w:val="0"/>
              <w:spacing w:before="40" w:after="40" w:line="220" w:lineRule="exact"/>
              <w:jc w:val="right"/>
              <w:rPr>
                <w:sz w:val="18"/>
              </w:rPr>
            </w:pPr>
          </w:p>
        </w:tc>
      </w:tr>
      <w:tr w:rsidR="00DA034B" w:rsidRPr="00E87011" w14:paraId="7A531066" w14:textId="77777777" w:rsidTr="0022679B">
        <w:tc>
          <w:tcPr>
            <w:tcW w:w="2127" w:type="dxa"/>
            <w:shd w:val="clear" w:color="auto" w:fill="auto"/>
            <w:noWrap/>
            <w:hideMark/>
          </w:tcPr>
          <w:p w14:paraId="35A95023" w14:textId="77777777" w:rsidR="00DA034B" w:rsidRPr="00E87011" w:rsidRDefault="00DA034B" w:rsidP="00B40FA0">
            <w:pPr>
              <w:suppressAutoHyphens w:val="0"/>
              <w:spacing w:before="40" w:after="40" w:line="220" w:lineRule="exact"/>
              <w:rPr>
                <w:sz w:val="18"/>
              </w:rPr>
            </w:pPr>
            <w:r w:rsidRPr="00E87011">
              <w:rPr>
                <w:sz w:val="18"/>
              </w:rPr>
              <w:t>Chypre</w:t>
            </w:r>
          </w:p>
        </w:tc>
        <w:tc>
          <w:tcPr>
            <w:tcW w:w="1747" w:type="dxa"/>
            <w:shd w:val="clear" w:color="auto" w:fill="auto"/>
            <w:noWrap/>
            <w:vAlign w:val="bottom"/>
            <w:hideMark/>
          </w:tcPr>
          <w:p w14:paraId="3B743225" w14:textId="77777777" w:rsidR="00DA034B" w:rsidRPr="00E87011" w:rsidRDefault="00DA034B" w:rsidP="00B40FA0">
            <w:pPr>
              <w:suppressAutoHyphens w:val="0"/>
              <w:spacing w:before="40" w:after="40" w:line="220" w:lineRule="exact"/>
              <w:jc w:val="right"/>
              <w:rPr>
                <w:sz w:val="18"/>
              </w:rPr>
            </w:pPr>
            <w:r w:rsidRPr="00E87011">
              <w:rPr>
                <w:sz w:val="18"/>
              </w:rPr>
              <w:t>0,036</w:t>
            </w:r>
          </w:p>
        </w:tc>
        <w:tc>
          <w:tcPr>
            <w:tcW w:w="1748" w:type="dxa"/>
            <w:shd w:val="clear" w:color="auto" w:fill="auto"/>
            <w:noWrap/>
            <w:vAlign w:val="bottom"/>
          </w:tcPr>
          <w:p w14:paraId="73B490B4" w14:textId="77777777" w:rsidR="00DA034B" w:rsidRPr="00E87011" w:rsidRDefault="00DA034B" w:rsidP="00B40FA0">
            <w:pPr>
              <w:suppressAutoHyphens w:val="0"/>
              <w:spacing w:before="40" w:after="40" w:line="220" w:lineRule="exact"/>
              <w:jc w:val="right"/>
              <w:rPr>
                <w:sz w:val="18"/>
              </w:rPr>
            </w:pPr>
            <w:r w:rsidRPr="00E87011">
              <w:rPr>
                <w:sz w:val="18"/>
              </w:rPr>
              <w:t>0,116</w:t>
            </w:r>
          </w:p>
        </w:tc>
        <w:tc>
          <w:tcPr>
            <w:tcW w:w="1748" w:type="dxa"/>
            <w:shd w:val="clear" w:color="auto" w:fill="auto"/>
            <w:vAlign w:val="bottom"/>
          </w:tcPr>
          <w:p w14:paraId="71202C5E" w14:textId="77777777" w:rsidR="00DA034B" w:rsidRPr="00E87011" w:rsidRDefault="00DA034B" w:rsidP="00B40FA0">
            <w:pPr>
              <w:suppressAutoHyphens w:val="0"/>
              <w:spacing w:before="40" w:after="40" w:line="220" w:lineRule="exact"/>
              <w:jc w:val="right"/>
              <w:rPr>
                <w:sz w:val="18"/>
              </w:rPr>
            </w:pPr>
          </w:p>
        </w:tc>
      </w:tr>
      <w:tr w:rsidR="00DA034B" w:rsidRPr="00E87011" w14:paraId="20746655" w14:textId="77777777" w:rsidTr="0022679B">
        <w:tc>
          <w:tcPr>
            <w:tcW w:w="2127" w:type="dxa"/>
            <w:shd w:val="clear" w:color="auto" w:fill="auto"/>
            <w:noWrap/>
            <w:hideMark/>
          </w:tcPr>
          <w:p w14:paraId="5FA91BCE" w14:textId="77777777" w:rsidR="00DA034B" w:rsidRPr="00E87011" w:rsidRDefault="00DA034B" w:rsidP="00B40FA0">
            <w:pPr>
              <w:suppressAutoHyphens w:val="0"/>
              <w:spacing w:before="40" w:after="40" w:line="220" w:lineRule="exact"/>
              <w:rPr>
                <w:sz w:val="18"/>
              </w:rPr>
            </w:pPr>
            <w:r w:rsidRPr="00E87011">
              <w:rPr>
                <w:sz w:val="18"/>
              </w:rPr>
              <w:t>Croatie</w:t>
            </w:r>
          </w:p>
        </w:tc>
        <w:tc>
          <w:tcPr>
            <w:tcW w:w="1747" w:type="dxa"/>
            <w:shd w:val="clear" w:color="auto" w:fill="auto"/>
            <w:noWrap/>
            <w:vAlign w:val="bottom"/>
            <w:hideMark/>
          </w:tcPr>
          <w:p w14:paraId="759C8653" w14:textId="77777777" w:rsidR="00DA034B" w:rsidRPr="00E87011" w:rsidRDefault="00DA034B" w:rsidP="00B40FA0">
            <w:pPr>
              <w:suppressAutoHyphens w:val="0"/>
              <w:spacing w:before="40" w:after="40" w:line="220" w:lineRule="exact"/>
              <w:jc w:val="right"/>
              <w:rPr>
                <w:sz w:val="18"/>
              </w:rPr>
            </w:pPr>
            <w:r w:rsidRPr="00E87011">
              <w:rPr>
                <w:sz w:val="18"/>
              </w:rPr>
              <w:t>0,077</w:t>
            </w:r>
          </w:p>
        </w:tc>
        <w:tc>
          <w:tcPr>
            <w:tcW w:w="1748" w:type="dxa"/>
            <w:shd w:val="clear" w:color="auto" w:fill="auto"/>
            <w:noWrap/>
            <w:vAlign w:val="bottom"/>
          </w:tcPr>
          <w:p w14:paraId="10DA0BDA" w14:textId="77777777" w:rsidR="00DA034B" w:rsidRPr="00E87011" w:rsidRDefault="00DA034B" w:rsidP="00B40FA0">
            <w:pPr>
              <w:suppressAutoHyphens w:val="0"/>
              <w:spacing w:before="40" w:after="40" w:line="220" w:lineRule="exact"/>
              <w:jc w:val="right"/>
              <w:rPr>
                <w:sz w:val="18"/>
              </w:rPr>
            </w:pPr>
            <w:r w:rsidRPr="00E87011">
              <w:rPr>
                <w:sz w:val="18"/>
              </w:rPr>
              <w:t>0,249</w:t>
            </w:r>
          </w:p>
        </w:tc>
        <w:tc>
          <w:tcPr>
            <w:tcW w:w="1748" w:type="dxa"/>
            <w:shd w:val="clear" w:color="auto" w:fill="auto"/>
            <w:vAlign w:val="bottom"/>
          </w:tcPr>
          <w:p w14:paraId="18055AAD" w14:textId="77777777" w:rsidR="00DA034B" w:rsidRPr="00E87011" w:rsidRDefault="00DA034B" w:rsidP="00B40FA0">
            <w:pPr>
              <w:suppressAutoHyphens w:val="0"/>
              <w:spacing w:before="40" w:after="40" w:line="220" w:lineRule="exact"/>
              <w:jc w:val="right"/>
              <w:rPr>
                <w:sz w:val="18"/>
              </w:rPr>
            </w:pPr>
          </w:p>
        </w:tc>
      </w:tr>
      <w:tr w:rsidR="00DA034B" w:rsidRPr="00E87011" w14:paraId="5F92E7DD" w14:textId="77777777" w:rsidTr="0022679B">
        <w:tc>
          <w:tcPr>
            <w:tcW w:w="2127" w:type="dxa"/>
            <w:shd w:val="clear" w:color="auto" w:fill="auto"/>
            <w:noWrap/>
            <w:hideMark/>
          </w:tcPr>
          <w:p w14:paraId="2C86894C" w14:textId="77777777" w:rsidR="00DA034B" w:rsidRPr="00E87011" w:rsidRDefault="00DA034B" w:rsidP="00B40FA0">
            <w:pPr>
              <w:suppressAutoHyphens w:val="0"/>
              <w:spacing w:before="40" w:after="40" w:line="220" w:lineRule="exact"/>
              <w:rPr>
                <w:sz w:val="18"/>
              </w:rPr>
            </w:pPr>
            <w:r w:rsidRPr="00E87011">
              <w:rPr>
                <w:sz w:val="18"/>
              </w:rPr>
              <w:t>Danemark</w:t>
            </w:r>
          </w:p>
        </w:tc>
        <w:tc>
          <w:tcPr>
            <w:tcW w:w="1747" w:type="dxa"/>
            <w:shd w:val="clear" w:color="auto" w:fill="auto"/>
            <w:noWrap/>
            <w:vAlign w:val="bottom"/>
            <w:hideMark/>
          </w:tcPr>
          <w:p w14:paraId="404DE7D9" w14:textId="77777777" w:rsidR="00DA034B" w:rsidRPr="00E87011" w:rsidRDefault="00DA034B" w:rsidP="00B40FA0">
            <w:pPr>
              <w:suppressAutoHyphens w:val="0"/>
              <w:spacing w:before="40" w:after="40" w:line="220" w:lineRule="exact"/>
              <w:jc w:val="right"/>
              <w:rPr>
                <w:sz w:val="18"/>
              </w:rPr>
            </w:pPr>
            <w:r w:rsidRPr="00E87011">
              <w:rPr>
                <w:sz w:val="18"/>
              </w:rPr>
              <w:t>0,554</w:t>
            </w:r>
          </w:p>
        </w:tc>
        <w:tc>
          <w:tcPr>
            <w:tcW w:w="1748" w:type="dxa"/>
            <w:shd w:val="clear" w:color="auto" w:fill="auto"/>
            <w:noWrap/>
            <w:vAlign w:val="bottom"/>
          </w:tcPr>
          <w:p w14:paraId="07C4555D" w14:textId="77777777" w:rsidR="00DA034B" w:rsidRPr="00E87011" w:rsidRDefault="00DA034B" w:rsidP="00B40FA0">
            <w:pPr>
              <w:suppressAutoHyphens w:val="0"/>
              <w:spacing w:before="40" w:after="40" w:line="220" w:lineRule="exact"/>
              <w:jc w:val="right"/>
              <w:rPr>
                <w:sz w:val="18"/>
              </w:rPr>
            </w:pPr>
            <w:r w:rsidRPr="00E87011">
              <w:rPr>
                <w:sz w:val="18"/>
              </w:rPr>
              <w:t>1,793</w:t>
            </w:r>
          </w:p>
        </w:tc>
        <w:tc>
          <w:tcPr>
            <w:tcW w:w="1748" w:type="dxa"/>
            <w:shd w:val="clear" w:color="auto" w:fill="auto"/>
            <w:vAlign w:val="bottom"/>
          </w:tcPr>
          <w:p w14:paraId="120B88FC" w14:textId="77777777" w:rsidR="00DA034B" w:rsidRPr="00E87011" w:rsidRDefault="00DA034B" w:rsidP="00B40FA0">
            <w:pPr>
              <w:suppressAutoHyphens w:val="0"/>
              <w:spacing w:before="40" w:after="40" w:line="220" w:lineRule="exact"/>
              <w:jc w:val="right"/>
              <w:rPr>
                <w:sz w:val="18"/>
              </w:rPr>
            </w:pPr>
          </w:p>
        </w:tc>
      </w:tr>
      <w:tr w:rsidR="00DA034B" w:rsidRPr="00894657" w14:paraId="2F53AC85" w14:textId="77777777" w:rsidTr="0022679B">
        <w:tc>
          <w:tcPr>
            <w:tcW w:w="2127" w:type="dxa"/>
            <w:shd w:val="clear" w:color="auto" w:fill="auto"/>
            <w:noWrap/>
            <w:hideMark/>
          </w:tcPr>
          <w:p w14:paraId="21D5EB98" w14:textId="77777777" w:rsidR="00DA034B" w:rsidRPr="00894657" w:rsidRDefault="00DA034B" w:rsidP="00B40FA0">
            <w:pPr>
              <w:suppressAutoHyphens w:val="0"/>
              <w:spacing w:before="40" w:after="40" w:line="220" w:lineRule="exact"/>
              <w:rPr>
                <w:sz w:val="18"/>
              </w:rPr>
            </w:pPr>
            <w:r w:rsidRPr="00894657">
              <w:rPr>
                <w:sz w:val="18"/>
              </w:rPr>
              <w:t>Espagne</w:t>
            </w:r>
          </w:p>
        </w:tc>
        <w:tc>
          <w:tcPr>
            <w:tcW w:w="1747" w:type="dxa"/>
            <w:shd w:val="clear" w:color="auto" w:fill="auto"/>
            <w:noWrap/>
            <w:vAlign w:val="bottom"/>
          </w:tcPr>
          <w:p w14:paraId="26BBE5AF" w14:textId="77777777" w:rsidR="00DA034B" w:rsidRPr="00894657" w:rsidRDefault="00DA034B" w:rsidP="00B40FA0">
            <w:pPr>
              <w:suppressAutoHyphens w:val="0"/>
              <w:spacing w:before="40" w:after="40" w:line="220" w:lineRule="exact"/>
              <w:jc w:val="right"/>
              <w:rPr>
                <w:sz w:val="18"/>
              </w:rPr>
            </w:pPr>
            <w:r w:rsidRPr="00894657">
              <w:rPr>
                <w:sz w:val="18"/>
              </w:rPr>
              <w:t>2,146</w:t>
            </w:r>
          </w:p>
        </w:tc>
        <w:tc>
          <w:tcPr>
            <w:tcW w:w="1748" w:type="dxa"/>
            <w:shd w:val="clear" w:color="auto" w:fill="auto"/>
            <w:noWrap/>
            <w:vAlign w:val="bottom"/>
          </w:tcPr>
          <w:p w14:paraId="11673EA6" w14:textId="77777777" w:rsidR="00DA034B" w:rsidRPr="00894657" w:rsidRDefault="00DA034B" w:rsidP="00B40FA0">
            <w:pPr>
              <w:suppressAutoHyphens w:val="0"/>
              <w:spacing w:before="40" w:after="40" w:line="220" w:lineRule="exact"/>
              <w:jc w:val="right"/>
              <w:rPr>
                <w:sz w:val="18"/>
              </w:rPr>
            </w:pPr>
            <w:r w:rsidRPr="00894657">
              <w:rPr>
                <w:sz w:val="18"/>
              </w:rPr>
              <w:t>6,944</w:t>
            </w:r>
          </w:p>
        </w:tc>
        <w:tc>
          <w:tcPr>
            <w:tcW w:w="1748" w:type="dxa"/>
            <w:shd w:val="clear" w:color="auto" w:fill="auto"/>
            <w:vAlign w:val="bottom"/>
          </w:tcPr>
          <w:p w14:paraId="40DB1223" w14:textId="77777777" w:rsidR="00DA034B" w:rsidRPr="00894657" w:rsidRDefault="00DA034B" w:rsidP="00B40FA0">
            <w:pPr>
              <w:suppressAutoHyphens w:val="0"/>
              <w:spacing w:before="40" w:after="40" w:line="220" w:lineRule="exact"/>
              <w:jc w:val="right"/>
              <w:rPr>
                <w:sz w:val="18"/>
              </w:rPr>
            </w:pPr>
          </w:p>
        </w:tc>
      </w:tr>
      <w:tr w:rsidR="00DA034B" w:rsidRPr="00894657" w14:paraId="40CE7D06" w14:textId="77777777" w:rsidTr="0022679B">
        <w:tc>
          <w:tcPr>
            <w:tcW w:w="2127" w:type="dxa"/>
            <w:shd w:val="clear" w:color="auto" w:fill="auto"/>
            <w:noWrap/>
            <w:hideMark/>
          </w:tcPr>
          <w:p w14:paraId="380E420F" w14:textId="77777777" w:rsidR="00DA034B" w:rsidRPr="00894657" w:rsidRDefault="00DA034B" w:rsidP="00B40FA0">
            <w:pPr>
              <w:suppressAutoHyphens w:val="0"/>
              <w:spacing w:before="40" w:after="40" w:line="220" w:lineRule="exact"/>
              <w:rPr>
                <w:sz w:val="18"/>
              </w:rPr>
            </w:pPr>
            <w:r w:rsidRPr="00894657">
              <w:rPr>
                <w:sz w:val="18"/>
              </w:rPr>
              <w:t>Estonie</w:t>
            </w:r>
          </w:p>
        </w:tc>
        <w:tc>
          <w:tcPr>
            <w:tcW w:w="1747" w:type="dxa"/>
            <w:shd w:val="clear" w:color="auto" w:fill="auto"/>
            <w:noWrap/>
            <w:vAlign w:val="bottom"/>
            <w:hideMark/>
          </w:tcPr>
          <w:p w14:paraId="160907D4" w14:textId="77777777" w:rsidR="00DA034B" w:rsidRPr="00894657" w:rsidRDefault="00DA034B" w:rsidP="00B40FA0">
            <w:pPr>
              <w:suppressAutoHyphens w:val="0"/>
              <w:spacing w:before="40" w:after="40" w:line="220" w:lineRule="exact"/>
              <w:jc w:val="right"/>
              <w:rPr>
                <w:sz w:val="18"/>
              </w:rPr>
            </w:pPr>
            <w:r w:rsidRPr="00894657">
              <w:rPr>
                <w:sz w:val="18"/>
              </w:rPr>
              <w:t>0,039</w:t>
            </w:r>
          </w:p>
        </w:tc>
        <w:tc>
          <w:tcPr>
            <w:tcW w:w="1748" w:type="dxa"/>
            <w:shd w:val="clear" w:color="auto" w:fill="auto"/>
            <w:noWrap/>
            <w:vAlign w:val="bottom"/>
          </w:tcPr>
          <w:p w14:paraId="737E0357" w14:textId="77777777" w:rsidR="00DA034B" w:rsidRPr="00894657" w:rsidRDefault="00DA034B" w:rsidP="00B40FA0">
            <w:pPr>
              <w:suppressAutoHyphens w:val="0"/>
              <w:spacing w:before="40" w:after="40" w:line="220" w:lineRule="exact"/>
              <w:jc w:val="right"/>
              <w:rPr>
                <w:sz w:val="18"/>
              </w:rPr>
            </w:pPr>
            <w:r w:rsidRPr="00894657">
              <w:rPr>
                <w:sz w:val="18"/>
              </w:rPr>
              <w:t>0,126</w:t>
            </w:r>
          </w:p>
        </w:tc>
        <w:tc>
          <w:tcPr>
            <w:tcW w:w="1748" w:type="dxa"/>
            <w:shd w:val="clear" w:color="auto" w:fill="auto"/>
            <w:vAlign w:val="bottom"/>
          </w:tcPr>
          <w:p w14:paraId="44530AB4" w14:textId="77777777" w:rsidR="00DA034B" w:rsidRPr="00894657" w:rsidRDefault="00DA034B" w:rsidP="00B40FA0">
            <w:pPr>
              <w:suppressAutoHyphens w:val="0"/>
              <w:spacing w:before="40" w:after="40" w:line="220" w:lineRule="exact"/>
              <w:jc w:val="right"/>
              <w:rPr>
                <w:sz w:val="18"/>
              </w:rPr>
            </w:pPr>
          </w:p>
        </w:tc>
      </w:tr>
      <w:tr w:rsidR="00DA034B" w:rsidRPr="00894657" w14:paraId="0D3AFEE6" w14:textId="77777777" w:rsidTr="0022679B">
        <w:tc>
          <w:tcPr>
            <w:tcW w:w="2127" w:type="dxa"/>
            <w:shd w:val="clear" w:color="auto" w:fill="auto"/>
            <w:noWrap/>
            <w:hideMark/>
          </w:tcPr>
          <w:p w14:paraId="4C9F1CA8" w14:textId="77777777" w:rsidR="00DA034B" w:rsidRPr="00894657" w:rsidRDefault="00DA034B" w:rsidP="00B40FA0">
            <w:pPr>
              <w:suppressAutoHyphens w:val="0"/>
              <w:spacing w:before="40" w:after="40" w:line="220" w:lineRule="exact"/>
              <w:rPr>
                <w:sz w:val="18"/>
              </w:rPr>
            </w:pPr>
            <w:r w:rsidRPr="00894657">
              <w:rPr>
                <w:sz w:val="18"/>
              </w:rPr>
              <w:t>Finlande</w:t>
            </w:r>
          </w:p>
        </w:tc>
        <w:tc>
          <w:tcPr>
            <w:tcW w:w="1747" w:type="dxa"/>
            <w:shd w:val="clear" w:color="auto" w:fill="auto"/>
            <w:noWrap/>
            <w:vAlign w:val="bottom"/>
            <w:hideMark/>
          </w:tcPr>
          <w:p w14:paraId="0F1B2BD5" w14:textId="77777777" w:rsidR="00DA034B" w:rsidRPr="00894657" w:rsidRDefault="00DA034B" w:rsidP="00B40FA0">
            <w:pPr>
              <w:suppressAutoHyphens w:val="0"/>
              <w:spacing w:before="40" w:after="40" w:line="220" w:lineRule="exact"/>
              <w:jc w:val="right"/>
              <w:rPr>
                <w:sz w:val="18"/>
              </w:rPr>
            </w:pPr>
            <w:r w:rsidRPr="00894657">
              <w:rPr>
                <w:sz w:val="18"/>
              </w:rPr>
              <w:t>0,421</w:t>
            </w:r>
          </w:p>
        </w:tc>
        <w:tc>
          <w:tcPr>
            <w:tcW w:w="1748" w:type="dxa"/>
            <w:shd w:val="clear" w:color="auto" w:fill="auto"/>
            <w:noWrap/>
            <w:vAlign w:val="bottom"/>
          </w:tcPr>
          <w:p w14:paraId="206D32D8" w14:textId="77777777" w:rsidR="00DA034B" w:rsidRPr="00894657" w:rsidRDefault="00DA034B" w:rsidP="00B40FA0">
            <w:pPr>
              <w:suppressAutoHyphens w:val="0"/>
              <w:spacing w:before="40" w:after="40" w:line="220" w:lineRule="exact"/>
              <w:jc w:val="right"/>
              <w:rPr>
                <w:sz w:val="18"/>
              </w:rPr>
            </w:pPr>
            <w:r w:rsidRPr="00894657">
              <w:rPr>
                <w:sz w:val="18"/>
              </w:rPr>
              <w:t>1,362</w:t>
            </w:r>
          </w:p>
        </w:tc>
        <w:tc>
          <w:tcPr>
            <w:tcW w:w="1748" w:type="dxa"/>
            <w:shd w:val="clear" w:color="auto" w:fill="auto"/>
            <w:vAlign w:val="bottom"/>
          </w:tcPr>
          <w:p w14:paraId="18443F3E" w14:textId="77777777" w:rsidR="00DA034B" w:rsidRPr="00894657" w:rsidRDefault="00DA034B" w:rsidP="00B40FA0">
            <w:pPr>
              <w:suppressAutoHyphens w:val="0"/>
              <w:spacing w:before="40" w:after="40" w:line="220" w:lineRule="exact"/>
              <w:jc w:val="right"/>
              <w:rPr>
                <w:sz w:val="18"/>
              </w:rPr>
            </w:pPr>
          </w:p>
        </w:tc>
      </w:tr>
      <w:tr w:rsidR="00DA034B" w:rsidRPr="00894657" w14:paraId="1F7F698C" w14:textId="77777777" w:rsidTr="0022679B">
        <w:tc>
          <w:tcPr>
            <w:tcW w:w="2127" w:type="dxa"/>
            <w:shd w:val="clear" w:color="auto" w:fill="auto"/>
            <w:noWrap/>
            <w:hideMark/>
          </w:tcPr>
          <w:p w14:paraId="2B517B13" w14:textId="77777777" w:rsidR="00DA034B" w:rsidRPr="00894657" w:rsidRDefault="00DA034B" w:rsidP="00B40FA0">
            <w:pPr>
              <w:suppressAutoHyphens w:val="0"/>
              <w:spacing w:before="40" w:after="40" w:line="220" w:lineRule="exact"/>
              <w:rPr>
                <w:sz w:val="18"/>
              </w:rPr>
            </w:pPr>
            <w:r w:rsidRPr="00894657">
              <w:rPr>
                <w:sz w:val="18"/>
              </w:rPr>
              <w:t>France</w:t>
            </w:r>
          </w:p>
        </w:tc>
        <w:tc>
          <w:tcPr>
            <w:tcW w:w="1747" w:type="dxa"/>
            <w:shd w:val="clear" w:color="auto" w:fill="auto"/>
            <w:noWrap/>
            <w:vAlign w:val="bottom"/>
            <w:hideMark/>
          </w:tcPr>
          <w:p w14:paraId="6FEB403F" w14:textId="77777777" w:rsidR="00DA034B" w:rsidRPr="00894657" w:rsidRDefault="00DA034B" w:rsidP="00B40FA0">
            <w:pPr>
              <w:suppressAutoHyphens w:val="0"/>
              <w:spacing w:before="40" w:after="40" w:line="220" w:lineRule="exact"/>
              <w:jc w:val="right"/>
              <w:rPr>
                <w:sz w:val="18"/>
              </w:rPr>
            </w:pPr>
            <w:r w:rsidRPr="00894657">
              <w:rPr>
                <w:sz w:val="18"/>
              </w:rPr>
              <w:t>4,427</w:t>
            </w:r>
          </w:p>
        </w:tc>
        <w:tc>
          <w:tcPr>
            <w:tcW w:w="1748" w:type="dxa"/>
            <w:shd w:val="clear" w:color="auto" w:fill="auto"/>
            <w:noWrap/>
            <w:vAlign w:val="bottom"/>
          </w:tcPr>
          <w:p w14:paraId="2F0CA181" w14:textId="77777777" w:rsidR="00DA034B" w:rsidRPr="00894657" w:rsidRDefault="00DA034B" w:rsidP="00B40FA0">
            <w:pPr>
              <w:suppressAutoHyphens w:val="0"/>
              <w:spacing w:before="40" w:after="40" w:line="220" w:lineRule="exact"/>
              <w:jc w:val="right"/>
              <w:rPr>
                <w:sz w:val="18"/>
              </w:rPr>
            </w:pPr>
            <w:r w:rsidRPr="00894657">
              <w:rPr>
                <w:sz w:val="18"/>
              </w:rPr>
              <w:t>14,326</w:t>
            </w:r>
          </w:p>
        </w:tc>
        <w:tc>
          <w:tcPr>
            <w:tcW w:w="1748" w:type="dxa"/>
            <w:shd w:val="clear" w:color="auto" w:fill="auto"/>
            <w:vAlign w:val="bottom"/>
          </w:tcPr>
          <w:p w14:paraId="129CAC01" w14:textId="77777777" w:rsidR="00DA034B" w:rsidRPr="00894657" w:rsidRDefault="00DA034B" w:rsidP="00B40FA0">
            <w:pPr>
              <w:suppressAutoHyphens w:val="0"/>
              <w:spacing w:before="40" w:after="40" w:line="220" w:lineRule="exact"/>
              <w:jc w:val="right"/>
              <w:rPr>
                <w:sz w:val="18"/>
              </w:rPr>
            </w:pPr>
          </w:p>
        </w:tc>
      </w:tr>
      <w:tr w:rsidR="00DA034B" w:rsidRPr="00894657" w14:paraId="59790D71" w14:textId="77777777" w:rsidTr="0022679B">
        <w:tc>
          <w:tcPr>
            <w:tcW w:w="2127" w:type="dxa"/>
            <w:shd w:val="clear" w:color="auto" w:fill="auto"/>
            <w:noWrap/>
            <w:hideMark/>
          </w:tcPr>
          <w:p w14:paraId="7600E8C3" w14:textId="77777777" w:rsidR="00DA034B" w:rsidRPr="00894657" w:rsidRDefault="00DA034B" w:rsidP="00B40FA0">
            <w:pPr>
              <w:suppressAutoHyphens w:val="0"/>
              <w:spacing w:before="40" w:after="40" w:line="220" w:lineRule="exact"/>
              <w:rPr>
                <w:sz w:val="18"/>
              </w:rPr>
            </w:pPr>
            <w:r w:rsidRPr="00894657">
              <w:rPr>
                <w:sz w:val="18"/>
              </w:rPr>
              <w:t>Géorgie</w:t>
            </w:r>
          </w:p>
        </w:tc>
        <w:tc>
          <w:tcPr>
            <w:tcW w:w="1747" w:type="dxa"/>
            <w:shd w:val="clear" w:color="auto" w:fill="auto"/>
            <w:noWrap/>
            <w:vAlign w:val="bottom"/>
            <w:hideMark/>
          </w:tcPr>
          <w:p w14:paraId="1BEE76EE" w14:textId="77777777" w:rsidR="00DA034B" w:rsidRPr="00894657" w:rsidRDefault="00DA034B" w:rsidP="00B40FA0">
            <w:pPr>
              <w:suppressAutoHyphens w:val="0"/>
              <w:spacing w:before="40" w:after="40" w:line="220" w:lineRule="exact"/>
              <w:jc w:val="right"/>
              <w:rPr>
                <w:sz w:val="18"/>
              </w:rPr>
            </w:pPr>
            <w:r w:rsidRPr="00894657">
              <w:rPr>
                <w:sz w:val="18"/>
              </w:rPr>
              <w:t>0,008</w:t>
            </w:r>
          </w:p>
        </w:tc>
        <w:tc>
          <w:tcPr>
            <w:tcW w:w="1748" w:type="dxa"/>
            <w:shd w:val="clear" w:color="auto" w:fill="auto"/>
            <w:noWrap/>
            <w:vAlign w:val="bottom"/>
          </w:tcPr>
          <w:p w14:paraId="26554621" w14:textId="77777777" w:rsidR="00DA034B" w:rsidRPr="00894657" w:rsidRDefault="00DA034B" w:rsidP="00B40FA0">
            <w:pPr>
              <w:suppressAutoHyphens w:val="0"/>
              <w:spacing w:before="40" w:after="40" w:line="220" w:lineRule="exact"/>
              <w:jc w:val="right"/>
              <w:rPr>
                <w:sz w:val="18"/>
              </w:rPr>
            </w:pPr>
            <w:r w:rsidRPr="00894657">
              <w:rPr>
                <w:sz w:val="18"/>
              </w:rPr>
              <w:t>0,026</w:t>
            </w:r>
          </w:p>
        </w:tc>
        <w:tc>
          <w:tcPr>
            <w:tcW w:w="1748" w:type="dxa"/>
            <w:shd w:val="clear" w:color="auto" w:fill="auto"/>
            <w:vAlign w:val="bottom"/>
          </w:tcPr>
          <w:p w14:paraId="30702646" w14:textId="77777777" w:rsidR="00DA034B" w:rsidRPr="00894657" w:rsidRDefault="00DA034B" w:rsidP="00B40FA0">
            <w:pPr>
              <w:suppressAutoHyphens w:val="0"/>
              <w:spacing w:before="40" w:after="40" w:line="220" w:lineRule="exact"/>
              <w:jc w:val="right"/>
              <w:rPr>
                <w:sz w:val="18"/>
              </w:rPr>
            </w:pPr>
          </w:p>
        </w:tc>
      </w:tr>
      <w:tr w:rsidR="00DA034B" w:rsidRPr="00894657" w14:paraId="14C105A3" w14:textId="77777777" w:rsidTr="0022679B">
        <w:tc>
          <w:tcPr>
            <w:tcW w:w="2127" w:type="dxa"/>
            <w:shd w:val="clear" w:color="auto" w:fill="auto"/>
            <w:noWrap/>
            <w:hideMark/>
          </w:tcPr>
          <w:p w14:paraId="140582DE" w14:textId="77777777" w:rsidR="00DA034B" w:rsidRPr="00894657" w:rsidRDefault="00DA034B" w:rsidP="00B40FA0">
            <w:pPr>
              <w:suppressAutoHyphens w:val="0"/>
              <w:spacing w:before="40" w:after="40" w:line="220" w:lineRule="exact"/>
              <w:rPr>
                <w:sz w:val="18"/>
              </w:rPr>
            </w:pPr>
            <w:r w:rsidRPr="00894657">
              <w:rPr>
                <w:sz w:val="18"/>
              </w:rPr>
              <w:t>Grèce</w:t>
            </w:r>
          </w:p>
        </w:tc>
        <w:tc>
          <w:tcPr>
            <w:tcW w:w="1747" w:type="dxa"/>
            <w:shd w:val="clear" w:color="auto" w:fill="auto"/>
            <w:noWrap/>
            <w:vAlign w:val="bottom"/>
            <w:hideMark/>
          </w:tcPr>
          <w:p w14:paraId="327A37D2" w14:textId="77777777" w:rsidR="00DA034B" w:rsidRPr="00894657" w:rsidRDefault="00DA034B" w:rsidP="00B40FA0">
            <w:pPr>
              <w:suppressAutoHyphens w:val="0"/>
              <w:spacing w:before="40" w:after="40" w:line="220" w:lineRule="exact"/>
              <w:jc w:val="right"/>
              <w:rPr>
                <w:sz w:val="18"/>
              </w:rPr>
            </w:pPr>
            <w:r w:rsidRPr="00894657">
              <w:rPr>
                <w:sz w:val="18"/>
              </w:rPr>
              <w:t>0,366</w:t>
            </w:r>
          </w:p>
        </w:tc>
        <w:tc>
          <w:tcPr>
            <w:tcW w:w="1748" w:type="dxa"/>
            <w:shd w:val="clear" w:color="auto" w:fill="auto"/>
            <w:noWrap/>
            <w:vAlign w:val="bottom"/>
          </w:tcPr>
          <w:p w14:paraId="15BC3D79" w14:textId="77777777" w:rsidR="00DA034B" w:rsidRPr="00894657" w:rsidRDefault="00DA034B" w:rsidP="00B40FA0">
            <w:pPr>
              <w:suppressAutoHyphens w:val="0"/>
              <w:spacing w:before="40" w:after="40" w:line="220" w:lineRule="exact"/>
              <w:jc w:val="right"/>
              <w:rPr>
                <w:sz w:val="18"/>
              </w:rPr>
            </w:pPr>
            <w:r w:rsidRPr="00894657">
              <w:rPr>
                <w:sz w:val="18"/>
              </w:rPr>
              <w:t>1,184</w:t>
            </w:r>
          </w:p>
        </w:tc>
        <w:tc>
          <w:tcPr>
            <w:tcW w:w="1748" w:type="dxa"/>
            <w:shd w:val="clear" w:color="auto" w:fill="auto"/>
            <w:vAlign w:val="bottom"/>
          </w:tcPr>
          <w:p w14:paraId="718EF7B0" w14:textId="77777777" w:rsidR="00DA034B" w:rsidRPr="00894657" w:rsidRDefault="00DA034B" w:rsidP="00B40FA0">
            <w:pPr>
              <w:suppressAutoHyphens w:val="0"/>
              <w:spacing w:before="40" w:after="40" w:line="220" w:lineRule="exact"/>
              <w:jc w:val="right"/>
              <w:rPr>
                <w:sz w:val="18"/>
              </w:rPr>
            </w:pPr>
          </w:p>
        </w:tc>
      </w:tr>
      <w:tr w:rsidR="00DA034B" w:rsidRPr="00894657" w14:paraId="4FE3832F" w14:textId="77777777" w:rsidTr="0022679B">
        <w:tc>
          <w:tcPr>
            <w:tcW w:w="2127" w:type="dxa"/>
            <w:shd w:val="clear" w:color="auto" w:fill="auto"/>
            <w:noWrap/>
            <w:hideMark/>
          </w:tcPr>
          <w:p w14:paraId="4C020ADE" w14:textId="77777777" w:rsidR="00DA034B" w:rsidRPr="00894657" w:rsidRDefault="00DA034B" w:rsidP="00B40FA0">
            <w:pPr>
              <w:suppressAutoHyphens w:val="0"/>
              <w:spacing w:before="40" w:after="40" w:line="220" w:lineRule="exact"/>
              <w:rPr>
                <w:sz w:val="18"/>
              </w:rPr>
            </w:pPr>
            <w:r w:rsidRPr="00894657">
              <w:rPr>
                <w:sz w:val="18"/>
              </w:rPr>
              <w:t>Hongrie</w:t>
            </w:r>
          </w:p>
        </w:tc>
        <w:tc>
          <w:tcPr>
            <w:tcW w:w="1747" w:type="dxa"/>
            <w:shd w:val="clear" w:color="auto" w:fill="auto"/>
            <w:noWrap/>
            <w:vAlign w:val="bottom"/>
            <w:hideMark/>
          </w:tcPr>
          <w:p w14:paraId="0567B986" w14:textId="77777777" w:rsidR="00DA034B" w:rsidRPr="00894657" w:rsidRDefault="00DA034B" w:rsidP="00B40FA0">
            <w:pPr>
              <w:suppressAutoHyphens w:val="0"/>
              <w:spacing w:before="40" w:after="40" w:line="220" w:lineRule="exact"/>
              <w:jc w:val="right"/>
              <w:rPr>
                <w:sz w:val="18"/>
              </w:rPr>
            </w:pPr>
            <w:r w:rsidRPr="00894657">
              <w:rPr>
                <w:sz w:val="18"/>
              </w:rPr>
              <w:t>0,206</w:t>
            </w:r>
          </w:p>
        </w:tc>
        <w:tc>
          <w:tcPr>
            <w:tcW w:w="1748" w:type="dxa"/>
            <w:shd w:val="clear" w:color="auto" w:fill="auto"/>
            <w:noWrap/>
            <w:vAlign w:val="bottom"/>
          </w:tcPr>
          <w:p w14:paraId="7744F91B" w14:textId="77777777" w:rsidR="00DA034B" w:rsidRPr="00894657" w:rsidRDefault="00DA034B" w:rsidP="00B40FA0">
            <w:pPr>
              <w:suppressAutoHyphens w:val="0"/>
              <w:spacing w:before="40" w:after="40" w:line="220" w:lineRule="exact"/>
              <w:jc w:val="right"/>
              <w:rPr>
                <w:sz w:val="18"/>
              </w:rPr>
            </w:pPr>
            <w:r w:rsidRPr="00894657">
              <w:rPr>
                <w:sz w:val="18"/>
              </w:rPr>
              <w:t>0,667</w:t>
            </w:r>
          </w:p>
        </w:tc>
        <w:tc>
          <w:tcPr>
            <w:tcW w:w="1748" w:type="dxa"/>
            <w:shd w:val="clear" w:color="auto" w:fill="auto"/>
            <w:vAlign w:val="bottom"/>
          </w:tcPr>
          <w:p w14:paraId="2C158030" w14:textId="77777777" w:rsidR="00DA034B" w:rsidRPr="00894657" w:rsidRDefault="00DA034B" w:rsidP="00B40FA0">
            <w:pPr>
              <w:suppressAutoHyphens w:val="0"/>
              <w:spacing w:before="40" w:after="40" w:line="220" w:lineRule="exact"/>
              <w:jc w:val="right"/>
              <w:rPr>
                <w:sz w:val="18"/>
              </w:rPr>
            </w:pPr>
          </w:p>
        </w:tc>
      </w:tr>
      <w:tr w:rsidR="00DA034B" w:rsidRPr="00894657" w14:paraId="1369CFD8" w14:textId="77777777" w:rsidTr="0022679B">
        <w:tc>
          <w:tcPr>
            <w:tcW w:w="2127" w:type="dxa"/>
            <w:shd w:val="clear" w:color="auto" w:fill="auto"/>
            <w:noWrap/>
            <w:hideMark/>
          </w:tcPr>
          <w:p w14:paraId="662C826E" w14:textId="77777777" w:rsidR="00DA034B" w:rsidRPr="00894657" w:rsidRDefault="00DA034B" w:rsidP="00B40FA0">
            <w:pPr>
              <w:suppressAutoHyphens w:val="0"/>
              <w:spacing w:before="40" w:after="40" w:line="220" w:lineRule="exact"/>
              <w:rPr>
                <w:sz w:val="18"/>
              </w:rPr>
            </w:pPr>
            <w:r w:rsidRPr="00894657">
              <w:rPr>
                <w:sz w:val="18"/>
              </w:rPr>
              <w:t>Irlande</w:t>
            </w:r>
          </w:p>
        </w:tc>
        <w:tc>
          <w:tcPr>
            <w:tcW w:w="1747" w:type="dxa"/>
            <w:shd w:val="clear" w:color="auto" w:fill="auto"/>
            <w:noWrap/>
            <w:vAlign w:val="bottom"/>
            <w:hideMark/>
          </w:tcPr>
          <w:p w14:paraId="5494A66D" w14:textId="77777777" w:rsidR="00DA034B" w:rsidRPr="00894657" w:rsidRDefault="00DA034B" w:rsidP="00B40FA0">
            <w:pPr>
              <w:suppressAutoHyphens w:val="0"/>
              <w:spacing w:before="40" w:after="40" w:line="220" w:lineRule="exact"/>
              <w:jc w:val="right"/>
              <w:rPr>
                <w:sz w:val="18"/>
              </w:rPr>
            </w:pPr>
            <w:r w:rsidRPr="00894657">
              <w:rPr>
                <w:sz w:val="18"/>
              </w:rPr>
              <w:t>0,371</w:t>
            </w:r>
          </w:p>
        </w:tc>
        <w:tc>
          <w:tcPr>
            <w:tcW w:w="1748" w:type="dxa"/>
            <w:shd w:val="clear" w:color="auto" w:fill="auto"/>
            <w:noWrap/>
            <w:vAlign w:val="bottom"/>
          </w:tcPr>
          <w:p w14:paraId="65C19616" w14:textId="77777777" w:rsidR="00DA034B" w:rsidRPr="00894657" w:rsidRDefault="00DA034B" w:rsidP="00B40FA0">
            <w:pPr>
              <w:suppressAutoHyphens w:val="0"/>
              <w:spacing w:before="40" w:after="40" w:line="220" w:lineRule="exact"/>
              <w:jc w:val="right"/>
              <w:rPr>
                <w:sz w:val="18"/>
              </w:rPr>
            </w:pPr>
            <w:r w:rsidRPr="00894657">
              <w:rPr>
                <w:sz w:val="18"/>
              </w:rPr>
              <w:t>1,201</w:t>
            </w:r>
          </w:p>
        </w:tc>
        <w:tc>
          <w:tcPr>
            <w:tcW w:w="1748" w:type="dxa"/>
            <w:shd w:val="clear" w:color="auto" w:fill="auto"/>
            <w:vAlign w:val="bottom"/>
          </w:tcPr>
          <w:p w14:paraId="4EA7B8D0" w14:textId="77777777" w:rsidR="00DA034B" w:rsidRPr="00894657" w:rsidRDefault="00DA034B" w:rsidP="00B40FA0">
            <w:pPr>
              <w:suppressAutoHyphens w:val="0"/>
              <w:spacing w:before="40" w:after="40" w:line="220" w:lineRule="exact"/>
              <w:jc w:val="right"/>
              <w:rPr>
                <w:sz w:val="18"/>
              </w:rPr>
            </w:pPr>
          </w:p>
        </w:tc>
      </w:tr>
      <w:tr w:rsidR="00DA034B" w:rsidRPr="00894657" w14:paraId="07AD232B" w14:textId="77777777" w:rsidTr="0022679B">
        <w:tc>
          <w:tcPr>
            <w:tcW w:w="2127" w:type="dxa"/>
            <w:shd w:val="clear" w:color="auto" w:fill="auto"/>
            <w:noWrap/>
          </w:tcPr>
          <w:p w14:paraId="5D57417F" w14:textId="77777777" w:rsidR="00DA034B" w:rsidRPr="00894657" w:rsidRDefault="00DA034B" w:rsidP="00B40FA0">
            <w:pPr>
              <w:suppressAutoHyphens w:val="0"/>
              <w:spacing w:before="40" w:after="40" w:line="220" w:lineRule="exact"/>
              <w:rPr>
                <w:sz w:val="18"/>
              </w:rPr>
            </w:pPr>
            <w:r w:rsidRPr="00894657">
              <w:rPr>
                <w:sz w:val="18"/>
              </w:rPr>
              <w:t>Islande</w:t>
            </w:r>
          </w:p>
        </w:tc>
        <w:tc>
          <w:tcPr>
            <w:tcW w:w="1747" w:type="dxa"/>
            <w:shd w:val="clear" w:color="auto" w:fill="auto"/>
            <w:noWrap/>
            <w:vAlign w:val="bottom"/>
          </w:tcPr>
          <w:p w14:paraId="77788F88" w14:textId="77777777" w:rsidR="00DA034B" w:rsidRPr="00894657" w:rsidRDefault="00DA034B" w:rsidP="00B40FA0">
            <w:pPr>
              <w:suppressAutoHyphens w:val="0"/>
              <w:spacing w:before="40" w:after="40" w:line="220" w:lineRule="exact"/>
              <w:jc w:val="right"/>
              <w:rPr>
                <w:sz w:val="18"/>
              </w:rPr>
            </w:pPr>
            <w:r w:rsidRPr="00894657">
              <w:rPr>
                <w:sz w:val="18"/>
              </w:rPr>
              <w:t>0,028</w:t>
            </w:r>
          </w:p>
        </w:tc>
        <w:tc>
          <w:tcPr>
            <w:tcW w:w="1748" w:type="dxa"/>
            <w:shd w:val="clear" w:color="auto" w:fill="auto"/>
            <w:noWrap/>
            <w:vAlign w:val="bottom"/>
          </w:tcPr>
          <w:p w14:paraId="672751E9" w14:textId="77777777" w:rsidR="00DA034B" w:rsidRPr="00894657" w:rsidRDefault="00DA034B" w:rsidP="00B40FA0">
            <w:pPr>
              <w:suppressAutoHyphens w:val="0"/>
              <w:spacing w:before="40" w:after="40" w:line="220" w:lineRule="exact"/>
              <w:jc w:val="right"/>
              <w:rPr>
                <w:sz w:val="18"/>
              </w:rPr>
            </w:pPr>
            <w:r w:rsidRPr="00894657">
              <w:rPr>
                <w:sz w:val="18"/>
              </w:rPr>
              <w:t>0,091</w:t>
            </w:r>
          </w:p>
        </w:tc>
        <w:tc>
          <w:tcPr>
            <w:tcW w:w="1748" w:type="dxa"/>
            <w:shd w:val="clear" w:color="auto" w:fill="auto"/>
            <w:vAlign w:val="bottom"/>
          </w:tcPr>
          <w:p w14:paraId="6A7E3B12" w14:textId="77777777" w:rsidR="00DA034B" w:rsidRPr="00894657" w:rsidRDefault="00DA034B" w:rsidP="00B40FA0">
            <w:pPr>
              <w:suppressAutoHyphens w:val="0"/>
              <w:spacing w:before="40" w:after="40" w:line="220" w:lineRule="exact"/>
              <w:jc w:val="right"/>
              <w:rPr>
                <w:sz w:val="18"/>
              </w:rPr>
            </w:pPr>
          </w:p>
        </w:tc>
      </w:tr>
      <w:tr w:rsidR="00DA034B" w:rsidRPr="00894657" w14:paraId="2A26B121" w14:textId="77777777" w:rsidTr="0022679B">
        <w:tc>
          <w:tcPr>
            <w:tcW w:w="2127" w:type="dxa"/>
            <w:shd w:val="clear" w:color="auto" w:fill="auto"/>
            <w:noWrap/>
          </w:tcPr>
          <w:p w14:paraId="182AE53E" w14:textId="77777777" w:rsidR="00DA034B" w:rsidRPr="00894657" w:rsidRDefault="00DA034B" w:rsidP="00B40FA0">
            <w:pPr>
              <w:suppressAutoHyphens w:val="0"/>
              <w:spacing w:before="40" w:after="40" w:line="220" w:lineRule="exact"/>
              <w:rPr>
                <w:sz w:val="18"/>
              </w:rPr>
            </w:pPr>
            <w:r w:rsidRPr="00894657">
              <w:rPr>
                <w:sz w:val="18"/>
              </w:rPr>
              <w:t>Italie</w:t>
            </w:r>
          </w:p>
        </w:tc>
        <w:tc>
          <w:tcPr>
            <w:tcW w:w="1747" w:type="dxa"/>
            <w:shd w:val="clear" w:color="auto" w:fill="auto"/>
            <w:noWrap/>
            <w:vAlign w:val="bottom"/>
          </w:tcPr>
          <w:p w14:paraId="40A92CFA" w14:textId="77777777" w:rsidR="00DA034B" w:rsidRPr="00894657" w:rsidRDefault="00DA034B" w:rsidP="00B40FA0">
            <w:pPr>
              <w:suppressAutoHyphens w:val="0"/>
              <w:spacing w:before="40" w:after="40" w:line="220" w:lineRule="exact"/>
              <w:jc w:val="right"/>
              <w:rPr>
                <w:sz w:val="18"/>
              </w:rPr>
            </w:pPr>
            <w:r w:rsidRPr="00894657">
              <w:rPr>
                <w:sz w:val="18"/>
              </w:rPr>
              <w:t>3,307</w:t>
            </w:r>
          </w:p>
        </w:tc>
        <w:tc>
          <w:tcPr>
            <w:tcW w:w="1748" w:type="dxa"/>
            <w:shd w:val="clear" w:color="auto" w:fill="auto"/>
            <w:noWrap/>
            <w:vAlign w:val="bottom"/>
          </w:tcPr>
          <w:p w14:paraId="352F482A" w14:textId="77777777" w:rsidR="00DA034B" w:rsidRPr="00894657" w:rsidRDefault="00DA034B" w:rsidP="00B40FA0">
            <w:pPr>
              <w:suppressAutoHyphens w:val="0"/>
              <w:spacing w:before="40" w:after="40" w:line="220" w:lineRule="exact"/>
              <w:jc w:val="right"/>
              <w:rPr>
                <w:sz w:val="18"/>
              </w:rPr>
            </w:pPr>
            <w:r w:rsidRPr="00894657">
              <w:rPr>
                <w:sz w:val="18"/>
              </w:rPr>
              <w:t>10,701</w:t>
            </w:r>
          </w:p>
        </w:tc>
        <w:tc>
          <w:tcPr>
            <w:tcW w:w="1748" w:type="dxa"/>
            <w:shd w:val="clear" w:color="auto" w:fill="auto"/>
            <w:vAlign w:val="bottom"/>
          </w:tcPr>
          <w:p w14:paraId="71F048D3" w14:textId="77777777" w:rsidR="00DA034B" w:rsidRPr="00894657" w:rsidRDefault="00DA034B" w:rsidP="00B40FA0">
            <w:pPr>
              <w:suppressAutoHyphens w:val="0"/>
              <w:spacing w:before="40" w:after="40" w:line="220" w:lineRule="exact"/>
              <w:jc w:val="right"/>
              <w:rPr>
                <w:sz w:val="18"/>
              </w:rPr>
            </w:pPr>
          </w:p>
        </w:tc>
      </w:tr>
      <w:tr w:rsidR="00DA034B" w:rsidRPr="00894657" w14:paraId="23EDEE41" w14:textId="77777777" w:rsidTr="0022679B">
        <w:tc>
          <w:tcPr>
            <w:tcW w:w="2127" w:type="dxa"/>
            <w:shd w:val="clear" w:color="auto" w:fill="auto"/>
            <w:noWrap/>
          </w:tcPr>
          <w:p w14:paraId="2965F6D0" w14:textId="77777777" w:rsidR="00DA034B" w:rsidRPr="00894657" w:rsidRDefault="00DA034B" w:rsidP="00B40FA0">
            <w:pPr>
              <w:suppressAutoHyphens w:val="0"/>
              <w:spacing w:before="40" w:after="40" w:line="220" w:lineRule="exact"/>
              <w:rPr>
                <w:sz w:val="18"/>
              </w:rPr>
            </w:pPr>
            <w:r w:rsidRPr="00894657">
              <w:rPr>
                <w:sz w:val="18"/>
              </w:rPr>
              <w:t>Kazakhstan</w:t>
            </w:r>
          </w:p>
        </w:tc>
        <w:tc>
          <w:tcPr>
            <w:tcW w:w="1747" w:type="dxa"/>
            <w:shd w:val="clear" w:color="auto" w:fill="auto"/>
            <w:noWrap/>
            <w:vAlign w:val="bottom"/>
          </w:tcPr>
          <w:p w14:paraId="47BA4967" w14:textId="77777777" w:rsidR="00DA034B" w:rsidRPr="00894657" w:rsidRDefault="00DA034B" w:rsidP="00B40FA0">
            <w:pPr>
              <w:suppressAutoHyphens w:val="0"/>
              <w:spacing w:before="40" w:after="40" w:line="220" w:lineRule="exact"/>
              <w:jc w:val="right"/>
              <w:rPr>
                <w:sz w:val="18"/>
              </w:rPr>
            </w:pPr>
            <w:r w:rsidRPr="00894657">
              <w:rPr>
                <w:sz w:val="18"/>
              </w:rPr>
              <w:t>0,178</w:t>
            </w:r>
          </w:p>
        </w:tc>
        <w:tc>
          <w:tcPr>
            <w:tcW w:w="1748" w:type="dxa"/>
            <w:shd w:val="clear" w:color="auto" w:fill="auto"/>
            <w:noWrap/>
            <w:vAlign w:val="bottom"/>
          </w:tcPr>
          <w:p w14:paraId="509EC4F7" w14:textId="77777777" w:rsidR="00DA034B" w:rsidRPr="00894657" w:rsidRDefault="00DA034B" w:rsidP="00B40FA0">
            <w:pPr>
              <w:suppressAutoHyphens w:val="0"/>
              <w:spacing w:before="40" w:after="40" w:line="220" w:lineRule="exact"/>
              <w:jc w:val="right"/>
              <w:rPr>
                <w:sz w:val="18"/>
              </w:rPr>
            </w:pPr>
            <w:r w:rsidRPr="00894657">
              <w:rPr>
                <w:sz w:val="18"/>
              </w:rPr>
              <w:t>0,576</w:t>
            </w:r>
          </w:p>
        </w:tc>
        <w:tc>
          <w:tcPr>
            <w:tcW w:w="1748" w:type="dxa"/>
            <w:shd w:val="clear" w:color="auto" w:fill="auto"/>
            <w:vAlign w:val="bottom"/>
          </w:tcPr>
          <w:p w14:paraId="75F71BAF" w14:textId="77777777" w:rsidR="00DA034B" w:rsidRPr="00894657" w:rsidRDefault="00DA034B" w:rsidP="00B40FA0">
            <w:pPr>
              <w:suppressAutoHyphens w:val="0"/>
              <w:spacing w:before="40" w:after="40" w:line="220" w:lineRule="exact"/>
              <w:jc w:val="right"/>
              <w:rPr>
                <w:sz w:val="18"/>
              </w:rPr>
            </w:pPr>
          </w:p>
        </w:tc>
      </w:tr>
      <w:tr w:rsidR="00DA034B" w:rsidRPr="00894657" w14:paraId="56A68BDF" w14:textId="77777777" w:rsidTr="0022679B">
        <w:tc>
          <w:tcPr>
            <w:tcW w:w="2127" w:type="dxa"/>
            <w:shd w:val="clear" w:color="auto" w:fill="auto"/>
            <w:noWrap/>
          </w:tcPr>
          <w:p w14:paraId="79D9F9D1" w14:textId="77777777" w:rsidR="00DA034B" w:rsidRPr="00894657" w:rsidRDefault="00DA034B" w:rsidP="00B40FA0">
            <w:pPr>
              <w:suppressAutoHyphens w:val="0"/>
              <w:spacing w:before="40" w:after="40" w:line="220" w:lineRule="exact"/>
              <w:rPr>
                <w:sz w:val="18"/>
              </w:rPr>
            </w:pPr>
            <w:r w:rsidRPr="00894657">
              <w:rPr>
                <w:sz w:val="18"/>
              </w:rPr>
              <w:t>Kirghizistan</w:t>
            </w:r>
          </w:p>
        </w:tc>
        <w:tc>
          <w:tcPr>
            <w:tcW w:w="1747" w:type="dxa"/>
            <w:shd w:val="clear" w:color="auto" w:fill="auto"/>
            <w:noWrap/>
            <w:vAlign w:val="bottom"/>
          </w:tcPr>
          <w:p w14:paraId="3A51CEB2" w14:textId="77777777" w:rsidR="00DA034B" w:rsidRPr="00894657" w:rsidRDefault="00DA034B" w:rsidP="00B40FA0">
            <w:pPr>
              <w:suppressAutoHyphens w:val="0"/>
              <w:spacing w:before="40" w:after="40" w:line="220" w:lineRule="exact"/>
              <w:jc w:val="right"/>
              <w:rPr>
                <w:sz w:val="18"/>
              </w:rPr>
            </w:pPr>
            <w:r w:rsidRPr="00894657">
              <w:rPr>
                <w:sz w:val="18"/>
              </w:rPr>
              <w:t>0,002</w:t>
            </w:r>
          </w:p>
        </w:tc>
        <w:tc>
          <w:tcPr>
            <w:tcW w:w="1748" w:type="dxa"/>
            <w:shd w:val="clear" w:color="auto" w:fill="auto"/>
            <w:noWrap/>
            <w:vAlign w:val="bottom"/>
          </w:tcPr>
          <w:p w14:paraId="6F736198" w14:textId="77777777" w:rsidR="00DA034B" w:rsidRPr="00894657" w:rsidRDefault="00DA034B" w:rsidP="00B40FA0">
            <w:pPr>
              <w:suppressAutoHyphens w:val="0"/>
              <w:spacing w:before="40" w:after="40" w:line="220" w:lineRule="exact"/>
              <w:jc w:val="right"/>
              <w:rPr>
                <w:sz w:val="18"/>
              </w:rPr>
            </w:pPr>
            <w:r w:rsidRPr="00894657">
              <w:rPr>
                <w:sz w:val="18"/>
              </w:rPr>
              <w:t>0,006</w:t>
            </w:r>
          </w:p>
        </w:tc>
        <w:tc>
          <w:tcPr>
            <w:tcW w:w="1748" w:type="dxa"/>
            <w:shd w:val="clear" w:color="auto" w:fill="auto"/>
            <w:vAlign w:val="bottom"/>
          </w:tcPr>
          <w:p w14:paraId="387409BE" w14:textId="77777777" w:rsidR="00DA034B" w:rsidRPr="00894657" w:rsidRDefault="00DA034B" w:rsidP="00B40FA0">
            <w:pPr>
              <w:suppressAutoHyphens w:val="0"/>
              <w:spacing w:before="40" w:after="40" w:line="220" w:lineRule="exact"/>
              <w:jc w:val="right"/>
              <w:rPr>
                <w:sz w:val="18"/>
              </w:rPr>
            </w:pPr>
          </w:p>
        </w:tc>
      </w:tr>
      <w:tr w:rsidR="00DA034B" w:rsidRPr="00894657" w14:paraId="02690793" w14:textId="77777777" w:rsidTr="0022679B">
        <w:tc>
          <w:tcPr>
            <w:tcW w:w="2127" w:type="dxa"/>
            <w:shd w:val="clear" w:color="auto" w:fill="auto"/>
            <w:noWrap/>
            <w:hideMark/>
          </w:tcPr>
          <w:p w14:paraId="4E50DFA6" w14:textId="77777777" w:rsidR="00DA034B" w:rsidRPr="00894657" w:rsidRDefault="00DA034B" w:rsidP="00B40FA0">
            <w:pPr>
              <w:suppressAutoHyphens w:val="0"/>
              <w:spacing w:before="40" w:after="40" w:line="220" w:lineRule="exact"/>
              <w:rPr>
                <w:sz w:val="18"/>
              </w:rPr>
            </w:pPr>
            <w:r w:rsidRPr="00894657">
              <w:rPr>
                <w:sz w:val="18"/>
              </w:rPr>
              <w:t>Lettonie</w:t>
            </w:r>
          </w:p>
        </w:tc>
        <w:tc>
          <w:tcPr>
            <w:tcW w:w="1747" w:type="dxa"/>
            <w:shd w:val="clear" w:color="auto" w:fill="auto"/>
            <w:noWrap/>
            <w:vAlign w:val="bottom"/>
          </w:tcPr>
          <w:p w14:paraId="0FA0C3E4" w14:textId="77777777" w:rsidR="00DA034B" w:rsidRPr="00894657" w:rsidRDefault="00DA034B" w:rsidP="00B40FA0">
            <w:pPr>
              <w:suppressAutoHyphens w:val="0"/>
              <w:spacing w:before="40" w:after="40" w:line="220" w:lineRule="exact"/>
              <w:jc w:val="right"/>
              <w:rPr>
                <w:sz w:val="18"/>
              </w:rPr>
            </w:pPr>
            <w:r w:rsidRPr="00894657">
              <w:rPr>
                <w:sz w:val="18"/>
              </w:rPr>
              <w:t>0,047</w:t>
            </w:r>
          </w:p>
        </w:tc>
        <w:tc>
          <w:tcPr>
            <w:tcW w:w="1748" w:type="dxa"/>
            <w:shd w:val="clear" w:color="auto" w:fill="auto"/>
            <w:noWrap/>
            <w:vAlign w:val="bottom"/>
          </w:tcPr>
          <w:p w14:paraId="2587BA7A" w14:textId="77777777" w:rsidR="00DA034B" w:rsidRPr="00894657" w:rsidRDefault="00DA034B" w:rsidP="00B40FA0">
            <w:pPr>
              <w:suppressAutoHyphens w:val="0"/>
              <w:spacing w:before="40" w:after="40" w:line="220" w:lineRule="exact"/>
              <w:jc w:val="right"/>
              <w:rPr>
                <w:sz w:val="18"/>
              </w:rPr>
            </w:pPr>
            <w:r w:rsidRPr="00894657">
              <w:rPr>
                <w:sz w:val="18"/>
              </w:rPr>
              <w:t>0,152</w:t>
            </w:r>
          </w:p>
        </w:tc>
        <w:tc>
          <w:tcPr>
            <w:tcW w:w="1748" w:type="dxa"/>
            <w:shd w:val="clear" w:color="auto" w:fill="auto"/>
            <w:vAlign w:val="bottom"/>
          </w:tcPr>
          <w:p w14:paraId="63099A15" w14:textId="77777777" w:rsidR="00DA034B" w:rsidRPr="00894657" w:rsidRDefault="00DA034B" w:rsidP="00B40FA0">
            <w:pPr>
              <w:suppressAutoHyphens w:val="0"/>
              <w:spacing w:before="40" w:after="40" w:line="220" w:lineRule="exact"/>
              <w:jc w:val="right"/>
              <w:rPr>
                <w:sz w:val="18"/>
              </w:rPr>
            </w:pPr>
          </w:p>
        </w:tc>
      </w:tr>
      <w:tr w:rsidR="00DA034B" w:rsidRPr="00894657" w14:paraId="6DAFB6EE" w14:textId="77777777" w:rsidTr="0022679B">
        <w:tc>
          <w:tcPr>
            <w:tcW w:w="2127" w:type="dxa"/>
            <w:shd w:val="clear" w:color="auto" w:fill="auto"/>
            <w:noWrap/>
          </w:tcPr>
          <w:p w14:paraId="1254541E" w14:textId="77777777" w:rsidR="00DA034B" w:rsidRPr="00894657" w:rsidRDefault="00DA034B" w:rsidP="00B40FA0">
            <w:pPr>
              <w:suppressAutoHyphens w:val="0"/>
              <w:spacing w:before="40" w:after="40" w:line="220" w:lineRule="exact"/>
              <w:rPr>
                <w:sz w:val="18"/>
              </w:rPr>
            </w:pPr>
            <w:r w:rsidRPr="00894657">
              <w:rPr>
                <w:sz w:val="18"/>
              </w:rPr>
              <w:t>Liechtenstein</w:t>
            </w:r>
          </w:p>
        </w:tc>
        <w:tc>
          <w:tcPr>
            <w:tcW w:w="1747" w:type="dxa"/>
            <w:shd w:val="clear" w:color="auto" w:fill="auto"/>
            <w:noWrap/>
            <w:vAlign w:val="bottom"/>
          </w:tcPr>
          <w:p w14:paraId="482BC1D7" w14:textId="77777777" w:rsidR="00DA034B" w:rsidRPr="00894657" w:rsidRDefault="00DA034B" w:rsidP="00B40FA0">
            <w:pPr>
              <w:suppressAutoHyphens w:val="0"/>
              <w:spacing w:before="40" w:after="40" w:line="220" w:lineRule="exact"/>
              <w:jc w:val="right"/>
              <w:rPr>
                <w:sz w:val="18"/>
              </w:rPr>
            </w:pPr>
            <w:r w:rsidRPr="00894657">
              <w:rPr>
                <w:sz w:val="18"/>
              </w:rPr>
              <w:t>0,009</w:t>
            </w:r>
          </w:p>
        </w:tc>
        <w:tc>
          <w:tcPr>
            <w:tcW w:w="1748" w:type="dxa"/>
            <w:shd w:val="clear" w:color="auto" w:fill="auto"/>
            <w:noWrap/>
            <w:vAlign w:val="bottom"/>
          </w:tcPr>
          <w:p w14:paraId="51B835C3" w14:textId="77777777" w:rsidR="00DA034B" w:rsidRPr="00894657" w:rsidRDefault="00DA034B" w:rsidP="00B40FA0">
            <w:pPr>
              <w:suppressAutoHyphens w:val="0"/>
              <w:spacing w:before="40" w:after="40" w:line="220" w:lineRule="exact"/>
              <w:jc w:val="right"/>
              <w:rPr>
                <w:sz w:val="18"/>
              </w:rPr>
            </w:pPr>
            <w:r w:rsidRPr="00894657">
              <w:rPr>
                <w:sz w:val="18"/>
              </w:rPr>
              <w:t>0,029</w:t>
            </w:r>
          </w:p>
        </w:tc>
        <w:tc>
          <w:tcPr>
            <w:tcW w:w="1748" w:type="dxa"/>
            <w:shd w:val="clear" w:color="auto" w:fill="auto"/>
            <w:vAlign w:val="bottom"/>
          </w:tcPr>
          <w:p w14:paraId="22F35FD2" w14:textId="77777777" w:rsidR="00DA034B" w:rsidRPr="00894657" w:rsidRDefault="00DA034B" w:rsidP="00B40FA0">
            <w:pPr>
              <w:suppressAutoHyphens w:val="0"/>
              <w:spacing w:before="40" w:after="40" w:line="220" w:lineRule="exact"/>
              <w:jc w:val="right"/>
              <w:rPr>
                <w:sz w:val="18"/>
              </w:rPr>
            </w:pPr>
          </w:p>
        </w:tc>
      </w:tr>
      <w:tr w:rsidR="00DA034B" w:rsidRPr="00894657" w14:paraId="51677D76" w14:textId="77777777" w:rsidTr="0022679B">
        <w:tc>
          <w:tcPr>
            <w:tcW w:w="2127" w:type="dxa"/>
            <w:shd w:val="clear" w:color="auto" w:fill="auto"/>
            <w:noWrap/>
            <w:hideMark/>
          </w:tcPr>
          <w:p w14:paraId="0909B8C8" w14:textId="77777777" w:rsidR="00DA034B" w:rsidRPr="00894657" w:rsidRDefault="00DA034B" w:rsidP="00B40FA0">
            <w:pPr>
              <w:suppressAutoHyphens w:val="0"/>
              <w:spacing w:before="40" w:after="40" w:line="220" w:lineRule="exact"/>
              <w:rPr>
                <w:sz w:val="18"/>
              </w:rPr>
            </w:pPr>
            <w:r w:rsidRPr="00894657">
              <w:rPr>
                <w:sz w:val="18"/>
              </w:rPr>
              <w:t>Lituanie</w:t>
            </w:r>
          </w:p>
        </w:tc>
        <w:tc>
          <w:tcPr>
            <w:tcW w:w="1747" w:type="dxa"/>
            <w:shd w:val="clear" w:color="auto" w:fill="auto"/>
            <w:noWrap/>
            <w:vAlign w:val="bottom"/>
          </w:tcPr>
          <w:p w14:paraId="55028EEC" w14:textId="77777777" w:rsidR="00DA034B" w:rsidRPr="00894657" w:rsidRDefault="00DA034B" w:rsidP="00B40FA0">
            <w:pPr>
              <w:suppressAutoHyphens w:val="0"/>
              <w:spacing w:before="40" w:after="40" w:line="220" w:lineRule="exact"/>
              <w:jc w:val="right"/>
              <w:rPr>
                <w:sz w:val="18"/>
              </w:rPr>
            </w:pPr>
            <w:r w:rsidRPr="00894657">
              <w:rPr>
                <w:sz w:val="18"/>
              </w:rPr>
              <w:t>0,071</w:t>
            </w:r>
          </w:p>
        </w:tc>
        <w:tc>
          <w:tcPr>
            <w:tcW w:w="1748" w:type="dxa"/>
            <w:shd w:val="clear" w:color="auto" w:fill="auto"/>
            <w:noWrap/>
            <w:vAlign w:val="bottom"/>
          </w:tcPr>
          <w:p w14:paraId="5E31CB66" w14:textId="77777777" w:rsidR="00DA034B" w:rsidRPr="00894657" w:rsidRDefault="00DA034B" w:rsidP="00B40FA0">
            <w:pPr>
              <w:suppressAutoHyphens w:val="0"/>
              <w:spacing w:before="40" w:after="40" w:line="220" w:lineRule="exact"/>
              <w:jc w:val="right"/>
              <w:rPr>
                <w:sz w:val="18"/>
              </w:rPr>
            </w:pPr>
            <w:r w:rsidRPr="00894657">
              <w:rPr>
                <w:sz w:val="18"/>
              </w:rPr>
              <w:t>0,230</w:t>
            </w:r>
          </w:p>
        </w:tc>
        <w:tc>
          <w:tcPr>
            <w:tcW w:w="1748" w:type="dxa"/>
            <w:shd w:val="clear" w:color="auto" w:fill="auto"/>
            <w:vAlign w:val="bottom"/>
          </w:tcPr>
          <w:p w14:paraId="3754F5D3" w14:textId="77777777" w:rsidR="00DA034B" w:rsidRPr="00894657" w:rsidRDefault="00DA034B" w:rsidP="00B40FA0">
            <w:pPr>
              <w:suppressAutoHyphens w:val="0"/>
              <w:spacing w:before="40" w:after="40" w:line="220" w:lineRule="exact"/>
              <w:jc w:val="right"/>
              <w:rPr>
                <w:sz w:val="18"/>
              </w:rPr>
            </w:pPr>
          </w:p>
        </w:tc>
      </w:tr>
      <w:tr w:rsidR="00DA034B" w:rsidRPr="00894657" w14:paraId="462FD0B2" w14:textId="77777777" w:rsidTr="0022679B">
        <w:tc>
          <w:tcPr>
            <w:tcW w:w="2127" w:type="dxa"/>
            <w:shd w:val="clear" w:color="auto" w:fill="auto"/>
            <w:noWrap/>
            <w:hideMark/>
          </w:tcPr>
          <w:p w14:paraId="0A450198" w14:textId="77777777" w:rsidR="00DA034B" w:rsidRPr="00894657" w:rsidRDefault="00DA034B" w:rsidP="00B40FA0">
            <w:pPr>
              <w:suppressAutoHyphens w:val="0"/>
              <w:spacing w:before="40" w:after="40" w:line="220" w:lineRule="exact"/>
              <w:rPr>
                <w:sz w:val="18"/>
              </w:rPr>
            </w:pPr>
            <w:r w:rsidRPr="00894657">
              <w:rPr>
                <w:sz w:val="18"/>
              </w:rPr>
              <w:t>Luxembourg</w:t>
            </w:r>
          </w:p>
        </w:tc>
        <w:tc>
          <w:tcPr>
            <w:tcW w:w="1747" w:type="dxa"/>
            <w:shd w:val="clear" w:color="auto" w:fill="auto"/>
            <w:noWrap/>
            <w:vAlign w:val="bottom"/>
          </w:tcPr>
          <w:p w14:paraId="145AE303" w14:textId="77777777" w:rsidR="00DA034B" w:rsidRPr="00894657" w:rsidRDefault="00DA034B" w:rsidP="00B40FA0">
            <w:pPr>
              <w:suppressAutoHyphens w:val="0"/>
              <w:spacing w:before="40" w:after="40" w:line="220" w:lineRule="exact"/>
              <w:jc w:val="right"/>
              <w:rPr>
                <w:sz w:val="18"/>
              </w:rPr>
            </w:pPr>
            <w:r w:rsidRPr="00894657">
              <w:rPr>
                <w:sz w:val="18"/>
              </w:rPr>
              <w:t>0,067</w:t>
            </w:r>
          </w:p>
        </w:tc>
        <w:tc>
          <w:tcPr>
            <w:tcW w:w="1748" w:type="dxa"/>
            <w:shd w:val="clear" w:color="auto" w:fill="auto"/>
            <w:noWrap/>
            <w:vAlign w:val="bottom"/>
          </w:tcPr>
          <w:p w14:paraId="7DC3A5CE" w14:textId="77777777" w:rsidR="00DA034B" w:rsidRPr="00894657" w:rsidRDefault="00DA034B" w:rsidP="00B40FA0">
            <w:pPr>
              <w:suppressAutoHyphens w:val="0"/>
              <w:spacing w:before="40" w:after="40" w:line="220" w:lineRule="exact"/>
              <w:jc w:val="right"/>
              <w:rPr>
                <w:sz w:val="18"/>
              </w:rPr>
            </w:pPr>
            <w:r w:rsidRPr="00894657">
              <w:rPr>
                <w:sz w:val="18"/>
              </w:rPr>
              <w:t>0,217</w:t>
            </w:r>
          </w:p>
        </w:tc>
        <w:tc>
          <w:tcPr>
            <w:tcW w:w="1748" w:type="dxa"/>
            <w:shd w:val="clear" w:color="auto" w:fill="auto"/>
            <w:vAlign w:val="bottom"/>
          </w:tcPr>
          <w:p w14:paraId="55BCC71F" w14:textId="77777777" w:rsidR="00DA034B" w:rsidRPr="00894657" w:rsidRDefault="00DA034B" w:rsidP="00B40FA0">
            <w:pPr>
              <w:suppressAutoHyphens w:val="0"/>
              <w:spacing w:before="40" w:after="40" w:line="220" w:lineRule="exact"/>
              <w:jc w:val="right"/>
              <w:rPr>
                <w:sz w:val="18"/>
              </w:rPr>
            </w:pPr>
          </w:p>
        </w:tc>
      </w:tr>
      <w:tr w:rsidR="00DA034B" w:rsidRPr="00894657" w14:paraId="4AD826EB" w14:textId="77777777" w:rsidTr="0022679B">
        <w:tc>
          <w:tcPr>
            <w:tcW w:w="2127" w:type="dxa"/>
            <w:shd w:val="clear" w:color="auto" w:fill="auto"/>
            <w:noWrap/>
          </w:tcPr>
          <w:p w14:paraId="33660DBD" w14:textId="77777777" w:rsidR="00DA034B" w:rsidRPr="00894657" w:rsidRDefault="00DA034B" w:rsidP="00B40FA0">
            <w:pPr>
              <w:suppressAutoHyphens w:val="0"/>
              <w:spacing w:before="40" w:after="40" w:line="220" w:lineRule="exact"/>
              <w:rPr>
                <w:sz w:val="18"/>
              </w:rPr>
            </w:pPr>
            <w:r w:rsidRPr="00894657">
              <w:rPr>
                <w:sz w:val="18"/>
              </w:rPr>
              <w:t>Macédoine du Nord</w:t>
            </w:r>
          </w:p>
        </w:tc>
        <w:tc>
          <w:tcPr>
            <w:tcW w:w="1747" w:type="dxa"/>
            <w:shd w:val="clear" w:color="auto" w:fill="auto"/>
            <w:noWrap/>
            <w:vAlign w:val="bottom"/>
          </w:tcPr>
          <w:p w14:paraId="6D29D3AA" w14:textId="77777777" w:rsidR="00DA034B" w:rsidRPr="00894657" w:rsidRDefault="00DA034B" w:rsidP="00B40FA0">
            <w:pPr>
              <w:suppressAutoHyphens w:val="0"/>
              <w:spacing w:before="40" w:after="40" w:line="220" w:lineRule="exact"/>
              <w:jc w:val="right"/>
              <w:rPr>
                <w:sz w:val="18"/>
              </w:rPr>
            </w:pPr>
            <w:r w:rsidRPr="00894657">
              <w:rPr>
                <w:sz w:val="18"/>
              </w:rPr>
              <w:t>0,007</w:t>
            </w:r>
          </w:p>
        </w:tc>
        <w:tc>
          <w:tcPr>
            <w:tcW w:w="1748" w:type="dxa"/>
            <w:shd w:val="clear" w:color="auto" w:fill="auto"/>
            <w:noWrap/>
            <w:vAlign w:val="bottom"/>
          </w:tcPr>
          <w:p w14:paraId="78AA0FF3" w14:textId="77777777" w:rsidR="00DA034B" w:rsidRPr="00894657" w:rsidRDefault="00DA034B" w:rsidP="00B40FA0">
            <w:pPr>
              <w:suppressAutoHyphens w:val="0"/>
              <w:spacing w:before="40" w:after="40" w:line="220" w:lineRule="exact"/>
              <w:jc w:val="right"/>
              <w:rPr>
                <w:sz w:val="18"/>
              </w:rPr>
            </w:pPr>
            <w:r w:rsidRPr="00894657">
              <w:rPr>
                <w:sz w:val="18"/>
              </w:rPr>
              <w:t>0,023</w:t>
            </w:r>
          </w:p>
        </w:tc>
        <w:tc>
          <w:tcPr>
            <w:tcW w:w="1748" w:type="dxa"/>
            <w:shd w:val="clear" w:color="auto" w:fill="auto"/>
            <w:vAlign w:val="bottom"/>
          </w:tcPr>
          <w:p w14:paraId="2F32CC66" w14:textId="77777777" w:rsidR="00DA034B" w:rsidRPr="00894657" w:rsidRDefault="00DA034B" w:rsidP="00B40FA0">
            <w:pPr>
              <w:suppressAutoHyphens w:val="0"/>
              <w:spacing w:before="40" w:after="40" w:line="220" w:lineRule="exact"/>
              <w:jc w:val="right"/>
              <w:rPr>
                <w:sz w:val="18"/>
              </w:rPr>
            </w:pPr>
          </w:p>
        </w:tc>
      </w:tr>
      <w:tr w:rsidR="00DA034B" w:rsidRPr="00894657" w14:paraId="5A90B8F2" w14:textId="77777777" w:rsidTr="0022679B">
        <w:tc>
          <w:tcPr>
            <w:tcW w:w="2127" w:type="dxa"/>
            <w:shd w:val="clear" w:color="auto" w:fill="auto"/>
            <w:noWrap/>
            <w:hideMark/>
          </w:tcPr>
          <w:p w14:paraId="6159D23F" w14:textId="77777777" w:rsidR="00DA034B" w:rsidRPr="00894657" w:rsidRDefault="00DA034B" w:rsidP="00B40FA0">
            <w:pPr>
              <w:suppressAutoHyphens w:val="0"/>
              <w:spacing w:before="40" w:after="40" w:line="220" w:lineRule="exact"/>
              <w:rPr>
                <w:sz w:val="18"/>
              </w:rPr>
            </w:pPr>
            <w:r w:rsidRPr="00894657">
              <w:rPr>
                <w:sz w:val="18"/>
              </w:rPr>
              <w:t>Malte</w:t>
            </w:r>
          </w:p>
        </w:tc>
        <w:tc>
          <w:tcPr>
            <w:tcW w:w="1747" w:type="dxa"/>
            <w:shd w:val="clear" w:color="auto" w:fill="auto"/>
            <w:noWrap/>
            <w:vAlign w:val="bottom"/>
          </w:tcPr>
          <w:p w14:paraId="4DE3A2A9" w14:textId="77777777" w:rsidR="00DA034B" w:rsidRPr="00894657" w:rsidRDefault="00DA034B" w:rsidP="00B40FA0">
            <w:pPr>
              <w:suppressAutoHyphens w:val="0"/>
              <w:spacing w:before="40" w:after="40" w:line="220" w:lineRule="exact"/>
              <w:jc w:val="right"/>
              <w:rPr>
                <w:sz w:val="18"/>
              </w:rPr>
            </w:pPr>
            <w:r w:rsidRPr="00894657">
              <w:rPr>
                <w:sz w:val="18"/>
              </w:rPr>
              <w:t>0,017</w:t>
            </w:r>
          </w:p>
        </w:tc>
        <w:tc>
          <w:tcPr>
            <w:tcW w:w="1748" w:type="dxa"/>
            <w:shd w:val="clear" w:color="auto" w:fill="auto"/>
            <w:noWrap/>
            <w:vAlign w:val="bottom"/>
          </w:tcPr>
          <w:p w14:paraId="30E41D30" w14:textId="77777777" w:rsidR="00DA034B" w:rsidRPr="00894657" w:rsidRDefault="00DA034B" w:rsidP="00B40FA0">
            <w:pPr>
              <w:suppressAutoHyphens w:val="0"/>
              <w:spacing w:before="40" w:after="40" w:line="220" w:lineRule="exact"/>
              <w:jc w:val="right"/>
              <w:rPr>
                <w:sz w:val="18"/>
              </w:rPr>
            </w:pPr>
            <w:r w:rsidRPr="00894657">
              <w:rPr>
                <w:sz w:val="18"/>
              </w:rPr>
              <w:t>0,055</w:t>
            </w:r>
          </w:p>
        </w:tc>
        <w:tc>
          <w:tcPr>
            <w:tcW w:w="1748" w:type="dxa"/>
            <w:shd w:val="clear" w:color="auto" w:fill="auto"/>
            <w:vAlign w:val="bottom"/>
          </w:tcPr>
          <w:p w14:paraId="3A409494" w14:textId="77777777" w:rsidR="00DA034B" w:rsidRPr="00894657" w:rsidRDefault="00DA034B" w:rsidP="00B40FA0">
            <w:pPr>
              <w:suppressAutoHyphens w:val="0"/>
              <w:spacing w:before="40" w:after="40" w:line="220" w:lineRule="exact"/>
              <w:jc w:val="right"/>
              <w:rPr>
                <w:sz w:val="18"/>
              </w:rPr>
            </w:pPr>
          </w:p>
        </w:tc>
      </w:tr>
      <w:tr w:rsidR="00DA034B" w:rsidRPr="00894657" w14:paraId="5DD133CC" w14:textId="77777777" w:rsidTr="0022679B">
        <w:tc>
          <w:tcPr>
            <w:tcW w:w="2127" w:type="dxa"/>
            <w:shd w:val="clear" w:color="auto" w:fill="auto"/>
            <w:noWrap/>
          </w:tcPr>
          <w:p w14:paraId="7D140B2E" w14:textId="77777777" w:rsidR="00DA034B" w:rsidRPr="00894657" w:rsidRDefault="00DA034B" w:rsidP="00B40FA0">
            <w:pPr>
              <w:suppressAutoHyphens w:val="0"/>
              <w:spacing w:before="40" w:after="40" w:line="220" w:lineRule="exact"/>
              <w:rPr>
                <w:sz w:val="18"/>
              </w:rPr>
            </w:pPr>
            <w:r w:rsidRPr="00894657">
              <w:rPr>
                <w:sz w:val="18"/>
              </w:rPr>
              <w:t>Monaco</w:t>
            </w:r>
          </w:p>
        </w:tc>
        <w:tc>
          <w:tcPr>
            <w:tcW w:w="1747" w:type="dxa"/>
            <w:shd w:val="clear" w:color="auto" w:fill="auto"/>
            <w:noWrap/>
            <w:vAlign w:val="bottom"/>
          </w:tcPr>
          <w:p w14:paraId="04FDD9CD" w14:textId="77777777" w:rsidR="00DA034B" w:rsidRPr="00894657" w:rsidRDefault="00DA034B" w:rsidP="00B40FA0">
            <w:pPr>
              <w:suppressAutoHyphens w:val="0"/>
              <w:spacing w:before="40" w:after="40" w:line="220" w:lineRule="exact"/>
              <w:jc w:val="right"/>
              <w:rPr>
                <w:sz w:val="18"/>
              </w:rPr>
            </w:pPr>
            <w:r w:rsidRPr="00894657">
              <w:rPr>
                <w:sz w:val="18"/>
              </w:rPr>
              <w:t>0,011</w:t>
            </w:r>
          </w:p>
        </w:tc>
        <w:tc>
          <w:tcPr>
            <w:tcW w:w="1748" w:type="dxa"/>
            <w:shd w:val="clear" w:color="auto" w:fill="auto"/>
            <w:noWrap/>
            <w:vAlign w:val="bottom"/>
          </w:tcPr>
          <w:p w14:paraId="19994B24" w14:textId="77777777" w:rsidR="00DA034B" w:rsidRPr="00894657" w:rsidRDefault="00DA034B" w:rsidP="00B40FA0">
            <w:pPr>
              <w:suppressAutoHyphens w:val="0"/>
              <w:spacing w:before="40" w:after="40" w:line="220" w:lineRule="exact"/>
              <w:jc w:val="right"/>
              <w:rPr>
                <w:sz w:val="18"/>
              </w:rPr>
            </w:pPr>
            <w:r w:rsidRPr="00894657">
              <w:rPr>
                <w:sz w:val="18"/>
              </w:rPr>
              <w:t>0,036</w:t>
            </w:r>
          </w:p>
        </w:tc>
        <w:tc>
          <w:tcPr>
            <w:tcW w:w="1748" w:type="dxa"/>
            <w:shd w:val="clear" w:color="auto" w:fill="auto"/>
            <w:vAlign w:val="bottom"/>
          </w:tcPr>
          <w:p w14:paraId="28E46A5D" w14:textId="77777777" w:rsidR="00DA034B" w:rsidRPr="00894657" w:rsidRDefault="00DA034B" w:rsidP="00B40FA0">
            <w:pPr>
              <w:suppressAutoHyphens w:val="0"/>
              <w:spacing w:before="40" w:after="40" w:line="220" w:lineRule="exact"/>
              <w:jc w:val="right"/>
              <w:rPr>
                <w:sz w:val="18"/>
              </w:rPr>
            </w:pPr>
          </w:p>
        </w:tc>
      </w:tr>
      <w:tr w:rsidR="00DA034B" w:rsidRPr="00894657" w14:paraId="03615BE3" w14:textId="77777777" w:rsidTr="0022679B">
        <w:tc>
          <w:tcPr>
            <w:tcW w:w="2127" w:type="dxa"/>
            <w:shd w:val="clear" w:color="auto" w:fill="auto"/>
            <w:noWrap/>
            <w:hideMark/>
          </w:tcPr>
          <w:p w14:paraId="3DBCF3EC" w14:textId="77777777" w:rsidR="00DA034B" w:rsidRPr="00894657" w:rsidRDefault="00DA034B" w:rsidP="00B40FA0">
            <w:pPr>
              <w:suppressAutoHyphens w:val="0"/>
              <w:spacing w:before="40" w:after="40" w:line="220" w:lineRule="exact"/>
              <w:rPr>
                <w:sz w:val="18"/>
              </w:rPr>
            </w:pPr>
            <w:r w:rsidRPr="00894657">
              <w:rPr>
                <w:sz w:val="18"/>
              </w:rPr>
              <w:t>Monténégro</w:t>
            </w:r>
          </w:p>
        </w:tc>
        <w:tc>
          <w:tcPr>
            <w:tcW w:w="1747" w:type="dxa"/>
            <w:shd w:val="clear" w:color="auto" w:fill="auto"/>
            <w:noWrap/>
            <w:vAlign w:val="bottom"/>
          </w:tcPr>
          <w:p w14:paraId="14E68445" w14:textId="77777777" w:rsidR="00DA034B" w:rsidRPr="00894657" w:rsidRDefault="00DA034B" w:rsidP="00B40FA0">
            <w:pPr>
              <w:suppressAutoHyphens w:val="0"/>
              <w:spacing w:before="40" w:after="40" w:line="220" w:lineRule="exact"/>
              <w:jc w:val="right"/>
              <w:rPr>
                <w:sz w:val="18"/>
              </w:rPr>
            </w:pPr>
            <w:r w:rsidRPr="00894657">
              <w:rPr>
                <w:sz w:val="18"/>
              </w:rPr>
              <w:t>0,004</w:t>
            </w:r>
          </w:p>
        </w:tc>
        <w:tc>
          <w:tcPr>
            <w:tcW w:w="1748" w:type="dxa"/>
            <w:shd w:val="clear" w:color="auto" w:fill="auto"/>
            <w:noWrap/>
            <w:vAlign w:val="bottom"/>
          </w:tcPr>
          <w:p w14:paraId="6A6D153E" w14:textId="77777777" w:rsidR="00DA034B" w:rsidRPr="00894657" w:rsidRDefault="00DA034B" w:rsidP="00B40FA0">
            <w:pPr>
              <w:suppressAutoHyphens w:val="0"/>
              <w:spacing w:before="40" w:after="40" w:line="220" w:lineRule="exact"/>
              <w:jc w:val="right"/>
              <w:rPr>
                <w:sz w:val="18"/>
              </w:rPr>
            </w:pPr>
            <w:r w:rsidRPr="00894657">
              <w:rPr>
                <w:sz w:val="18"/>
              </w:rPr>
              <w:t>0,013</w:t>
            </w:r>
          </w:p>
        </w:tc>
        <w:tc>
          <w:tcPr>
            <w:tcW w:w="1748" w:type="dxa"/>
            <w:shd w:val="clear" w:color="auto" w:fill="auto"/>
            <w:vAlign w:val="bottom"/>
          </w:tcPr>
          <w:p w14:paraId="75D4E4FB" w14:textId="77777777" w:rsidR="00DA034B" w:rsidRPr="00894657" w:rsidRDefault="00DA034B" w:rsidP="00B40FA0">
            <w:pPr>
              <w:suppressAutoHyphens w:val="0"/>
              <w:spacing w:before="40" w:after="40" w:line="220" w:lineRule="exact"/>
              <w:jc w:val="right"/>
              <w:rPr>
                <w:sz w:val="18"/>
              </w:rPr>
            </w:pPr>
          </w:p>
        </w:tc>
      </w:tr>
      <w:tr w:rsidR="00DA034B" w:rsidRPr="00894657" w14:paraId="177B9F83" w14:textId="77777777" w:rsidTr="0022679B">
        <w:tc>
          <w:tcPr>
            <w:tcW w:w="2127" w:type="dxa"/>
            <w:shd w:val="clear" w:color="auto" w:fill="auto"/>
            <w:noWrap/>
            <w:hideMark/>
          </w:tcPr>
          <w:p w14:paraId="490EB9C1" w14:textId="77777777" w:rsidR="00DA034B" w:rsidRPr="00894657" w:rsidRDefault="00DA034B" w:rsidP="00B40FA0">
            <w:pPr>
              <w:suppressAutoHyphens w:val="0"/>
              <w:spacing w:before="40" w:after="40" w:line="220" w:lineRule="exact"/>
              <w:rPr>
                <w:sz w:val="18"/>
              </w:rPr>
            </w:pPr>
            <w:r w:rsidRPr="00894657">
              <w:rPr>
                <w:sz w:val="18"/>
              </w:rPr>
              <w:t>Norvège</w:t>
            </w:r>
          </w:p>
        </w:tc>
        <w:tc>
          <w:tcPr>
            <w:tcW w:w="1747" w:type="dxa"/>
            <w:shd w:val="clear" w:color="auto" w:fill="auto"/>
            <w:noWrap/>
            <w:vAlign w:val="bottom"/>
          </w:tcPr>
          <w:p w14:paraId="54F8F3FC" w14:textId="77777777" w:rsidR="00DA034B" w:rsidRPr="00894657" w:rsidRDefault="00DA034B" w:rsidP="00B40FA0">
            <w:pPr>
              <w:suppressAutoHyphens w:val="0"/>
              <w:spacing w:before="40" w:after="40" w:line="220" w:lineRule="exact"/>
              <w:jc w:val="right"/>
              <w:rPr>
                <w:sz w:val="18"/>
              </w:rPr>
            </w:pPr>
            <w:r w:rsidRPr="00894657">
              <w:rPr>
                <w:sz w:val="18"/>
              </w:rPr>
              <w:t>0,754</w:t>
            </w:r>
          </w:p>
        </w:tc>
        <w:tc>
          <w:tcPr>
            <w:tcW w:w="1748" w:type="dxa"/>
            <w:shd w:val="clear" w:color="auto" w:fill="auto"/>
            <w:noWrap/>
            <w:vAlign w:val="bottom"/>
          </w:tcPr>
          <w:p w14:paraId="6DB4E056" w14:textId="77777777" w:rsidR="00DA034B" w:rsidRPr="00894657" w:rsidRDefault="00DA034B" w:rsidP="00B40FA0">
            <w:pPr>
              <w:suppressAutoHyphens w:val="0"/>
              <w:spacing w:before="40" w:after="40" w:line="220" w:lineRule="exact"/>
              <w:jc w:val="right"/>
              <w:rPr>
                <w:sz w:val="18"/>
              </w:rPr>
            </w:pPr>
            <w:r w:rsidRPr="00894657">
              <w:rPr>
                <w:sz w:val="18"/>
              </w:rPr>
              <w:t>2,440</w:t>
            </w:r>
          </w:p>
        </w:tc>
        <w:tc>
          <w:tcPr>
            <w:tcW w:w="1748" w:type="dxa"/>
            <w:shd w:val="clear" w:color="auto" w:fill="auto"/>
            <w:vAlign w:val="bottom"/>
          </w:tcPr>
          <w:p w14:paraId="4F0F429F" w14:textId="77777777" w:rsidR="00DA034B" w:rsidRPr="00894657" w:rsidRDefault="00DA034B" w:rsidP="00B40FA0">
            <w:pPr>
              <w:suppressAutoHyphens w:val="0"/>
              <w:spacing w:before="40" w:after="40" w:line="220" w:lineRule="exact"/>
              <w:jc w:val="right"/>
              <w:rPr>
                <w:sz w:val="18"/>
              </w:rPr>
            </w:pPr>
          </w:p>
        </w:tc>
      </w:tr>
      <w:tr w:rsidR="00DA034B" w:rsidRPr="00894657" w14:paraId="51B96692" w14:textId="77777777" w:rsidTr="0022679B">
        <w:tc>
          <w:tcPr>
            <w:tcW w:w="2127" w:type="dxa"/>
            <w:shd w:val="clear" w:color="auto" w:fill="auto"/>
            <w:noWrap/>
            <w:hideMark/>
          </w:tcPr>
          <w:p w14:paraId="7CA31E95" w14:textId="77777777" w:rsidR="00DA034B" w:rsidRPr="00894657" w:rsidRDefault="00DA034B" w:rsidP="00B40FA0">
            <w:pPr>
              <w:suppressAutoHyphens w:val="0"/>
              <w:spacing w:before="40" w:after="40" w:line="220" w:lineRule="exact"/>
              <w:rPr>
                <w:sz w:val="18"/>
              </w:rPr>
            </w:pPr>
            <w:r w:rsidRPr="00894657">
              <w:rPr>
                <w:sz w:val="18"/>
              </w:rPr>
              <w:t>Pays-Bas</w:t>
            </w:r>
          </w:p>
        </w:tc>
        <w:tc>
          <w:tcPr>
            <w:tcW w:w="1747" w:type="dxa"/>
            <w:shd w:val="clear" w:color="auto" w:fill="auto"/>
            <w:noWrap/>
            <w:vAlign w:val="bottom"/>
          </w:tcPr>
          <w:p w14:paraId="18D92A99" w14:textId="77777777" w:rsidR="00DA034B" w:rsidRPr="00894657" w:rsidRDefault="00DA034B" w:rsidP="00B40FA0">
            <w:pPr>
              <w:suppressAutoHyphens w:val="0"/>
              <w:spacing w:before="40" w:after="40" w:line="220" w:lineRule="exact"/>
              <w:jc w:val="right"/>
              <w:rPr>
                <w:sz w:val="18"/>
              </w:rPr>
            </w:pPr>
            <w:r w:rsidRPr="00894657">
              <w:rPr>
                <w:sz w:val="18"/>
              </w:rPr>
              <w:t>1,356</w:t>
            </w:r>
          </w:p>
        </w:tc>
        <w:tc>
          <w:tcPr>
            <w:tcW w:w="1748" w:type="dxa"/>
            <w:shd w:val="clear" w:color="auto" w:fill="auto"/>
            <w:noWrap/>
            <w:vAlign w:val="bottom"/>
          </w:tcPr>
          <w:p w14:paraId="5E43FBC8" w14:textId="77777777" w:rsidR="00DA034B" w:rsidRPr="00894657" w:rsidRDefault="00DA034B" w:rsidP="00B40FA0">
            <w:pPr>
              <w:suppressAutoHyphens w:val="0"/>
              <w:spacing w:before="40" w:after="40" w:line="220" w:lineRule="exact"/>
              <w:jc w:val="right"/>
              <w:rPr>
                <w:sz w:val="18"/>
              </w:rPr>
            </w:pPr>
            <w:r w:rsidRPr="00894657">
              <w:rPr>
                <w:sz w:val="18"/>
              </w:rPr>
              <w:t>4,388</w:t>
            </w:r>
          </w:p>
        </w:tc>
        <w:tc>
          <w:tcPr>
            <w:tcW w:w="1748" w:type="dxa"/>
            <w:shd w:val="clear" w:color="auto" w:fill="auto"/>
            <w:vAlign w:val="bottom"/>
          </w:tcPr>
          <w:p w14:paraId="711F1D71" w14:textId="77777777" w:rsidR="00DA034B" w:rsidRPr="00894657" w:rsidRDefault="00DA034B" w:rsidP="00B40FA0">
            <w:pPr>
              <w:suppressAutoHyphens w:val="0"/>
              <w:spacing w:before="40" w:after="40" w:line="220" w:lineRule="exact"/>
              <w:jc w:val="right"/>
              <w:rPr>
                <w:sz w:val="18"/>
              </w:rPr>
            </w:pPr>
          </w:p>
        </w:tc>
      </w:tr>
      <w:tr w:rsidR="00DA034B" w:rsidRPr="00894657" w14:paraId="3FE92EA1" w14:textId="77777777" w:rsidTr="0022679B">
        <w:tc>
          <w:tcPr>
            <w:tcW w:w="2127" w:type="dxa"/>
            <w:shd w:val="clear" w:color="auto" w:fill="auto"/>
            <w:noWrap/>
            <w:hideMark/>
          </w:tcPr>
          <w:p w14:paraId="50A0C5E1" w14:textId="77777777" w:rsidR="00DA034B" w:rsidRPr="00894657" w:rsidRDefault="00DA034B" w:rsidP="00B40FA0">
            <w:pPr>
              <w:suppressAutoHyphens w:val="0"/>
              <w:spacing w:before="40" w:after="40" w:line="220" w:lineRule="exact"/>
              <w:rPr>
                <w:sz w:val="18"/>
              </w:rPr>
            </w:pPr>
            <w:r w:rsidRPr="00894657">
              <w:rPr>
                <w:sz w:val="18"/>
              </w:rPr>
              <w:t>Pologne</w:t>
            </w:r>
          </w:p>
        </w:tc>
        <w:tc>
          <w:tcPr>
            <w:tcW w:w="1747" w:type="dxa"/>
            <w:shd w:val="clear" w:color="auto" w:fill="auto"/>
            <w:noWrap/>
            <w:vAlign w:val="bottom"/>
          </w:tcPr>
          <w:p w14:paraId="42D43695" w14:textId="77777777" w:rsidR="00DA034B" w:rsidRPr="00894657" w:rsidRDefault="00DA034B" w:rsidP="00B40FA0">
            <w:pPr>
              <w:suppressAutoHyphens w:val="0"/>
              <w:spacing w:before="40" w:after="40" w:line="220" w:lineRule="exact"/>
              <w:jc w:val="right"/>
              <w:rPr>
                <w:sz w:val="18"/>
              </w:rPr>
            </w:pPr>
            <w:r w:rsidRPr="00894657">
              <w:rPr>
                <w:sz w:val="18"/>
              </w:rPr>
              <w:t>0,802</w:t>
            </w:r>
          </w:p>
        </w:tc>
        <w:tc>
          <w:tcPr>
            <w:tcW w:w="1748" w:type="dxa"/>
            <w:shd w:val="clear" w:color="auto" w:fill="auto"/>
            <w:noWrap/>
            <w:vAlign w:val="bottom"/>
          </w:tcPr>
          <w:p w14:paraId="623ED6E8" w14:textId="77777777" w:rsidR="00DA034B" w:rsidRPr="00894657" w:rsidRDefault="00DA034B" w:rsidP="00B40FA0">
            <w:pPr>
              <w:suppressAutoHyphens w:val="0"/>
              <w:spacing w:before="40" w:after="40" w:line="220" w:lineRule="exact"/>
              <w:jc w:val="right"/>
              <w:rPr>
                <w:sz w:val="18"/>
              </w:rPr>
            </w:pPr>
            <w:r w:rsidRPr="00894657">
              <w:rPr>
                <w:sz w:val="18"/>
              </w:rPr>
              <w:t>2,595</w:t>
            </w:r>
          </w:p>
        </w:tc>
        <w:tc>
          <w:tcPr>
            <w:tcW w:w="1748" w:type="dxa"/>
            <w:shd w:val="clear" w:color="auto" w:fill="auto"/>
            <w:vAlign w:val="bottom"/>
          </w:tcPr>
          <w:p w14:paraId="1FC767E3" w14:textId="77777777" w:rsidR="00DA034B" w:rsidRPr="00894657" w:rsidRDefault="00DA034B" w:rsidP="00B40FA0">
            <w:pPr>
              <w:suppressAutoHyphens w:val="0"/>
              <w:spacing w:before="40" w:after="40" w:line="220" w:lineRule="exact"/>
              <w:jc w:val="right"/>
              <w:rPr>
                <w:sz w:val="18"/>
              </w:rPr>
            </w:pPr>
          </w:p>
        </w:tc>
      </w:tr>
      <w:tr w:rsidR="00DA034B" w:rsidRPr="00894657" w14:paraId="3B3F796A" w14:textId="77777777" w:rsidTr="0022679B">
        <w:tc>
          <w:tcPr>
            <w:tcW w:w="2127" w:type="dxa"/>
            <w:shd w:val="clear" w:color="auto" w:fill="auto"/>
            <w:noWrap/>
            <w:hideMark/>
          </w:tcPr>
          <w:p w14:paraId="6FAEB50C" w14:textId="77777777" w:rsidR="00DA034B" w:rsidRPr="00894657" w:rsidRDefault="00DA034B" w:rsidP="00B40FA0">
            <w:pPr>
              <w:suppressAutoHyphens w:val="0"/>
              <w:spacing w:before="40" w:after="40" w:line="220" w:lineRule="exact"/>
              <w:rPr>
                <w:sz w:val="18"/>
              </w:rPr>
            </w:pPr>
            <w:r w:rsidRPr="00894657">
              <w:rPr>
                <w:sz w:val="18"/>
              </w:rPr>
              <w:t>Portugal</w:t>
            </w:r>
          </w:p>
        </w:tc>
        <w:tc>
          <w:tcPr>
            <w:tcW w:w="1747" w:type="dxa"/>
            <w:shd w:val="clear" w:color="auto" w:fill="auto"/>
            <w:noWrap/>
            <w:vAlign w:val="bottom"/>
          </w:tcPr>
          <w:p w14:paraId="1C64700B" w14:textId="77777777" w:rsidR="00DA034B" w:rsidRPr="00894657" w:rsidRDefault="00DA034B" w:rsidP="00B40FA0">
            <w:pPr>
              <w:suppressAutoHyphens w:val="0"/>
              <w:spacing w:before="40" w:after="40" w:line="220" w:lineRule="exact"/>
              <w:jc w:val="right"/>
              <w:rPr>
                <w:sz w:val="18"/>
              </w:rPr>
            </w:pPr>
            <w:r w:rsidRPr="00894657">
              <w:rPr>
                <w:sz w:val="18"/>
              </w:rPr>
              <w:t>0,350</w:t>
            </w:r>
          </w:p>
        </w:tc>
        <w:tc>
          <w:tcPr>
            <w:tcW w:w="1748" w:type="dxa"/>
            <w:shd w:val="clear" w:color="auto" w:fill="auto"/>
            <w:noWrap/>
            <w:vAlign w:val="bottom"/>
          </w:tcPr>
          <w:p w14:paraId="542B1203" w14:textId="77777777" w:rsidR="00DA034B" w:rsidRPr="00894657" w:rsidRDefault="00DA034B" w:rsidP="00B40FA0">
            <w:pPr>
              <w:suppressAutoHyphens w:val="0"/>
              <w:spacing w:before="40" w:after="40" w:line="220" w:lineRule="exact"/>
              <w:jc w:val="right"/>
              <w:rPr>
                <w:sz w:val="18"/>
              </w:rPr>
            </w:pPr>
            <w:r w:rsidRPr="00894657">
              <w:rPr>
                <w:sz w:val="18"/>
              </w:rPr>
              <w:t>1,133</w:t>
            </w:r>
          </w:p>
        </w:tc>
        <w:tc>
          <w:tcPr>
            <w:tcW w:w="1748" w:type="dxa"/>
            <w:shd w:val="clear" w:color="auto" w:fill="auto"/>
            <w:vAlign w:val="bottom"/>
          </w:tcPr>
          <w:p w14:paraId="135EE9E4" w14:textId="77777777" w:rsidR="00DA034B" w:rsidRPr="00894657" w:rsidRDefault="00DA034B" w:rsidP="00B40FA0">
            <w:pPr>
              <w:suppressAutoHyphens w:val="0"/>
              <w:spacing w:before="40" w:after="40" w:line="220" w:lineRule="exact"/>
              <w:jc w:val="right"/>
              <w:rPr>
                <w:sz w:val="18"/>
              </w:rPr>
            </w:pPr>
          </w:p>
        </w:tc>
      </w:tr>
      <w:tr w:rsidR="00DA034B" w:rsidRPr="00894657" w14:paraId="13DF4C92" w14:textId="77777777" w:rsidTr="0022679B">
        <w:tc>
          <w:tcPr>
            <w:tcW w:w="2127" w:type="dxa"/>
            <w:shd w:val="clear" w:color="auto" w:fill="auto"/>
            <w:noWrap/>
            <w:hideMark/>
          </w:tcPr>
          <w:p w14:paraId="0D21AA15" w14:textId="77777777" w:rsidR="00DA034B" w:rsidRPr="00894657" w:rsidRDefault="00DA034B" w:rsidP="00B40FA0">
            <w:pPr>
              <w:suppressAutoHyphens w:val="0"/>
              <w:spacing w:before="40" w:after="40" w:line="220" w:lineRule="exact"/>
              <w:rPr>
                <w:sz w:val="18"/>
              </w:rPr>
            </w:pPr>
            <w:r w:rsidRPr="00894657">
              <w:rPr>
                <w:sz w:val="18"/>
              </w:rPr>
              <w:t>République de Moldova</w:t>
            </w:r>
          </w:p>
        </w:tc>
        <w:tc>
          <w:tcPr>
            <w:tcW w:w="1747" w:type="dxa"/>
            <w:shd w:val="clear" w:color="auto" w:fill="auto"/>
            <w:noWrap/>
            <w:vAlign w:val="bottom"/>
          </w:tcPr>
          <w:p w14:paraId="5F86A18C" w14:textId="77777777" w:rsidR="00DA034B" w:rsidRPr="00894657" w:rsidRDefault="00DA034B" w:rsidP="00B40FA0">
            <w:pPr>
              <w:suppressAutoHyphens w:val="0"/>
              <w:spacing w:before="40" w:after="40" w:line="220" w:lineRule="exact"/>
              <w:jc w:val="right"/>
              <w:rPr>
                <w:sz w:val="18"/>
              </w:rPr>
            </w:pPr>
            <w:r w:rsidRPr="00894657">
              <w:rPr>
                <w:sz w:val="18"/>
              </w:rPr>
              <w:t>0,003</w:t>
            </w:r>
          </w:p>
        </w:tc>
        <w:tc>
          <w:tcPr>
            <w:tcW w:w="1748" w:type="dxa"/>
            <w:shd w:val="clear" w:color="auto" w:fill="auto"/>
            <w:noWrap/>
            <w:vAlign w:val="bottom"/>
          </w:tcPr>
          <w:p w14:paraId="4AF0615C" w14:textId="77777777" w:rsidR="00DA034B" w:rsidRPr="00894657" w:rsidRDefault="00DA034B" w:rsidP="00B40FA0">
            <w:pPr>
              <w:suppressAutoHyphens w:val="0"/>
              <w:spacing w:before="40" w:after="40" w:line="220" w:lineRule="exact"/>
              <w:jc w:val="right"/>
              <w:rPr>
                <w:sz w:val="18"/>
              </w:rPr>
            </w:pPr>
            <w:r w:rsidRPr="00894657">
              <w:rPr>
                <w:sz w:val="18"/>
              </w:rPr>
              <w:t>0,010</w:t>
            </w:r>
          </w:p>
        </w:tc>
        <w:tc>
          <w:tcPr>
            <w:tcW w:w="1748" w:type="dxa"/>
            <w:shd w:val="clear" w:color="auto" w:fill="auto"/>
            <w:vAlign w:val="bottom"/>
          </w:tcPr>
          <w:p w14:paraId="02D3D6AD" w14:textId="77777777" w:rsidR="00DA034B" w:rsidRPr="00894657" w:rsidRDefault="00DA034B" w:rsidP="00B40FA0">
            <w:pPr>
              <w:suppressAutoHyphens w:val="0"/>
              <w:spacing w:before="40" w:after="40" w:line="220" w:lineRule="exact"/>
              <w:jc w:val="right"/>
              <w:rPr>
                <w:sz w:val="18"/>
              </w:rPr>
            </w:pPr>
          </w:p>
        </w:tc>
      </w:tr>
      <w:tr w:rsidR="00DA034B" w:rsidRPr="00894657" w14:paraId="57F3E328" w14:textId="77777777" w:rsidTr="0022679B">
        <w:tc>
          <w:tcPr>
            <w:tcW w:w="2127" w:type="dxa"/>
            <w:shd w:val="clear" w:color="auto" w:fill="auto"/>
            <w:noWrap/>
            <w:hideMark/>
          </w:tcPr>
          <w:p w14:paraId="78892679" w14:textId="77777777" w:rsidR="00DA034B" w:rsidRPr="00894657" w:rsidRDefault="00DA034B" w:rsidP="00B40FA0">
            <w:pPr>
              <w:suppressAutoHyphens w:val="0"/>
              <w:spacing w:before="40" w:after="40" w:line="220" w:lineRule="exact"/>
              <w:rPr>
                <w:sz w:val="18"/>
              </w:rPr>
            </w:pPr>
            <w:r w:rsidRPr="00894657">
              <w:rPr>
                <w:sz w:val="18"/>
              </w:rPr>
              <w:t>Roumanie</w:t>
            </w:r>
          </w:p>
        </w:tc>
        <w:tc>
          <w:tcPr>
            <w:tcW w:w="1747" w:type="dxa"/>
            <w:shd w:val="clear" w:color="auto" w:fill="auto"/>
            <w:noWrap/>
            <w:vAlign w:val="bottom"/>
          </w:tcPr>
          <w:p w14:paraId="4095F1F5" w14:textId="77777777" w:rsidR="00DA034B" w:rsidRPr="00894657" w:rsidRDefault="00DA034B" w:rsidP="00B40FA0">
            <w:pPr>
              <w:suppressAutoHyphens w:val="0"/>
              <w:spacing w:before="40" w:after="40" w:line="220" w:lineRule="exact"/>
              <w:jc w:val="right"/>
              <w:rPr>
                <w:sz w:val="18"/>
              </w:rPr>
            </w:pPr>
            <w:r w:rsidRPr="00894657">
              <w:rPr>
                <w:sz w:val="18"/>
              </w:rPr>
              <w:t>0,198</w:t>
            </w:r>
          </w:p>
        </w:tc>
        <w:tc>
          <w:tcPr>
            <w:tcW w:w="1748" w:type="dxa"/>
            <w:shd w:val="clear" w:color="auto" w:fill="auto"/>
            <w:noWrap/>
            <w:vAlign w:val="bottom"/>
          </w:tcPr>
          <w:p w14:paraId="53702389" w14:textId="77777777" w:rsidR="00DA034B" w:rsidRPr="00894657" w:rsidRDefault="00DA034B" w:rsidP="00B40FA0">
            <w:pPr>
              <w:suppressAutoHyphens w:val="0"/>
              <w:spacing w:before="40" w:after="40" w:line="220" w:lineRule="exact"/>
              <w:jc w:val="right"/>
              <w:rPr>
                <w:sz w:val="18"/>
              </w:rPr>
            </w:pPr>
            <w:r w:rsidRPr="00894657">
              <w:rPr>
                <w:sz w:val="18"/>
              </w:rPr>
              <w:t>0,641</w:t>
            </w:r>
          </w:p>
        </w:tc>
        <w:tc>
          <w:tcPr>
            <w:tcW w:w="1748" w:type="dxa"/>
            <w:shd w:val="clear" w:color="auto" w:fill="auto"/>
            <w:vAlign w:val="bottom"/>
          </w:tcPr>
          <w:p w14:paraId="10102F51" w14:textId="77777777" w:rsidR="00DA034B" w:rsidRPr="00894657" w:rsidRDefault="00DA034B" w:rsidP="00B40FA0">
            <w:pPr>
              <w:suppressAutoHyphens w:val="0"/>
              <w:spacing w:before="40" w:after="40" w:line="220" w:lineRule="exact"/>
              <w:jc w:val="right"/>
              <w:rPr>
                <w:sz w:val="18"/>
              </w:rPr>
            </w:pPr>
          </w:p>
        </w:tc>
      </w:tr>
      <w:tr w:rsidR="00DA034B" w:rsidRPr="00894657" w14:paraId="17FF9E49" w14:textId="77777777" w:rsidTr="0022679B">
        <w:tc>
          <w:tcPr>
            <w:tcW w:w="2127" w:type="dxa"/>
            <w:shd w:val="clear" w:color="auto" w:fill="auto"/>
            <w:noWrap/>
            <w:hideMark/>
          </w:tcPr>
          <w:p w14:paraId="425E603B" w14:textId="5F02183F" w:rsidR="00DA034B" w:rsidRPr="00894657" w:rsidRDefault="00DA034B" w:rsidP="00B40FA0">
            <w:pPr>
              <w:suppressAutoHyphens w:val="0"/>
              <w:spacing w:before="40" w:after="40" w:line="220" w:lineRule="exact"/>
              <w:rPr>
                <w:sz w:val="18"/>
              </w:rPr>
            </w:pPr>
            <w:r w:rsidRPr="00894657">
              <w:rPr>
                <w:sz w:val="18"/>
              </w:rPr>
              <w:t>Royaume-Uni</w:t>
            </w:r>
          </w:p>
        </w:tc>
        <w:tc>
          <w:tcPr>
            <w:tcW w:w="1747" w:type="dxa"/>
            <w:shd w:val="clear" w:color="auto" w:fill="auto"/>
            <w:noWrap/>
            <w:vAlign w:val="bottom"/>
          </w:tcPr>
          <w:p w14:paraId="399E8416" w14:textId="77777777" w:rsidR="00DA034B" w:rsidRPr="00894657" w:rsidRDefault="00DA034B" w:rsidP="00B40FA0">
            <w:pPr>
              <w:suppressAutoHyphens w:val="0"/>
              <w:spacing w:before="40" w:after="40" w:line="220" w:lineRule="exact"/>
              <w:jc w:val="right"/>
              <w:rPr>
                <w:sz w:val="18"/>
              </w:rPr>
            </w:pPr>
            <w:r w:rsidRPr="00894657">
              <w:rPr>
                <w:sz w:val="18"/>
              </w:rPr>
              <w:t>4,567</w:t>
            </w:r>
          </w:p>
        </w:tc>
        <w:tc>
          <w:tcPr>
            <w:tcW w:w="1748" w:type="dxa"/>
            <w:shd w:val="clear" w:color="auto" w:fill="auto"/>
            <w:noWrap/>
            <w:vAlign w:val="bottom"/>
          </w:tcPr>
          <w:p w14:paraId="113E12DE" w14:textId="77777777" w:rsidR="00DA034B" w:rsidRPr="00894657" w:rsidRDefault="00DA034B" w:rsidP="00B40FA0">
            <w:pPr>
              <w:suppressAutoHyphens w:val="0"/>
              <w:spacing w:before="40" w:after="40" w:line="220" w:lineRule="exact"/>
              <w:jc w:val="right"/>
              <w:rPr>
                <w:sz w:val="18"/>
              </w:rPr>
            </w:pPr>
            <w:r w:rsidRPr="00894657">
              <w:rPr>
                <w:sz w:val="18"/>
              </w:rPr>
              <w:t>14,779</w:t>
            </w:r>
          </w:p>
        </w:tc>
        <w:tc>
          <w:tcPr>
            <w:tcW w:w="1748" w:type="dxa"/>
            <w:shd w:val="clear" w:color="auto" w:fill="auto"/>
            <w:vAlign w:val="bottom"/>
          </w:tcPr>
          <w:p w14:paraId="15667E15" w14:textId="77777777" w:rsidR="00DA034B" w:rsidRPr="00894657" w:rsidRDefault="00DA034B" w:rsidP="00B40FA0">
            <w:pPr>
              <w:suppressAutoHyphens w:val="0"/>
              <w:spacing w:before="40" w:after="40" w:line="220" w:lineRule="exact"/>
              <w:jc w:val="right"/>
              <w:rPr>
                <w:sz w:val="18"/>
              </w:rPr>
            </w:pPr>
          </w:p>
        </w:tc>
      </w:tr>
      <w:tr w:rsidR="00DA034B" w:rsidRPr="00894657" w14:paraId="30CF3508" w14:textId="77777777" w:rsidTr="0022679B">
        <w:tc>
          <w:tcPr>
            <w:tcW w:w="2127" w:type="dxa"/>
            <w:shd w:val="clear" w:color="auto" w:fill="auto"/>
            <w:noWrap/>
            <w:hideMark/>
          </w:tcPr>
          <w:p w14:paraId="446801E7" w14:textId="77777777" w:rsidR="00DA034B" w:rsidRPr="00894657" w:rsidRDefault="00DA034B" w:rsidP="00B40FA0">
            <w:pPr>
              <w:suppressAutoHyphens w:val="0"/>
              <w:spacing w:before="40" w:after="40" w:line="220" w:lineRule="exact"/>
              <w:rPr>
                <w:sz w:val="18"/>
              </w:rPr>
            </w:pPr>
            <w:r w:rsidRPr="00894657">
              <w:rPr>
                <w:sz w:val="18"/>
              </w:rPr>
              <w:t>Serbie</w:t>
            </w:r>
          </w:p>
        </w:tc>
        <w:tc>
          <w:tcPr>
            <w:tcW w:w="1747" w:type="dxa"/>
            <w:shd w:val="clear" w:color="auto" w:fill="auto"/>
            <w:noWrap/>
            <w:vAlign w:val="bottom"/>
          </w:tcPr>
          <w:p w14:paraId="651DDB46" w14:textId="77777777" w:rsidR="00DA034B" w:rsidRPr="00894657" w:rsidRDefault="00DA034B" w:rsidP="00B40FA0">
            <w:pPr>
              <w:suppressAutoHyphens w:val="0"/>
              <w:spacing w:before="40" w:after="40" w:line="220" w:lineRule="exact"/>
              <w:jc w:val="right"/>
              <w:rPr>
                <w:sz w:val="18"/>
              </w:rPr>
            </w:pPr>
            <w:r w:rsidRPr="00894657">
              <w:rPr>
                <w:sz w:val="18"/>
              </w:rPr>
              <w:t>0,028</w:t>
            </w:r>
          </w:p>
        </w:tc>
        <w:tc>
          <w:tcPr>
            <w:tcW w:w="1748" w:type="dxa"/>
            <w:shd w:val="clear" w:color="auto" w:fill="auto"/>
            <w:noWrap/>
            <w:vAlign w:val="bottom"/>
          </w:tcPr>
          <w:p w14:paraId="4571FCE6" w14:textId="77777777" w:rsidR="00DA034B" w:rsidRPr="00894657" w:rsidRDefault="00DA034B" w:rsidP="00B40FA0">
            <w:pPr>
              <w:suppressAutoHyphens w:val="0"/>
              <w:spacing w:before="40" w:after="40" w:line="220" w:lineRule="exact"/>
              <w:jc w:val="right"/>
              <w:rPr>
                <w:sz w:val="18"/>
              </w:rPr>
            </w:pPr>
            <w:r w:rsidRPr="00894657">
              <w:rPr>
                <w:sz w:val="18"/>
              </w:rPr>
              <w:t>0,091</w:t>
            </w:r>
          </w:p>
        </w:tc>
        <w:tc>
          <w:tcPr>
            <w:tcW w:w="1748" w:type="dxa"/>
            <w:shd w:val="clear" w:color="auto" w:fill="auto"/>
            <w:vAlign w:val="bottom"/>
          </w:tcPr>
          <w:p w14:paraId="40FFCFAF" w14:textId="77777777" w:rsidR="00DA034B" w:rsidRPr="00894657" w:rsidRDefault="00DA034B" w:rsidP="00B40FA0">
            <w:pPr>
              <w:suppressAutoHyphens w:val="0"/>
              <w:spacing w:before="40" w:after="40" w:line="220" w:lineRule="exact"/>
              <w:jc w:val="right"/>
              <w:rPr>
                <w:sz w:val="18"/>
              </w:rPr>
            </w:pPr>
          </w:p>
        </w:tc>
      </w:tr>
      <w:tr w:rsidR="00DA034B" w:rsidRPr="00894657" w14:paraId="6E555AD7" w14:textId="77777777" w:rsidTr="0022679B">
        <w:tc>
          <w:tcPr>
            <w:tcW w:w="2127" w:type="dxa"/>
            <w:shd w:val="clear" w:color="auto" w:fill="auto"/>
            <w:noWrap/>
            <w:hideMark/>
          </w:tcPr>
          <w:p w14:paraId="18324030" w14:textId="77777777" w:rsidR="00DA034B" w:rsidRPr="00894657" w:rsidRDefault="00DA034B" w:rsidP="00B40FA0">
            <w:pPr>
              <w:suppressAutoHyphens w:val="0"/>
              <w:spacing w:before="40" w:after="40" w:line="220" w:lineRule="exact"/>
              <w:rPr>
                <w:sz w:val="18"/>
              </w:rPr>
            </w:pPr>
            <w:r w:rsidRPr="00894657">
              <w:rPr>
                <w:sz w:val="18"/>
              </w:rPr>
              <w:t>Slovaquie</w:t>
            </w:r>
          </w:p>
        </w:tc>
        <w:tc>
          <w:tcPr>
            <w:tcW w:w="1747" w:type="dxa"/>
            <w:shd w:val="clear" w:color="auto" w:fill="auto"/>
            <w:noWrap/>
            <w:vAlign w:val="bottom"/>
          </w:tcPr>
          <w:p w14:paraId="5AD52177" w14:textId="77777777" w:rsidR="00DA034B" w:rsidRPr="00894657" w:rsidRDefault="00DA034B" w:rsidP="00B40FA0">
            <w:pPr>
              <w:suppressAutoHyphens w:val="0"/>
              <w:spacing w:before="40" w:after="40" w:line="220" w:lineRule="exact"/>
              <w:jc w:val="right"/>
              <w:rPr>
                <w:sz w:val="18"/>
              </w:rPr>
            </w:pPr>
            <w:r w:rsidRPr="00894657">
              <w:rPr>
                <w:sz w:val="18"/>
              </w:rPr>
              <w:t>0,153</w:t>
            </w:r>
          </w:p>
        </w:tc>
        <w:tc>
          <w:tcPr>
            <w:tcW w:w="1748" w:type="dxa"/>
            <w:shd w:val="clear" w:color="auto" w:fill="auto"/>
            <w:noWrap/>
            <w:vAlign w:val="bottom"/>
          </w:tcPr>
          <w:p w14:paraId="3D71BCA1" w14:textId="77777777" w:rsidR="00DA034B" w:rsidRPr="00894657" w:rsidRDefault="00DA034B" w:rsidP="00B40FA0">
            <w:pPr>
              <w:suppressAutoHyphens w:val="0"/>
              <w:spacing w:before="40" w:after="40" w:line="220" w:lineRule="exact"/>
              <w:jc w:val="right"/>
              <w:rPr>
                <w:sz w:val="18"/>
              </w:rPr>
            </w:pPr>
            <w:r w:rsidRPr="00894657">
              <w:rPr>
                <w:sz w:val="18"/>
              </w:rPr>
              <w:t>0,495</w:t>
            </w:r>
          </w:p>
        </w:tc>
        <w:tc>
          <w:tcPr>
            <w:tcW w:w="1748" w:type="dxa"/>
            <w:shd w:val="clear" w:color="auto" w:fill="auto"/>
            <w:vAlign w:val="bottom"/>
          </w:tcPr>
          <w:p w14:paraId="4F5E43A1" w14:textId="77777777" w:rsidR="00DA034B" w:rsidRPr="00894657" w:rsidRDefault="00DA034B" w:rsidP="00B40FA0">
            <w:pPr>
              <w:suppressAutoHyphens w:val="0"/>
              <w:spacing w:before="40" w:after="40" w:line="220" w:lineRule="exact"/>
              <w:jc w:val="right"/>
              <w:rPr>
                <w:sz w:val="18"/>
              </w:rPr>
            </w:pPr>
          </w:p>
        </w:tc>
      </w:tr>
      <w:tr w:rsidR="00DA034B" w:rsidRPr="00894657" w14:paraId="33317118" w14:textId="77777777" w:rsidTr="0022679B">
        <w:tc>
          <w:tcPr>
            <w:tcW w:w="2127" w:type="dxa"/>
            <w:shd w:val="clear" w:color="auto" w:fill="auto"/>
            <w:noWrap/>
            <w:hideMark/>
          </w:tcPr>
          <w:p w14:paraId="5B8AE4C3" w14:textId="77777777" w:rsidR="00DA034B" w:rsidRPr="00894657" w:rsidRDefault="00DA034B" w:rsidP="00B40FA0">
            <w:pPr>
              <w:suppressAutoHyphens w:val="0"/>
              <w:spacing w:before="40" w:after="40" w:line="220" w:lineRule="exact"/>
              <w:rPr>
                <w:sz w:val="18"/>
              </w:rPr>
            </w:pPr>
            <w:r w:rsidRPr="00894657">
              <w:rPr>
                <w:sz w:val="18"/>
              </w:rPr>
              <w:t>Slovénie</w:t>
            </w:r>
          </w:p>
        </w:tc>
        <w:tc>
          <w:tcPr>
            <w:tcW w:w="1747" w:type="dxa"/>
            <w:shd w:val="clear" w:color="auto" w:fill="auto"/>
            <w:noWrap/>
            <w:vAlign w:val="bottom"/>
          </w:tcPr>
          <w:p w14:paraId="7A76F403" w14:textId="77777777" w:rsidR="00DA034B" w:rsidRPr="00894657" w:rsidRDefault="00DA034B" w:rsidP="00B40FA0">
            <w:pPr>
              <w:suppressAutoHyphens w:val="0"/>
              <w:spacing w:before="40" w:after="40" w:line="220" w:lineRule="exact"/>
              <w:jc w:val="right"/>
              <w:rPr>
                <w:sz w:val="18"/>
              </w:rPr>
            </w:pPr>
            <w:r w:rsidRPr="00894657">
              <w:rPr>
                <w:sz w:val="18"/>
              </w:rPr>
              <w:t>0,076</w:t>
            </w:r>
          </w:p>
        </w:tc>
        <w:tc>
          <w:tcPr>
            <w:tcW w:w="1748" w:type="dxa"/>
            <w:shd w:val="clear" w:color="auto" w:fill="auto"/>
            <w:noWrap/>
            <w:vAlign w:val="bottom"/>
          </w:tcPr>
          <w:p w14:paraId="407C1BDD" w14:textId="77777777" w:rsidR="00DA034B" w:rsidRPr="00894657" w:rsidRDefault="00DA034B" w:rsidP="00B40FA0">
            <w:pPr>
              <w:suppressAutoHyphens w:val="0"/>
              <w:spacing w:before="40" w:after="40" w:line="220" w:lineRule="exact"/>
              <w:jc w:val="right"/>
              <w:rPr>
                <w:sz w:val="18"/>
              </w:rPr>
            </w:pPr>
            <w:r w:rsidRPr="00894657">
              <w:rPr>
                <w:sz w:val="18"/>
              </w:rPr>
              <w:t>0,246</w:t>
            </w:r>
          </w:p>
        </w:tc>
        <w:tc>
          <w:tcPr>
            <w:tcW w:w="1748" w:type="dxa"/>
            <w:shd w:val="clear" w:color="auto" w:fill="auto"/>
            <w:vAlign w:val="bottom"/>
          </w:tcPr>
          <w:p w14:paraId="7445C207" w14:textId="77777777" w:rsidR="00DA034B" w:rsidRPr="00894657" w:rsidRDefault="00DA034B" w:rsidP="00B40FA0">
            <w:pPr>
              <w:suppressAutoHyphens w:val="0"/>
              <w:spacing w:before="40" w:after="40" w:line="220" w:lineRule="exact"/>
              <w:jc w:val="right"/>
              <w:rPr>
                <w:sz w:val="18"/>
              </w:rPr>
            </w:pPr>
          </w:p>
        </w:tc>
      </w:tr>
      <w:tr w:rsidR="00DA034B" w:rsidRPr="00894657" w14:paraId="07CC1E9C" w14:textId="77777777" w:rsidTr="0022679B">
        <w:tc>
          <w:tcPr>
            <w:tcW w:w="2127" w:type="dxa"/>
            <w:shd w:val="clear" w:color="auto" w:fill="auto"/>
            <w:noWrap/>
            <w:hideMark/>
          </w:tcPr>
          <w:p w14:paraId="0ACC6496" w14:textId="77777777" w:rsidR="00DA034B" w:rsidRPr="00894657" w:rsidRDefault="00DA034B" w:rsidP="00B40FA0">
            <w:pPr>
              <w:suppressAutoHyphens w:val="0"/>
              <w:spacing w:before="40" w:after="40" w:line="220" w:lineRule="exact"/>
              <w:rPr>
                <w:sz w:val="18"/>
              </w:rPr>
            </w:pPr>
            <w:r w:rsidRPr="00894657">
              <w:rPr>
                <w:sz w:val="18"/>
              </w:rPr>
              <w:t>Suède</w:t>
            </w:r>
          </w:p>
        </w:tc>
        <w:tc>
          <w:tcPr>
            <w:tcW w:w="1747" w:type="dxa"/>
            <w:shd w:val="clear" w:color="auto" w:fill="auto"/>
            <w:noWrap/>
            <w:vAlign w:val="bottom"/>
          </w:tcPr>
          <w:p w14:paraId="5E3B912D" w14:textId="77777777" w:rsidR="00DA034B" w:rsidRPr="00894657" w:rsidRDefault="00DA034B" w:rsidP="00B40FA0">
            <w:pPr>
              <w:suppressAutoHyphens w:val="0"/>
              <w:spacing w:before="40" w:after="40" w:line="220" w:lineRule="exact"/>
              <w:jc w:val="right"/>
              <w:rPr>
                <w:sz w:val="18"/>
              </w:rPr>
            </w:pPr>
            <w:r w:rsidRPr="00894657">
              <w:rPr>
                <w:sz w:val="18"/>
              </w:rPr>
              <w:t>0,906</w:t>
            </w:r>
          </w:p>
        </w:tc>
        <w:tc>
          <w:tcPr>
            <w:tcW w:w="1748" w:type="dxa"/>
            <w:shd w:val="clear" w:color="auto" w:fill="auto"/>
            <w:noWrap/>
            <w:vAlign w:val="bottom"/>
          </w:tcPr>
          <w:p w14:paraId="2E3D5E84" w14:textId="77777777" w:rsidR="00DA034B" w:rsidRPr="00894657" w:rsidRDefault="00DA034B" w:rsidP="00B40FA0">
            <w:pPr>
              <w:suppressAutoHyphens w:val="0"/>
              <w:spacing w:before="40" w:after="40" w:line="220" w:lineRule="exact"/>
              <w:jc w:val="right"/>
              <w:rPr>
                <w:sz w:val="18"/>
              </w:rPr>
            </w:pPr>
            <w:r w:rsidRPr="00894657">
              <w:rPr>
                <w:sz w:val="18"/>
              </w:rPr>
              <w:t>2,932</w:t>
            </w:r>
          </w:p>
        </w:tc>
        <w:tc>
          <w:tcPr>
            <w:tcW w:w="1748" w:type="dxa"/>
            <w:shd w:val="clear" w:color="auto" w:fill="auto"/>
            <w:vAlign w:val="bottom"/>
          </w:tcPr>
          <w:p w14:paraId="035FA867" w14:textId="77777777" w:rsidR="00DA034B" w:rsidRPr="00894657" w:rsidRDefault="00DA034B" w:rsidP="00B40FA0">
            <w:pPr>
              <w:suppressAutoHyphens w:val="0"/>
              <w:spacing w:before="40" w:after="40" w:line="220" w:lineRule="exact"/>
              <w:jc w:val="right"/>
              <w:rPr>
                <w:sz w:val="18"/>
              </w:rPr>
            </w:pPr>
          </w:p>
        </w:tc>
      </w:tr>
      <w:tr w:rsidR="00DA034B" w:rsidRPr="00894657" w14:paraId="7002FA6D" w14:textId="77777777" w:rsidTr="0022679B">
        <w:tc>
          <w:tcPr>
            <w:tcW w:w="2127" w:type="dxa"/>
            <w:shd w:val="clear" w:color="auto" w:fill="auto"/>
            <w:noWrap/>
            <w:hideMark/>
          </w:tcPr>
          <w:p w14:paraId="3CBEFA13" w14:textId="77777777" w:rsidR="00DA034B" w:rsidRPr="00894657" w:rsidRDefault="00DA034B" w:rsidP="00B40FA0">
            <w:pPr>
              <w:suppressAutoHyphens w:val="0"/>
              <w:spacing w:before="40" w:after="40" w:line="220" w:lineRule="exact"/>
              <w:rPr>
                <w:sz w:val="18"/>
              </w:rPr>
            </w:pPr>
            <w:r w:rsidRPr="00894657">
              <w:rPr>
                <w:sz w:val="18"/>
              </w:rPr>
              <w:t>Suisse</w:t>
            </w:r>
          </w:p>
        </w:tc>
        <w:tc>
          <w:tcPr>
            <w:tcW w:w="1747" w:type="dxa"/>
            <w:shd w:val="clear" w:color="auto" w:fill="auto"/>
            <w:noWrap/>
            <w:vAlign w:val="bottom"/>
          </w:tcPr>
          <w:p w14:paraId="058C759C" w14:textId="77777777" w:rsidR="00DA034B" w:rsidRPr="00894657" w:rsidRDefault="00DA034B" w:rsidP="00B40FA0">
            <w:pPr>
              <w:suppressAutoHyphens w:val="0"/>
              <w:spacing w:before="40" w:after="40" w:line="220" w:lineRule="exact"/>
              <w:jc w:val="right"/>
              <w:rPr>
                <w:sz w:val="18"/>
              </w:rPr>
            </w:pPr>
            <w:r w:rsidRPr="00894657">
              <w:rPr>
                <w:sz w:val="18"/>
              </w:rPr>
              <w:t>1,151</w:t>
            </w:r>
          </w:p>
        </w:tc>
        <w:tc>
          <w:tcPr>
            <w:tcW w:w="1748" w:type="dxa"/>
            <w:shd w:val="clear" w:color="auto" w:fill="auto"/>
            <w:noWrap/>
            <w:vAlign w:val="bottom"/>
          </w:tcPr>
          <w:p w14:paraId="788898D1" w14:textId="77777777" w:rsidR="00DA034B" w:rsidRPr="00894657" w:rsidRDefault="00DA034B" w:rsidP="00B40FA0">
            <w:pPr>
              <w:suppressAutoHyphens w:val="0"/>
              <w:spacing w:before="40" w:after="40" w:line="220" w:lineRule="exact"/>
              <w:jc w:val="right"/>
              <w:rPr>
                <w:sz w:val="18"/>
              </w:rPr>
            </w:pPr>
            <w:r w:rsidRPr="00894657">
              <w:rPr>
                <w:sz w:val="18"/>
              </w:rPr>
              <w:t>3,725</w:t>
            </w:r>
          </w:p>
        </w:tc>
        <w:tc>
          <w:tcPr>
            <w:tcW w:w="1748" w:type="dxa"/>
            <w:shd w:val="clear" w:color="auto" w:fill="auto"/>
            <w:vAlign w:val="bottom"/>
          </w:tcPr>
          <w:p w14:paraId="2B5B7E24" w14:textId="77777777" w:rsidR="00DA034B" w:rsidRPr="00894657" w:rsidRDefault="00DA034B" w:rsidP="00B40FA0">
            <w:pPr>
              <w:suppressAutoHyphens w:val="0"/>
              <w:spacing w:before="40" w:after="40" w:line="220" w:lineRule="exact"/>
              <w:jc w:val="right"/>
              <w:rPr>
                <w:sz w:val="18"/>
              </w:rPr>
            </w:pPr>
          </w:p>
        </w:tc>
      </w:tr>
      <w:tr w:rsidR="00DA034B" w:rsidRPr="00894657" w14:paraId="392FDFCF" w14:textId="77777777" w:rsidTr="0022679B">
        <w:tc>
          <w:tcPr>
            <w:tcW w:w="2127" w:type="dxa"/>
            <w:shd w:val="clear" w:color="auto" w:fill="auto"/>
            <w:noWrap/>
            <w:hideMark/>
          </w:tcPr>
          <w:p w14:paraId="3D4E0F26" w14:textId="77777777" w:rsidR="00DA034B" w:rsidRPr="00894657" w:rsidRDefault="00DA034B" w:rsidP="00B40FA0">
            <w:pPr>
              <w:suppressAutoHyphens w:val="0"/>
              <w:spacing w:before="40" w:after="40" w:line="220" w:lineRule="exact"/>
              <w:rPr>
                <w:sz w:val="18"/>
              </w:rPr>
            </w:pPr>
            <w:r w:rsidRPr="00894657">
              <w:rPr>
                <w:sz w:val="18"/>
              </w:rPr>
              <w:t>Tadjikistan</w:t>
            </w:r>
          </w:p>
        </w:tc>
        <w:tc>
          <w:tcPr>
            <w:tcW w:w="1747" w:type="dxa"/>
            <w:shd w:val="clear" w:color="auto" w:fill="auto"/>
            <w:noWrap/>
            <w:vAlign w:val="bottom"/>
          </w:tcPr>
          <w:p w14:paraId="76A7FFD7" w14:textId="77777777" w:rsidR="00DA034B" w:rsidRPr="00894657" w:rsidRDefault="00DA034B" w:rsidP="00B40FA0">
            <w:pPr>
              <w:suppressAutoHyphens w:val="0"/>
              <w:spacing w:before="40" w:after="40" w:line="220" w:lineRule="exact"/>
              <w:jc w:val="right"/>
              <w:rPr>
                <w:sz w:val="18"/>
              </w:rPr>
            </w:pPr>
            <w:r w:rsidRPr="00894657">
              <w:rPr>
                <w:sz w:val="18"/>
              </w:rPr>
              <w:t>0,004</w:t>
            </w:r>
          </w:p>
        </w:tc>
        <w:tc>
          <w:tcPr>
            <w:tcW w:w="1748" w:type="dxa"/>
            <w:shd w:val="clear" w:color="auto" w:fill="auto"/>
            <w:noWrap/>
            <w:vAlign w:val="bottom"/>
          </w:tcPr>
          <w:p w14:paraId="260ECF8C" w14:textId="77777777" w:rsidR="00DA034B" w:rsidRPr="00894657" w:rsidRDefault="00DA034B" w:rsidP="00B40FA0">
            <w:pPr>
              <w:suppressAutoHyphens w:val="0"/>
              <w:spacing w:before="40" w:after="40" w:line="220" w:lineRule="exact"/>
              <w:jc w:val="right"/>
              <w:rPr>
                <w:sz w:val="18"/>
              </w:rPr>
            </w:pPr>
            <w:r w:rsidRPr="00894657">
              <w:rPr>
                <w:sz w:val="18"/>
              </w:rPr>
              <w:t>0,013</w:t>
            </w:r>
          </w:p>
        </w:tc>
        <w:tc>
          <w:tcPr>
            <w:tcW w:w="1748" w:type="dxa"/>
            <w:shd w:val="clear" w:color="auto" w:fill="auto"/>
            <w:vAlign w:val="bottom"/>
          </w:tcPr>
          <w:p w14:paraId="213CEBD4" w14:textId="77777777" w:rsidR="00DA034B" w:rsidRPr="00894657" w:rsidRDefault="00DA034B" w:rsidP="00B40FA0">
            <w:pPr>
              <w:suppressAutoHyphens w:val="0"/>
              <w:spacing w:before="40" w:after="40" w:line="220" w:lineRule="exact"/>
              <w:jc w:val="right"/>
              <w:rPr>
                <w:sz w:val="18"/>
              </w:rPr>
            </w:pPr>
          </w:p>
        </w:tc>
      </w:tr>
      <w:tr w:rsidR="00DA034B" w:rsidRPr="00894657" w14:paraId="4AE1FF45" w14:textId="77777777" w:rsidTr="0022679B">
        <w:tc>
          <w:tcPr>
            <w:tcW w:w="2127" w:type="dxa"/>
            <w:shd w:val="clear" w:color="auto" w:fill="auto"/>
            <w:noWrap/>
            <w:hideMark/>
          </w:tcPr>
          <w:p w14:paraId="7CA9E016" w14:textId="77777777" w:rsidR="00DA034B" w:rsidRPr="00894657" w:rsidRDefault="00DA034B" w:rsidP="00B40FA0">
            <w:pPr>
              <w:suppressAutoHyphens w:val="0"/>
              <w:spacing w:before="40" w:after="40" w:line="220" w:lineRule="exact"/>
              <w:rPr>
                <w:sz w:val="18"/>
              </w:rPr>
            </w:pPr>
            <w:r w:rsidRPr="00894657">
              <w:rPr>
                <w:sz w:val="18"/>
              </w:rPr>
              <w:t>Tchéquie</w:t>
            </w:r>
          </w:p>
        </w:tc>
        <w:tc>
          <w:tcPr>
            <w:tcW w:w="1747" w:type="dxa"/>
            <w:shd w:val="clear" w:color="auto" w:fill="auto"/>
            <w:noWrap/>
            <w:vAlign w:val="bottom"/>
            <w:hideMark/>
          </w:tcPr>
          <w:p w14:paraId="1C06AEAB" w14:textId="77777777" w:rsidR="00DA034B" w:rsidRPr="00894657" w:rsidRDefault="00DA034B" w:rsidP="00B40FA0">
            <w:pPr>
              <w:suppressAutoHyphens w:val="0"/>
              <w:spacing w:before="40" w:after="40" w:line="220" w:lineRule="exact"/>
              <w:jc w:val="right"/>
              <w:rPr>
                <w:sz w:val="18"/>
              </w:rPr>
            </w:pPr>
            <w:r w:rsidRPr="00894657">
              <w:rPr>
                <w:sz w:val="18"/>
              </w:rPr>
              <w:t>0,311</w:t>
            </w:r>
          </w:p>
        </w:tc>
        <w:tc>
          <w:tcPr>
            <w:tcW w:w="1748" w:type="dxa"/>
            <w:shd w:val="clear" w:color="auto" w:fill="auto"/>
            <w:noWrap/>
            <w:vAlign w:val="bottom"/>
          </w:tcPr>
          <w:p w14:paraId="4767A791" w14:textId="77777777" w:rsidR="00DA034B" w:rsidRPr="00894657" w:rsidRDefault="00DA034B" w:rsidP="00B40FA0">
            <w:pPr>
              <w:suppressAutoHyphens w:val="0"/>
              <w:spacing w:before="40" w:after="40" w:line="220" w:lineRule="exact"/>
              <w:jc w:val="right"/>
              <w:rPr>
                <w:sz w:val="18"/>
              </w:rPr>
            </w:pPr>
            <w:r w:rsidRPr="00894657">
              <w:rPr>
                <w:sz w:val="18"/>
              </w:rPr>
              <w:t>1,006</w:t>
            </w:r>
          </w:p>
        </w:tc>
        <w:tc>
          <w:tcPr>
            <w:tcW w:w="1748" w:type="dxa"/>
            <w:shd w:val="clear" w:color="auto" w:fill="auto"/>
            <w:vAlign w:val="bottom"/>
          </w:tcPr>
          <w:p w14:paraId="6E945085" w14:textId="77777777" w:rsidR="00DA034B" w:rsidRPr="00894657" w:rsidRDefault="00DA034B" w:rsidP="00B40FA0">
            <w:pPr>
              <w:suppressAutoHyphens w:val="0"/>
              <w:spacing w:before="40" w:after="40" w:line="220" w:lineRule="exact"/>
              <w:jc w:val="right"/>
              <w:rPr>
                <w:sz w:val="18"/>
              </w:rPr>
            </w:pPr>
          </w:p>
        </w:tc>
      </w:tr>
      <w:tr w:rsidR="00DA034B" w:rsidRPr="00894657" w14:paraId="4583B6B7" w14:textId="77777777" w:rsidTr="0022679B">
        <w:tc>
          <w:tcPr>
            <w:tcW w:w="2127" w:type="dxa"/>
            <w:shd w:val="clear" w:color="auto" w:fill="auto"/>
            <w:noWrap/>
          </w:tcPr>
          <w:p w14:paraId="5B0AC4C5" w14:textId="77777777" w:rsidR="00DA034B" w:rsidRPr="00894657" w:rsidRDefault="00DA034B" w:rsidP="00B40FA0">
            <w:pPr>
              <w:suppressAutoHyphens w:val="0"/>
              <w:spacing w:before="40" w:after="40" w:line="220" w:lineRule="exact"/>
              <w:rPr>
                <w:sz w:val="18"/>
              </w:rPr>
            </w:pPr>
            <w:r w:rsidRPr="00894657">
              <w:rPr>
                <w:sz w:val="18"/>
              </w:rPr>
              <w:t>Turkménistan</w:t>
            </w:r>
          </w:p>
        </w:tc>
        <w:tc>
          <w:tcPr>
            <w:tcW w:w="1747" w:type="dxa"/>
            <w:shd w:val="clear" w:color="auto" w:fill="auto"/>
            <w:noWrap/>
            <w:vAlign w:val="bottom"/>
          </w:tcPr>
          <w:p w14:paraId="472B9714" w14:textId="77777777" w:rsidR="00DA034B" w:rsidRPr="00894657" w:rsidRDefault="00DA034B" w:rsidP="00B40FA0">
            <w:pPr>
              <w:suppressAutoHyphens w:val="0"/>
              <w:spacing w:before="40" w:after="40" w:line="220" w:lineRule="exact"/>
              <w:jc w:val="right"/>
              <w:rPr>
                <w:sz w:val="18"/>
              </w:rPr>
            </w:pPr>
            <w:r w:rsidRPr="00894657">
              <w:rPr>
                <w:sz w:val="18"/>
              </w:rPr>
              <w:t>0,033</w:t>
            </w:r>
          </w:p>
        </w:tc>
        <w:tc>
          <w:tcPr>
            <w:tcW w:w="1748" w:type="dxa"/>
            <w:shd w:val="clear" w:color="auto" w:fill="auto"/>
            <w:noWrap/>
            <w:vAlign w:val="bottom"/>
          </w:tcPr>
          <w:p w14:paraId="6E4FA81D" w14:textId="77777777" w:rsidR="00DA034B" w:rsidRPr="00894657" w:rsidRDefault="00DA034B" w:rsidP="00B40FA0">
            <w:pPr>
              <w:suppressAutoHyphens w:val="0"/>
              <w:spacing w:before="40" w:after="40" w:line="220" w:lineRule="exact"/>
              <w:jc w:val="right"/>
              <w:rPr>
                <w:sz w:val="18"/>
              </w:rPr>
            </w:pPr>
            <w:r w:rsidRPr="00894657">
              <w:rPr>
                <w:sz w:val="18"/>
              </w:rPr>
              <w:t>0,107</w:t>
            </w:r>
          </w:p>
        </w:tc>
        <w:tc>
          <w:tcPr>
            <w:tcW w:w="1748" w:type="dxa"/>
            <w:shd w:val="clear" w:color="auto" w:fill="auto"/>
            <w:vAlign w:val="bottom"/>
          </w:tcPr>
          <w:p w14:paraId="00F1562D" w14:textId="77777777" w:rsidR="00DA034B" w:rsidRPr="00894657" w:rsidRDefault="00DA034B" w:rsidP="00B40FA0">
            <w:pPr>
              <w:suppressAutoHyphens w:val="0"/>
              <w:spacing w:before="40" w:after="40" w:line="220" w:lineRule="exact"/>
              <w:jc w:val="right"/>
              <w:rPr>
                <w:sz w:val="18"/>
              </w:rPr>
            </w:pPr>
          </w:p>
        </w:tc>
      </w:tr>
      <w:tr w:rsidR="00DA034B" w:rsidRPr="00894657" w14:paraId="7F2AA9C2" w14:textId="77777777" w:rsidTr="0022679B">
        <w:tc>
          <w:tcPr>
            <w:tcW w:w="2127" w:type="dxa"/>
            <w:shd w:val="clear" w:color="auto" w:fill="auto"/>
            <w:noWrap/>
            <w:hideMark/>
          </w:tcPr>
          <w:p w14:paraId="6905776D" w14:textId="77777777" w:rsidR="00DA034B" w:rsidRPr="00894657" w:rsidRDefault="00DA034B" w:rsidP="00B40FA0">
            <w:pPr>
              <w:suppressAutoHyphens w:val="0"/>
              <w:spacing w:before="40" w:after="40" w:line="220" w:lineRule="exact"/>
              <w:rPr>
                <w:sz w:val="18"/>
              </w:rPr>
            </w:pPr>
            <w:r w:rsidRPr="00894657">
              <w:rPr>
                <w:sz w:val="18"/>
              </w:rPr>
              <w:t>Ukraine</w:t>
            </w:r>
          </w:p>
        </w:tc>
        <w:tc>
          <w:tcPr>
            <w:tcW w:w="1747" w:type="dxa"/>
            <w:shd w:val="clear" w:color="auto" w:fill="auto"/>
            <w:noWrap/>
            <w:vAlign w:val="bottom"/>
          </w:tcPr>
          <w:p w14:paraId="11C379F3" w14:textId="77777777" w:rsidR="00DA034B" w:rsidRPr="00894657" w:rsidRDefault="00DA034B" w:rsidP="00B40FA0">
            <w:pPr>
              <w:suppressAutoHyphens w:val="0"/>
              <w:spacing w:before="40" w:after="40" w:line="220" w:lineRule="exact"/>
              <w:jc w:val="right"/>
              <w:rPr>
                <w:sz w:val="18"/>
              </w:rPr>
            </w:pPr>
            <w:r w:rsidRPr="00894657">
              <w:rPr>
                <w:sz w:val="18"/>
              </w:rPr>
              <w:t>0,057</w:t>
            </w:r>
          </w:p>
        </w:tc>
        <w:tc>
          <w:tcPr>
            <w:tcW w:w="1748" w:type="dxa"/>
            <w:shd w:val="clear" w:color="auto" w:fill="auto"/>
            <w:noWrap/>
            <w:vAlign w:val="bottom"/>
          </w:tcPr>
          <w:p w14:paraId="132A2198" w14:textId="77777777" w:rsidR="00DA034B" w:rsidRPr="00894657" w:rsidRDefault="00DA034B" w:rsidP="00B40FA0">
            <w:pPr>
              <w:suppressAutoHyphens w:val="0"/>
              <w:spacing w:before="40" w:after="40" w:line="220" w:lineRule="exact"/>
              <w:jc w:val="right"/>
              <w:rPr>
                <w:sz w:val="18"/>
              </w:rPr>
            </w:pPr>
            <w:r w:rsidRPr="00894657">
              <w:rPr>
                <w:sz w:val="18"/>
              </w:rPr>
              <w:t>0,184</w:t>
            </w:r>
          </w:p>
        </w:tc>
        <w:tc>
          <w:tcPr>
            <w:tcW w:w="1748" w:type="dxa"/>
            <w:shd w:val="clear" w:color="auto" w:fill="auto"/>
            <w:vAlign w:val="bottom"/>
          </w:tcPr>
          <w:p w14:paraId="52576E2E" w14:textId="77777777" w:rsidR="00DA034B" w:rsidRPr="00894657" w:rsidRDefault="00DA034B" w:rsidP="00B40FA0">
            <w:pPr>
              <w:suppressAutoHyphens w:val="0"/>
              <w:spacing w:before="40" w:after="40" w:line="220" w:lineRule="exact"/>
              <w:jc w:val="right"/>
              <w:rPr>
                <w:sz w:val="18"/>
              </w:rPr>
            </w:pPr>
          </w:p>
        </w:tc>
      </w:tr>
      <w:tr w:rsidR="00B40FA0" w:rsidRPr="00894657" w14:paraId="4665A56B" w14:textId="77777777" w:rsidTr="0022679B">
        <w:tc>
          <w:tcPr>
            <w:tcW w:w="2127" w:type="dxa"/>
            <w:tcBorders>
              <w:bottom w:val="single" w:sz="4" w:space="0" w:color="auto"/>
            </w:tcBorders>
            <w:shd w:val="clear" w:color="auto" w:fill="auto"/>
            <w:noWrap/>
            <w:hideMark/>
          </w:tcPr>
          <w:p w14:paraId="22BF6985" w14:textId="77777777" w:rsidR="00DA034B" w:rsidRPr="00894657" w:rsidRDefault="00DA034B" w:rsidP="00B40FA0">
            <w:pPr>
              <w:suppressAutoHyphens w:val="0"/>
              <w:spacing w:before="40" w:after="40" w:line="220" w:lineRule="exact"/>
              <w:rPr>
                <w:sz w:val="18"/>
              </w:rPr>
            </w:pPr>
            <w:r w:rsidRPr="00894657">
              <w:rPr>
                <w:sz w:val="18"/>
              </w:rPr>
              <w:t>Union européenne</w:t>
            </w:r>
            <w:r w:rsidRPr="00894657">
              <w:rPr>
                <w:i/>
                <w:iCs/>
                <w:sz w:val="18"/>
                <w:vertAlign w:val="superscript"/>
              </w:rPr>
              <w:t>c, d</w:t>
            </w:r>
          </w:p>
        </w:tc>
        <w:tc>
          <w:tcPr>
            <w:tcW w:w="1747" w:type="dxa"/>
            <w:tcBorders>
              <w:bottom w:val="single" w:sz="4" w:space="0" w:color="auto"/>
            </w:tcBorders>
            <w:shd w:val="clear" w:color="auto" w:fill="auto"/>
            <w:noWrap/>
            <w:vAlign w:val="bottom"/>
            <w:hideMark/>
          </w:tcPr>
          <w:p w14:paraId="243FD87A" w14:textId="77777777" w:rsidR="00DA034B" w:rsidRPr="00894657" w:rsidRDefault="00DA034B" w:rsidP="00B40FA0">
            <w:pPr>
              <w:suppressAutoHyphens w:val="0"/>
              <w:spacing w:before="40" w:after="40" w:line="220" w:lineRule="exact"/>
              <w:jc w:val="right"/>
              <w:rPr>
                <w:sz w:val="18"/>
              </w:rPr>
            </w:pPr>
            <w:r w:rsidRPr="00894657">
              <w:rPr>
                <w:sz w:val="18"/>
              </w:rPr>
              <w:t>-</w:t>
            </w:r>
          </w:p>
        </w:tc>
        <w:tc>
          <w:tcPr>
            <w:tcW w:w="1748" w:type="dxa"/>
            <w:tcBorders>
              <w:bottom w:val="single" w:sz="4" w:space="0" w:color="auto"/>
            </w:tcBorders>
            <w:shd w:val="clear" w:color="auto" w:fill="auto"/>
            <w:noWrap/>
            <w:vAlign w:val="bottom"/>
            <w:hideMark/>
          </w:tcPr>
          <w:p w14:paraId="40608CE6" w14:textId="77777777" w:rsidR="00DA034B" w:rsidRPr="00894657" w:rsidRDefault="00DA034B" w:rsidP="00B40FA0">
            <w:pPr>
              <w:suppressAutoHyphens w:val="0"/>
              <w:spacing w:before="40" w:after="40" w:line="220" w:lineRule="exact"/>
              <w:jc w:val="right"/>
              <w:rPr>
                <w:sz w:val="18"/>
              </w:rPr>
            </w:pPr>
            <w:r w:rsidRPr="00894657">
              <w:rPr>
                <w:sz w:val="18"/>
              </w:rPr>
              <w:t>-</w:t>
            </w:r>
          </w:p>
        </w:tc>
        <w:tc>
          <w:tcPr>
            <w:tcW w:w="1748" w:type="dxa"/>
            <w:tcBorders>
              <w:bottom w:val="single" w:sz="4" w:space="0" w:color="auto"/>
            </w:tcBorders>
            <w:shd w:val="clear" w:color="auto" w:fill="auto"/>
            <w:vAlign w:val="bottom"/>
          </w:tcPr>
          <w:p w14:paraId="530A1F75" w14:textId="77777777" w:rsidR="00DA034B" w:rsidRPr="00894657" w:rsidRDefault="00DA034B" w:rsidP="00B40FA0">
            <w:pPr>
              <w:suppressAutoHyphens w:val="0"/>
              <w:spacing w:before="40" w:after="40" w:line="220" w:lineRule="exact"/>
              <w:jc w:val="right"/>
              <w:rPr>
                <w:sz w:val="18"/>
              </w:rPr>
            </w:pPr>
          </w:p>
        </w:tc>
      </w:tr>
      <w:tr w:rsidR="00DA034B" w:rsidRPr="00B40FA0" w14:paraId="3118EA62" w14:textId="77777777" w:rsidTr="0022679B">
        <w:tc>
          <w:tcPr>
            <w:tcW w:w="2127" w:type="dxa"/>
            <w:tcBorders>
              <w:top w:val="single" w:sz="4" w:space="0" w:color="auto"/>
              <w:bottom w:val="single" w:sz="12" w:space="0" w:color="auto"/>
            </w:tcBorders>
            <w:shd w:val="clear" w:color="auto" w:fill="auto"/>
            <w:noWrap/>
            <w:hideMark/>
          </w:tcPr>
          <w:p w14:paraId="4487D283" w14:textId="77777777" w:rsidR="00DA034B" w:rsidRPr="00894657" w:rsidRDefault="00DA034B" w:rsidP="00B40FA0">
            <w:pPr>
              <w:suppressAutoHyphens w:val="0"/>
              <w:spacing w:before="80" w:after="80" w:line="220" w:lineRule="exact"/>
              <w:ind w:left="283"/>
              <w:rPr>
                <w:b/>
                <w:sz w:val="18"/>
              </w:rPr>
            </w:pPr>
            <w:r w:rsidRPr="00894657">
              <w:rPr>
                <w:b/>
                <w:bCs/>
                <w:sz w:val="18"/>
              </w:rPr>
              <w:t>Total</w:t>
            </w:r>
          </w:p>
        </w:tc>
        <w:tc>
          <w:tcPr>
            <w:tcW w:w="1747" w:type="dxa"/>
            <w:tcBorders>
              <w:top w:val="single" w:sz="4" w:space="0" w:color="auto"/>
              <w:bottom w:val="single" w:sz="12" w:space="0" w:color="auto"/>
            </w:tcBorders>
            <w:shd w:val="clear" w:color="auto" w:fill="auto"/>
            <w:noWrap/>
            <w:vAlign w:val="bottom"/>
          </w:tcPr>
          <w:p w14:paraId="29A3C0DC" w14:textId="77777777" w:rsidR="00DA034B" w:rsidRPr="00894657" w:rsidRDefault="00DA034B" w:rsidP="00B40FA0">
            <w:pPr>
              <w:suppressAutoHyphens w:val="0"/>
              <w:spacing w:before="80" w:after="80" w:line="220" w:lineRule="exact"/>
              <w:jc w:val="right"/>
              <w:rPr>
                <w:b/>
                <w:sz w:val="18"/>
              </w:rPr>
            </w:pPr>
            <w:r w:rsidRPr="00894657">
              <w:rPr>
                <w:b/>
                <w:sz w:val="18"/>
              </w:rPr>
              <w:t>30,907</w:t>
            </w:r>
          </w:p>
        </w:tc>
        <w:tc>
          <w:tcPr>
            <w:tcW w:w="1748" w:type="dxa"/>
            <w:tcBorders>
              <w:top w:val="single" w:sz="4" w:space="0" w:color="auto"/>
              <w:bottom w:val="single" w:sz="12" w:space="0" w:color="auto"/>
            </w:tcBorders>
            <w:shd w:val="clear" w:color="auto" w:fill="auto"/>
            <w:noWrap/>
            <w:vAlign w:val="bottom"/>
          </w:tcPr>
          <w:p w14:paraId="0A2A8686" w14:textId="77777777" w:rsidR="00DA034B" w:rsidRPr="00B40FA0" w:rsidRDefault="00DA034B" w:rsidP="00B40FA0">
            <w:pPr>
              <w:suppressAutoHyphens w:val="0"/>
              <w:spacing w:before="80" w:after="80" w:line="220" w:lineRule="exact"/>
              <w:jc w:val="right"/>
              <w:rPr>
                <w:b/>
                <w:sz w:val="18"/>
              </w:rPr>
            </w:pPr>
            <w:r w:rsidRPr="00894657">
              <w:rPr>
                <w:b/>
                <w:sz w:val="18"/>
              </w:rPr>
              <w:t>100,0</w:t>
            </w:r>
          </w:p>
        </w:tc>
        <w:tc>
          <w:tcPr>
            <w:tcW w:w="1748" w:type="dxa"/>
            <w:tcBorders>
              <w:top w:val="single" w:sz="4" w:space="0" w:color="auto"/>
              <w:bottom w:val="single" w:sz="12" w:space="0" w:color="auto"/>
            </w:tcBorders>
            <w:shd w:val="clear" w:color="auto" w:fill="auto"/>
            <w:vAlign w:val="bottom"/>
          </w:tcPr>
          <w:p w14:paraId="1C778AEA" w14:textId="77777777" w:rsidR="00DA034B" w:rsidRPr="00B40FA0" w:rsidRDefault="00DA034B" w:rsidP="00B40FA0">
            <w:pPr>
              <w:suppressAutoHyphens w:val="0"/>
              <w:spacing w:before="80" w:after="80" w:line="220" w:lineRule="exact"/>
              <w:jc w:val="right"/>
              <w:rPr>
                <w:b/>
                <w:sz w:val="18"/>
              </w:rPr>
            </w:pPr>
          </w:p>
        </w:tc>
      </w:tr>
    </w:tbl>
    <w:p w14:paraId="23E46DFF" w14:textId="6DD028F0" w:rsidR="00DA034B" w:rsidRPr="00C77F4D" w:rsidRDefault="00DA034B" w:rsidP="00894657">
      <w:pPr>
        <w:pStyle w:val="Notedefin"/>
        <w:widowControl w:val="0"/>
        <w:tabs>
          <w:tab w:val="clear" w:pos="1021"/>
          <w:tab w:val="left" w:pos="1600"/>
        </w:tabs>
        <w:spacing w:before="120"/>
        <w:ind w:firstLine="170"/>
        <w:rPr>
          <w:szCs w:val="18"/>
        </w:rPr>
      </w:pPr>
      <w:r w:rsidRPr="00C77F4D">
        <w:rPr>
          <w:i/>
          <w:szCs w:val="18"/>
          <w:vertAlign w:val="superscript"/>
        </w:rPr>
        <w:t>a</w:t>
      </w:r>
      <w:r w:rsidRPr="00C77F4D">
        <w:rPr>
          <w:szCs w:val="18"/>
        </w:rPr>
        <w:t xml:space="preserve"> </w:t>
      </w:r>
      <w:r w:rsidR="0022679B" w:rsidRPr="00C77F4D">
        <w:rPr>
          <w:szCs w:val="18"/>
        </w:rPr>
        <w:t xml:space="preserve"> </w:t>
      </w:r>
      <w:r w:rsidRPr="00C77F4D">
        <w:rPr>
          <w:szCs w:val="18"/>
        </w:rPr>
        <w:t>Les chiffres de la colonne</w:t>
      </w:r>
      <w:r w:rsidR="0022679B" w:rsidRPr="00C77F4D">
        <w:rPr>
          <w:szCs w:val="18"/>
        </w:rPr>
        <w:t> </w:t>
      </w:r>
      <w:r w:rsidRPr="00C77F4D">
        <w:rPr>
          <w:szCs w:val="18"/>
        </w:rPr>
        <w:t>B sont tirés du barème des quotes-parts figurant dans la résolution 73/271 de l’Assemblée générale, adoptée le 22</w:t>
      </w:r>
      <w:r w:rsidR="0022679B" w:rsidRPr="00C77F4D">
        <w:rPr>
          <w:szCs w:val="18"/>
        </w:rPr>
        <w:t> </w:t>
      </w:r>
      <w:r w:rsidRPr="00C77F4D">
        <w:rPr>
          <w:szCs w:val="18"/>
        </w:rPr>
        <w:t>décembre 2018.</w:t>
      </w:r>
    </w:p>
    <w:p w14:paraId="0D5C928D" w14:textId="33E6DA86" w:rsidR="00DA034B" w:rsidRPr="00C77F4D" w:rsidRDefault="00DA034B" w:rsidP="00C77F4D">
      <w:pPr>
        <w:pStyle w:val="Notedefin"/>
        <w:widowControl w:val="0"/>
        <w:tabs>
          <w:tab w:val="clear" w:pos="1021"/>
          <w:tab w:val="left" w:pos="1600"/>
        </w:tabs>
        <w:ind w:firstLine="170"/>
        <w:rPr>
          <w:rFonts w:asciiTheme="majorBidi" w:hAnsiTheme="majorBidi" w:cstheme="majorBidi"/>
          <w:i/>
          <w:szCs w:val="18"/>
        </w:rPr>
      </w:pPr>
      <w:r w:rsidRPr="00C77F4D">
        <w:rPr>
          <w:i/>
          <w:szCs w:val="18"/>
          <w:vertAlign w:val="superscript"/>
        </w:rPr>
        <w:t>b</w:t>
      </w:r>
      <w:r w:rsidRPr="00C77F4D">
        <w:rPr>
          <w:szCs w:val="18"/>
        </w:rPr>
        <w:t xml:space="preserve"> </w:t>
      </w:r>
      <w:r w:rsidR="0022679B" w:rsidRPr="00C77F4D">
        <w:rPr>
          <w:szCs w:val="18"/>
        </w:rPr>
        <w:t xml:space="preserve"> </w:t>
      </w:r>
      <w:r w:rsidRPr="00C77F4D">
        <w:rPr>
          <w:szCs w:val="18"/>
        </w:rPr>
        <w:t>Les pourcentages indiqués dans le barème des quotes-parts de l’ONU ont été ajustés pour la Convention d’Aarhus en utilisant un multiplicateur de 3,236 afin de parvenir à un total de 100 %.</w:t>
      </w:r>
    </w:p>
    <w:p w14:paraId="336EE691" w14:textId="1EB177D4" w:rsidR="00DA034B" w:rsidRPr="00C77F4D" w:rsidRDefault="00DA034B" w:rsidP="00C77F4D">
      <w:pPr>
        <w:pStyle w:val="Notedefin"/>
        <w:widowControl w:val="0"/>
        <w:tabs>
          <w:tab w:val="clear" w:pos="1021"/>
          <w:tab w:val="left" w:pos="1600"/>
        </w:tabs>
        <w:ind w:firstLine="170"/>
        <w:rPr>
          <w:szCs w:val="18"/>
        </w:rPr>
      </w:pPr>
      <w:r w:rsidRPr="00C77F4D">
        <w:rPr>
          <w:i/>
          <w:szCs w:val="18"/>
          <w:vertAlign w:val="superscript"/>
        </w:rPr>
        <w:t>c</w:t>
      </w:r>
      <w:r w:rsidRPr="00C77F4D">
        <w:rPr>
          <w:szCs w:val="18"/>
        </w:rPr>
        <w:t xml:space="preserve">  En fonction des dispositions de la note</w:t>
      </w:r>
      <w:r w:rsidR="00894657">
        <w:rPr>
          <w:szCs w:val="18"/>
        </w:rPr>
        <w:t> </w:t>
      </w:r>
      <w:r w:rsidRPr="00C77F4D">
        <w:rPr>
          <w:i/>
          <w:iCs/>
          <w:szCs w:val="18"/>
        </w:rPr>
        <w:t>d</w:t>
      </w:r>
      <w:r w:rsidRPr="00C77F4D">
        <w:rPr>
          <w:szCs w:val="18"/>
        </w:rPr>
        <w:t xml:space="preserve"> ci-après sur la contribution de l’Union européenne, on obtiendrait les chiffres de la colonne</w:t>
      </w:r>
      <w:r w:rsidR="00C77F4D">
        <w:rPr>
          <w:szCs w:val="18"/>
        </w:rPr>
        <w:t> </w:t>
      </w:r>
      <w:r w:rsidRPr="00C77F4D">
        <w:rPr>
          <w:szCs w:val="18"/>
        </w:rPr>
        <w:t>D en multipliant le pourcentage indiqué dans la colonne</w:t>
      </w:r>
      <w:r w:rsidR="00C77F4D">
        <w:rPr>
          <w:szCs w:val="18"/>
        </w:rPr>
        <w:t> </w:t>
      </w:r>
      <w:r w:rsidRPr="00C77F4D">
        <w:rPr>
          <w:szCs w:val="18"/>
        </w:rPr>
        <w:t>C par le</w:t>
      </w:r>
      <w:r w:rsidR="00894657">
        <w:rPr>
          <w:szCs w:val="18"/>
        </w:rPr>
        <w:t> </w:t>
      </w:r>
      <w:r w:rsidRPr="00C77F4D">
        <w:rPr>
          <w:szCs w:val="18"/>
        </w:rPr>
        <w:t>montant estimatif annuel des ressources nécessaires qui figure dans le projet de décision sur le programme de travail pour la période 2022-2025 (ECE/MP.PP/…). Le montant réel de la contribution à verser par chaque Partie et Signataire entre 2022 et 2025 sera établi le moment venu, sous réserve que soit approuvé le projet de décision relatif au programme de travail pour la période 2022-2025.</w:t>
      </w:r>
    </w:p>
    <w:p w14:paraId="16DBAFE1" w14:textId="51FA3AE4" w:rsidR="00DA034B" w:rsidRDefault="00DA034B" w:rsidP="00894657">
      <w:pPr>
        <w:pStyle w:val="Notedefin"/>
        <w:widowControl w:val="0"/>
        <w:tabs>
          <w:tab w:val="clear" w:pos="1021"/>
          <w:tab w:val="left" w:pos="1600"/>
        </w:tabs>
        <w:spacing w:after="240"/>
        <w:ind w:firstLine="170"/>
        <w:rPr>
          <w:szCs w:val="18"/>
        </w:rPr>
      </w:pPr>
      <w:r w:rsidRPr="00C77F4D">
        <w:rPr>
          <w:i/>
          <w:szCs w:val="18"/>
          <w:vertAlign w:val="superscript"/>
        </w:rPr>
        <w:t>d</w:t>
      </w:r>
      <w:r w:rsidRPr="00C77F4D">
        <w:rPr>
          <w:szCs w:val="18"/>
        </w:rPr>
        <w:t xml:space="preserve"> </w:t>
      </w:r>
      <w:r w:rsidR="0022679B" w:rsidRPr="00C77F4D">
        <w:rPr>
          <w:szCs w:val="18"/>
        </w:rPr>
        <w:t xml:space="preserve"> </w:t>
      </w:r>
      <w:r w:rsidRPr="00C77F4D">
        <w:rPr>
          <w:szCs w:val="18"/>
        </w:rPr>
        <w:t>Aucun pourcentage n’a été attribué à l’UE étant donné que celle-ci n’apparaît pas dans le barème des quotes-parts de l’ONU</w:t>
      </w:r>
      <w:r w:rsidR="00C77F4D">
        <w:rPr>
          <w:szCs w:val="18"/>
        </w:rPr>
        <w:t> </w:t>
      </w:r>
      <w:r w:rsidRPr="00C77F4D">
        <w:rPr>
          <w:szCs w:val="18"/>
        </w:rPr>
        <w:t>; il n’est donc pas possible de calculer sa contribution sur la même base que celle des autres Parties et Signataires (à savoir en fonction du barème adapté des quotes-parts de l’ONU). Conformément au paragraphe</w:t>
      </w:r>
      <w:r w:rsidR="00C77F4D">
        <w:rPr>
          <w:szCs w:val="18"/>
        </w:rPr>
        <w:t> </w:t>
      </w:r>
      <w:r w:rsidRPr="00C77F4D">
        <w:rPr>
          <w:szCs w:val="18"/>
        </w:rPr>
        <w:t>2 de la décision</w:t>
      </w:r>
      <w:r w:rsidR="00C77F4D">
        <w:rPr>
          <w:szCs w:val="18"/>
        </w:rPr>
        <w:t> </w:t>
      </w:r>
      <w:r w:rsidRPr="00C77F4D">
        <w:rPr>
          <w:szCs w:val="18"/>
        </w:rPr>
        <w:t>I/3 de la Réunion des Parties, la contribution de l’Union européenne aux activités à mener au titre du programme de travail qui ne sont pas couvertes par le budget ordinaire de l’Organisation des Nations</w:t>
      </w:r>
      <w:r w:rsidR="00C77F4D">
        <w:rPr>
          <w:szCs w:val="18"/>
        </w:rPr>
        <w:t> </w:t>
      </w:r>
      <w:r w:rsidRPr="00C77F4D">
        <w:rPr>
          <w:szCs w:val="18"/>
        </w:rPr>
        <w:t>Unies est de 2,5 % du total requis pour les activités de base. Cet engagement doit être approuvé chaque année par les autorités budgétaires de l’Union européenne.]</w:t>
      </w:r>
    </w:p>
    <w:p w14:paraId="07B22B0D" w14:textId="52637C17" w:rsidR="00C77F4D" w:rsidRPr="00C77F4D" w:rsidRDefault="00C77F4D" w:rsidP="00C77F4D">
      <w:pPr>
        <w:pStyle w:val="SingleTxtG"/>
        <w:spacing w:before="240" w:after="0"/>
        <w:jc w:val="center"/>
        <w:rPr>
          <w:u w:val="single"/>
        </w:rPr>
      </w:pPr>
      <w:r>
        <w:rPr>
          <w:u w:val="single"/>
        </w:rPr>
        <w:tab/>
      </w:r>
      <w:r>
        <w:rPr>
          <w:u w:val="single"/>
        </w:rPr>
        <w:tab/>
      </w:r>
      <w:r>
        <w:rPr>
          <w:u w:val="single"/>
        </w:rPr>
        <w:tab/>
      </w:r>
    </w:p>
    <w:sectPr w:rsidR="00C77F4D" w:rsidRPr="00C77F4D" w:rsidSect="00DA034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4AB4D" w14:textId="77777777" w:rsidR="00B40FA0" w:rsidRDefault="00B40FA0" w:rsidP="00F95C08">
      <w:pPr>
        <w:spacing w:line="240" w:lineRule="auto"/>
      </w:pPr>
    </w:p>
  </w:endnote>
  <w:endnote w:type="continuationSeparator" w:id="0">
    <w:p w14:paraId="71B8F2B9" w14:textId="77777777" w:rsidR="00B40FA0" w:rsidRPr="00AC3823" w:rsidRDefault="00B40FA0" w:rsidP="00AC3823">
      <w:pPr>
        <w:pStyle w:val="Pieddepage"/>
      </w:pPr>
    </w:p>
  </w:endnote>
  <w:endnote w:type="continuationNotice" w:id="1">
    <w:p w14:paraId="63D3EC34" w14:textId="77777777" w:rsidR="00B40FA0" w:rsidRDefault="00B40FA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54394" w14:textId="1FB06EAB" w:rsidR="00B40FA0" w:rsidRPr="00DA034B" w:rsidRDefault="00B40FA0" w:rsidP="00DA034B">
    <w:pPr>
      <w:pStyle w:val="Pieddepage"/>
      <w:tabs>
        <w:tab w:val="right" w:pos="9638"/>
      </w:tabs>
    </w:pPr>
    <w:r w:rsidRPr="00DA034B">
      <w:rPr>
        <w:b/>
        <w:sz w:val="18"/>
      </w:rPr>
      <w:fldChar w:fldCharType="begin"/>
    </w:r>
    <w:r w:rsidRPr="00DA034B">
      <w:rPr>
        <w:b/>
        <w:sz w:val="18"/>
      </w:rPr>
      <w:instrText xml:space="preserve"> PAGE  \* MERGEFORMAT </w:instrText>
    </w:r>
    <w:r w:rsidRPr="00DA034B">
      <w:rPr>
        <w:b/>
        <w:sz w:val="18"/>
      </w:rPr>
      <w:fldChar w:fldCharType="separate"/>
    </w:r>
    <w:r w:rsidRPr="00DA034B">
      <w:rPr>
        <w:b/>
        <w:noProof/>
        <w:sz w:val="18"/>
      </w:rPr>
      <w:t>2</w:t>
    </w:r>
    <w:r w:rsidRPr="00DA034B">
      <w:rPr>
        <w:b/>
        <w:sz w:val="18"/>
      </w:rPr>
      <w:fldChar w:fldCharType="end"/>
    </w:r>
    <w:r>
      <w:rPr>
        <w:b/>
        <w:sz w:val="18"/>
      </w:rPr>
      <w:tab/>
    </w:r>
    <w:r>
      <w:t>GE.21-10137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5F142" w14:textId="53C99BB6" w:rsidR="00B40FA0" w:rsidRPr="00DA034B" w:rsidRDefault="00B40FA0" w:rsidP="00DA034B">
    <w:pPr>
      <w:pStyle w:val="Pieddepage"/>
      <w:tabs>
        <w:tab w:val="right" w:pos="9638"/>
      </w:tabs>
      <w:rPr>
        <w:b/>
        <w:sz w:val="18"/>
      </w:rPr>
    </w:pPr>
    <w:r>
      <w:t>GE.21-10137</w:t>
    </w:r>
    <w:r>
      <w:tab/>
    </w:r>
    <w:r w:rsidRPr="00DA034B">
      <w:rPr>
        <w:b/>
        <w:sz w:val="18"/>
      </w:rPr>
      <w:fldChar w:fldCharType="begin"/>
    </w:r>
    <w:r w:rsidRPr="00DA034B">
      <w:rPr>
        <w:b/>
        <w:sz w:val="18"/>
      </w:rPr>
      <w:instrText xml:space="preserve"> PAGE  \* MERGEFORMAT </w:instrText>
    </w:r>
    <w:r w:rsidRPr="00DA034B">
      <w:rPr>
        <w:b/>
        <w:sz w:val="18"/>
      </w:rPr>
      <w:fldChar w:fldCharType="separate"/>
    </w:r>
    <w:r w:rsidRPr="00DA034B">
      <w:rPr>
        <w:b/>
        <w:noProof/>
        <w:sz w:val="18"/>
      </w:rPr>
      <w:t>3</w:t>
    </w:r>
    <w:r w:rsidRPr="00DA034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0A0E6" w14:textId="2DF87623" w:rsidR="00B40FA0" w:rsidRPr="00DA034B" w:rsidRDefault="00B40FA0" w:rsidP="00DA034B">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6F9B6173" wp14:editId="2E8E902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21-10137  (F)</w:t>
    </w:r>
    <w:r>
      <w:rPr>
        <w:noProof/>
        <w:sz w:val="20"/>
      </w:rPr>
      <w:drawing>
        <wp:anchor distT="0" distB="0" distL="114300" distR="114300" simplePos="0" relativeHeight="251660288" behindDoc="0" locked="0" layoutInCell="1" allowOverlap="1" wp14:anchorId="7184C877" wp14:editId="1113E6C9">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230721    260721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CE0C1" w14:textId="77777777" w:rsidR="00B40FA0" w:rsidRPr="00AC3823" w:rsidRDefault="00B40FA0" w:rsidP="00AC3823">
      <w:pPr>
        <w:pStyle w:val="Pieddepage"/>
        <w:tabs>
          <w:tab w:val="right" w:pos="2155"/>
        </w:tabs>
        <w:spacing w:after="80" w:line="240" w:lineRule="atLeast"/>
        <w:ind w:left="680"/>
        <w:rPr>
          <w:u w:val="single"/>
        </w:rPr>
      </w:pPr>
      <w:r>
        <w:rPr>
          <w:u w:val="single"/>
        </w:rPr>
        <w:tab/>
      </w:r>
    </w:p>
  </w:footnote>
  <w:footnote w:type="continuationSeparator" w:id="0">
    <w:p w14:paraId="34112B5E" w14:textId="77777777" w:rsidR="00B40FA0" w:rsidRPr="00AC3823" w:rsidRDefault="00B40FA0" w:rsidP="00AC3823">
      <w:pPr>
        <w:pStyle w:val="Pieddepage"/>
        <w:tabs>
          <w:tab w:val="right" w:pos="2155"/>
        </w:tabs>
        <w:spacing w:after="80" w:line="240" w:lineRule="atLeast"/>
        <w:ind w:left="680"/>
        <w:rPr>
          <w:u w:val="single"/>
        </w:rPr>
      </w:pPr>
      <w:r>
        <w:rPr>
          <w:u w:val="single"/>
        </w:rPr>
        <w:tab/>
      </w:r>
    </w:p>
  </w:footnote>
  <w:footnote w:type="continuationNotice" w:id="1">
    <w:p w14:paraId="168153A7" w14:textId="77777777" w:rsidR="00B40FA0" w:rsidRPr="00AC3823" w:rsidRDefault="00B40FA0">
      <w:pPr>
        <w:spacing w:line="240" w:lineRule="auto"/>
        <w:rPr>
          <w:sz w:val="2"/>
          <w:szCs w:val="2"/>
        </w:rPr>
      </w:pPr>
    </w:p>
  </w:footnote>
  <w:footnote w:id="2">
    <w:p w14:paraId="22304B8E" w14:textId="1D4DBDDA" w:rsidR="00B40FA0" w:rsidRPr="003511ED" w:rsidRDefault="00B40FA0" w:rsidP="00DA034B">
      <w:pPr>
        <w:pStyle w:val="Notedebasdepage"/>
      </w:pPr>
      <w:r>
        <w:tab/>
      </w:r>
      <w:r w:rsidRPr="00EC3283">
        <w:rPr>
          <w:rStyle w:val="Appelnotedebasdep"/>
        </w:rPr>
        <w:footnoteRef/>
      </w:r>
      <w:r w:rsidRPr="003511ED">
        <w:tab/>
        <w:t>Voir ECE/MP</w:t>
      </w:r>
      <w:r w:rsidRPr="00305CAD">
        <w:t>.</w:t>
      </w:r>
      <w:r w:rsidRPr="003511ED">
        <w:t>PP/2/Add</w:t>
      </w:r>
      <w:r w:rsidRPr="00305CAD">
        <w:t>.</w:t>
      </w:r>
      <w:r w:rsidRPr="003511ED">
        <w:t>14</w:t>
      </w:r>
      <w:r w:rsidRPr="00305CAD">
        <w:t>.</w:t>
      </w:r>
    </w:p>
  </w:footnote>
  <w:footnote w:id="3">
    <w:p w14:paraId="31CF57CF" w14:textId="77777777" w:rsidR="00B40FA0" w:rsidRPr="003511ED" w:rsidRDefault="00B40FA0" w:rsidP="00DA034B">
      <w:pPr>
        <w:pStyle w:val="Notedebasdepage"/>
      </w:pPr>
      <w:r w:rsidRPr="003511ED">
        <w:tab/>
      </w:r>
      <w:r w:rsidRPr="00EC3283">
        <w:rPr>
          <w:rStyle w:val="Appelnotedebasdep"/>
        </w:rPr>
        <w:footnoteRef/>
      </w:r>
      <w:r w:rsidRPr="003511ED">
        <w:tab/>
        <w:t>Voir ECE/MP</w:t>
      </w:r>
      <w:r w:rsidRPr="00305CAD">
        <w:t>.</w:t>
      </w:r>
      <w:r w:rsidRPr="003511ED">
        <w:t>PP/2005/2/Add</w:t>
      </w:r>
      <w:r w:rsidRPr="00305CAD">
        <w:t>.</w:t>
      </w:r>
      <w:r w:rsidRPr="003511ED">
        <w:t>10</w:t>
      </w:r>
      <w:r w:rsidRPr="00305CAD">
        <w:t>.</w:t>
      </w:r>
    </w:p>
  </w:footnote>
  <w:footnote w:id="4">
    <w:p w14:paraId="7A687624" w14:textId="77777777" w:rsidR="00B40FA0" w:rsidRPr="003511ED" w:rsidRDefault="00B40FA0" w:rsidP="00DA034B">
      <w:pPr>
        <w:pStyle w:val="Notedebasdepage"/>
      </w:pPr>
      <w:r w:rsidRPr="003511ED">
        <w:tab/>
      </w:r>
      <w:r w:rsidRPr="00EC3283">
        <w:rPr>
          <w:rStyle w:val="Appelnotedebasdep"/>
        </w:rPr>
        <w:footnoteRef/>
      </w:r>
      <w:r w:rsidRPr="003511ED">
        <w:tab/>
        <w:t>Voir ECE/MP</w:t>
      </w:r>
      <w:r w:rsidRPr="00305CAD">
        <w:t>.</w:t>
      </w:r>
      <w:r w:rsidRPr="003511ED">
        <w:t>PP/2008/2/Add</w:t>
      </w:r>
      <w:r w:rsidRPr="00305CAD">
        <w:t>.</w:t>
      </w:r>
      <w:r w:rsidRPr="003511ED">
        <w:t>15</w:t>
      </w:r>
      <w:r w:rsidRPr="00305CAD">
        <w:t>.</w:t>
      </w:r>
    </w:p>
  </w:footnote>
  <w:footnote w:id="5">
    <w:p w14:paraId="14892A08" w14:textId="77777777" w:rsidR="00B40FA0" w:rsidRPr="003511ED" w:rsidRDefault="00B40FA0" w:rsidP="00DA034B">
      <w:pPr>
        <w:pStyle w:val="Notedebasdepage"/>
      </w:pPr>
      <w:r w:rsidRPr="003511ED">
        <w:tab/>
      </w:r>
      <w:r w:rsidRPr="00EC3283">
        <w:rPr>
          <w:rStyle w:val="Appelnotedebasdep"/>
        </w:rPr>
        <w:footnoteRef/>
      </w:r>
      <w:r w:rsidRPr="003511ED">
        <w:tab/>
        <w:t>Voir ECE/MP</w:t>
      </w:r>
      <w:r w:rsidRPr="00305CAD">
        <w:t>.</w:t>
      </w:r>
      <w:r w:rsidRPr="003511ED">
        <w:t>PP/2011/2/Add</w:t>
      </w:r>
      <w:r w:rsidRPr="00305CAD">
        <w:t>.</w:t>
      </w:r>
      <w:r w:rsidRPr="003511ED">
        <w:t>1</w:t>
      </w:r>
      <w:r w:rsidRPr="00305CAD">
        <w:t>.</w:t>
      </w:r>
    </w:p>
  </w:footnote>
  <w:footnote w:id="6">
    <w:p w14:paraId="6D1E3E8F" w14:textId="77777777" w:rsidR="00B40FA0" w:rsidRPr="003511ED" w:rsidRDefault="00B40FA0" w:rsidP="00DA034B">
      <w:pPr>
        <w:pStyle w:val="Notedebasdepage"/>
      </w:pPr>
      <w:r w:rsidRPr="003511ED">
        <w:tab/>
      </w:r>
      <w:r w:rsidRPr="00EC3283">
        <w:rPr>
          <w:rStyle w:val="Appelnotedebasdep"/>
        </w:rPr>
        <w:footnoteRef/>
      </w:r>
      <w:r w:rsidRPr="003511ED">
        <w:tab/>
        <w:t>Voir ECE/MP</w:t>
      </w:r>
      <w:r w:rsidRPr="00305CAD">
        <w:t>.</w:t>
      </w:r>
      <w:r w:rsidRPr="003511ED">
        <w:t>PP/2014/2/Add</w:t>
      </w:r>
      <w:r w:rsidRPr="00305CAD">
        <w:t>.</w:t>
      </w:r>
      <w:r w:rsidRPr="003511ED">
        <w:t>1</w:t>
      </w:r>
      <w:r w:rsidRPr="00305CAD">
        <w:t>.</w:t>
      </w:r>
    </w:p>
  </w:footnote>
  <w:footnote w:id="7">
    <w:p w14:paraId="3C52E2FE" w14:textId="77777777" w:rsidR="00B40FA0" w:rsidRPr="003511ED" w:rsidRDefault="00B40FA0" w:rsidP="00DA034B">
      <w:pPr>
        <w:pStyle w:val="Notedebasdepage"/>
      </w:pPr>
      <w:r w:rsidRPr="003511ED">
        <w:tab/>
      </w:r>
      <w:r w:rsidRPr="00EC3283">
        <w:rPr>
          <w:rStyle w:val="Appelnotedebasdep"/>
        </w:rPr>
        <w:footnoteRef/>
      </w:r>
      <w:r w:rsidRPr="003511ED">
        <w:tab/>
        <w:t>Voir ECE/MP</w:t>
      </w:r>
      <w:r w:rsidRPr="00305CAD">
        <w:t>.</w:t>
      </w:r>
      <w:r w:rsidRPr="003511ED">
        <w:t>PP/2017/2/Add</w:t>
      </w:r>
      <w:r w:rsidRPr="00305CAD">
        <w:t>.</w:t>
      </w:r>
      <w:r w:rsidRPr="003511ED">
        <w:t>1</w:t>
      </w:r>
      <w:r w:rsidRPr="00305CAD">
        <w:t>.</w:t>
      </w:r>
    </w:p>
  </w:footnote>
  <w:footnote w:id="8">
    <w:p w14:paraId="52DB0B9B" w14:textId="77777777" w:rsidR="00B40FA0" w:rsidRPr="00C336AB" w:rsidRDefault="00B40FA0" w:rsidP="00DA034B">
      <w:pPr>
        <w:pStyle w:val="Notedebasdepage"/>
        <w:rPr>
          <w:lang w:val="fr-FR"/>
        </w:rPr>
      </w:pPr>
      <w:r w:rsidRPr="003511ED">
        <w:tab/>
      </w:r>
      <w:r w:rsidRPr="00EC3283">
        <w:rPr>
          <w:rStyle w:val="Appelnotedebasdep"/>
        </w:rPr>
        <w:footnoteRef/>
      </w:r>
      <w:r>
        <w:rPr>
          <w:lang w:val="fr-FR"/>
        </w:rPr>
        <w:tab/>
      </w:r>
      <w:r w:rsidRPr="00DA034B">
        <w:t>Paragraphe</w:t>
      </w:r>
      <w:r>
        <w:rPr>
          <w:lang w:val="fr-FR"/>
        </w:rPr>
        <w:t xml:space="preserve"> à vérifier à l’approche de l’adoption de la décision</w:t>
      </w:r>
      <w:r w:rsidRPr="00305CAD">
        <w:rPr>
          <w:lang w:val="fr-FR"/>
        </w:rPr>
        <w:t>.</w:t>
      </w:r>
    </w:p>
  </w:footnote>
  <w:footnote w:id="9">
    <w:p w14:paraId="38591146" w14:textId="1C937B86" w:rsidR="00B40FA0" w:rsidRPr="00C336AB" w:rsidRDefault="00B40FA0" w:rsidP="00B40FA0">
      <w:pPr>
        <w:pStyle w:val="Notedebasdepage"/>
        <w:rPr>
          <w:szCs w:val="18"/>
          <w:lang w:val="fr-FR"/>
        </w:rPr>
      </w:pPr>
      <w:r>
        <w:rPr>
          <w:lang w:val="fr-FR"/>
        </w:rPr>
        <w:tab/>
      </w:r>
      <w:r w:rsidRPr="00EC3283">
        <w:rPr>
          <w:rStyle w:val="Appelnotedebasdep"/>
        </w:rPr>
        <w:footnoteRef/>
      </w:r>
      <w:r>
        <w:rPr>
          <w:lang w:val="fr-FR"/>
        </w:rPr>
        <w:tab/>
        <w:t>Le barème des quotes-parts de l’ONU est adopté par l’Assemblée générale pour une période de trois ans</w:t>
      </w:r>
      <w:r w:rsidRPr="00305CAD">
        <w:rPr>
          <w:lang w:val="fr-FR"/>
        </w:rPr>
        <w:t>.</w:t>
      </w:r>
      <w:r>
        <w:rPr>
          <w:lang w:val="fr-FR"/>
        </w:rPr>
        <w:t xml:space="preserve"> Il constitue la base de calcul des </w:t>
      </w:r>
      <w:r w:rsidRPr="00B40FA0">
        <w:t>contributions</w:t>
      </w:r>
      <w:r>
        <w:rPr>
          <w:lang w:val="fr-FR"/>
        </w:rPr>
        <w:t xml:space="preserve"> des États Membres au budget ordinaire de l’ONU</w:t>
      </w:r>
      <w:r w:rsidRPr="00305CAD">
        <w:rPr>
          <w:lang w:val="fr-FR"/>
        </w:rPr>
        <w:t>.</w:t>
      </w:r>
      <w:r>
        <w:rPr>
          <w:lang w:val="fr-FR"/>
        </w:rPr>
        <w:t xml:space="preserve"> En décembre 2018, l’Assemblée générale a adopté la résolution 73/271 sur le barème des quotes-parts pour la </w:t>
      </w:r>
      <w:r w:rsidRPr="00C336AB">
        <w:t>répartition</w:t>
      </w:r>
      <w:r>
        <w:rPr>
          <w:lang w:val="fr-FR"/>
        </w:rPr>
        <w:t xml:space="preserve"> des dépenses de l’ONU pour la période 2019-2021</w:t>
      </w:r>
      <w:r w:rsidRPr="00305CAD">
        <w:rPr>
          <w:lang w:val="fr-FR"/>
        </w:rPr>
        <w:t>.</w:t>
      </w:r>
      <w:r>
        <w:rPr>
          <w:lang w:val="fr-FR"/>
        </w:rPr>
        <w:t xml:space="preserve"> Comme l’Assemblée l’a réaffirmé dans cette résolution, les contributions des États Membres sont calculées en se fondant sur le principe fondamental selon lequel « les dépenses de l’Organisation doivent être réparties entre les États Membres approximativement en fonction de leur capacité de paiement »</w:t>
      </w:r>
      <w:r w:rsidRPr="00305CAD">
        <w:rPr>
          <w:lang w:val="fr-FR"/>
        </w:rPr>
        <w:t>.</w:t>
      </w:r>
    </w:p>
  </w:footnote>
  <w:footnote w:id="10">
    <w:p w14:paraId="4BF88DB6" w14:textId="6D0C0B42" w:rsidR="00B40FA0" w:rsidRPr="00E87011" w:rsidRDefault="00B40FA0" w:rsidP="00B40FA0">
      <w:pPr>
        <w:pStyle w:val="Notedebasdepage"/>
        <w:rPr>
          <w:szCs w:val="18"/>
          <w:lang w:val="fr-FR"/>
        </w:rPr>
      </w:pPr>
      <w:r w:rsidRPr="00E87011">
        <w:rPr>
          <w:szCs w:val="18"/>
          <w:lang w:val="fr-FR"/>
        </w:rPr>
        <w:tab/>
      </w:r>
      <w:r w:rsidRPr="00E87011">
        <w:rPr>
          <w:rStyle w:val="Appelnotedebasdep"/>
        </w:rPr>
        <w:footnoteRef/>
      </w:r>
      <w:r w:rsidRPr="00E87011">
        <w:rPr>
          <w:lang w:val="fr-FR"/>
        </w:rPr>
        <w:tab/>
        <w:t>En application de la résolution 73/271 de l’Assemblée générale, qui prévoit 22 % pour la période 2019-2021.</w:t>
      </w:r>
    </w:p>
  </w:footnote>
  <w:footnote w:id="11">
    <w:p w14:paraId="19614C72" w14:textId="24A66F1E" w:rsidR="00B40FA0" w:rsidRPr="00E87011" w:rsidRDefault="00B40FA0" w:rsidP="00B40FA0">
      <w:pPr>
        <w:pStyle w:val="Notedebasdepage"/>
        <w:rPr>
          <w:lang w:val="fr-FR"/>
        </w:rPr>
      </w:pPr>
      <w:r w:rsidRPr="00E87011">
        <w:rPr>
          <w:lang w:val="fr-FR"/>
        </w:rPr>
        <w:tab/>
      </w:r>
      <w:r w:rsidRPr="00E87011">
        <w:rPr>
          <w:rStyle w:val="Appelnotedebasdep"/>
        </w:rPr>
        <w:footnoteRef/>
      </w:r>
      <w:r w:rsidRPr="00E87011">
        <w:rPr>
          <w:lang w:val="fr-FR"/>
        </w:rPr>
        <w:tab/>
        <w:t xml:space="preserve">Nations Unies, Pacte mondial, rapport, 2015 (révisé). Voir </w:t>
      </w:r>
      <w:hyperlink r:id="rId1" w:history="1">
        <w:r w:rsidRPr="00E87011">
          <w:rPr>
            <w:lang w:val="fr-FR"/>
          </w:rPr>
          <w:t>http://www.unglobalcompact.org/</w:t>
        </w:r>
        <w:r w:rsidR="00E87011">
          <w:rPr>
            <w:lang w:val="fr-FR"/>
          </w:rPr>
          <w:br/>
        </w:r>
        <w:r w:rsidRPr="00E87011">
          <w:rPr>
            <w:lang w:val="fr-FR"/>
          </w:rPr>
          <w:t>library/3431</w:t>
        </w:r>
      </w:hyperlink>
      <w:r w:rsidRPr="00E87011">
        <w:rPr>
          <w:lang w:val="fr-FR"/>
        </w:rPr>
        <w:t>.</w:t>
      </w:r>
    </w:p>
  </w:footnote>
  <w:footnote w:id="12">
    <w:p w14:paraId="44BE7646" w14:textId="376082C6" w:rsidR="00B40FA0" w:rsidRPr="00C336AB" w:rsidRDefault="00B40FA0" w:rsidP="00B40FA0">
      <w:pPr>
        <w:pStyle w:val="Notedebasdepage"/>
        <w:rPr>
          <w:lang w:val="fr-FR"/>
        </w:rPr>
      </w:pPr>
      <w:r w:rsidRPr="00B40FA0">
        <w:rPr>
          <w:spacing w:val="-2"/>
          <w:lang w:val="fr-FR"/>
        </w:rPr>
        <w:tab/>
      </w:r>
      <w:r w:rsidRPr="00B40FA0">
        <w:rPr>
          <w:rStyle w:val="Appelnotedebasdep"/>
          <w:spacing w:val="-2"/>
        </w:rPr>
        <w:footnoteRef/>
      </w:r>
      <w:r w:rsidRPr="00B40FA0">
        <w:rPr>
          <w:spacing w:val="-2"/>
          <w:lang w:val="fr-FR"/>
        </w:rPr>
        <w:tab/>
      </w:r>
      <w:r w:rsidRPr="00B40FA0">
        <w:rPr>
          <w:i/>
          <w:spacing w:val="-2"/>
          <w:lang w:val="fr-FR"/>
        </w:rPr>
        <w:t xml:space="preserve">Documents officiels du Conseil économique et social, 2013, Supplément </w:t>
      </w:r>
      <w:r w:rsidRPr="00B40FA0">
        <w:rPr>
          <w:rFonts w:eastAsia="MS Mincho"/>
          <w:i/>
          <w:spacing w:val="-2"/>
          <w:lang w:val="fr-FR"/>
        </w:rPr>
        <w:t>n</w:t>
      </w:r>
      <w:r w:rsidRPr="00B40FA0">
        <w:rPr>
          <w:rFonts w:eastAsia="MS Mincho"/>
          <w:i/>
          <w:spacing w:val="-2"/>
          <w:vertAlign w:val="superscript"/>
          <w:lang w:val="fr-FR"/>
        </w:rPr>
        <w:t>o</w:t>
      </w:r>
      <w:r w:rsidRPr="00B40FA0">
        <w:rPr>
          <w:i/>
          <w:spacing w:val="-2"/>
          <w:lang w:val="fr-FR"/>
        </w:rPr>
        <w:t> 17</w:t>
      </w:r>
      <w:r w:rsidRPr="00B40FA0">
        <w:rPr>
          <w:spacing w:val="-2"/>
          <w:lang w:val="fr-FR"/>
        </w:rPr>
        <w:t xml:space="preserve"> (E/2013/37-E/ECE/1464,</w:t>
      </w:r>
      <w:r>
        <w:rPr>
          <w:lang w:val="fr-FR"/>
        </w:rPr>
        <w:t xml:space="preserve"> annexe</w:t>
      </w:r>
      <w:r w:rsidR="00317D23">
        <w:rPr>
          <w:lang w:val="fr-FR"/>
        </w:rPr>
        <w:t> </w:t>
      </w:r>
      <w:r>
        <w:rPr>
          <w:lang w:val="fr-FR"/>
        </w:rPr>
        <w:t>III, par</w:t>
      </w:r>
      <w:r w:rsidRPr="00305CAD">
        <w:rPr>
          <w:lang w:val="fr-FR"/>
        </w:rPr>
        <w:t>.</w:t>
      </w:r>
      <w:r>
        <w:rPr>
          <w:lang w:val="fr-FR"/>
        </w:rPr>
        <w:t> 7 et 8)</w:t>
      </w:r>
      <w:r w:rsidRPr="00305CAD">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0F826" w14:textId="38F16B00" w:rsidR="00B40FA0" w:rsidRPr="00DA034B" w:rsidRDefault="00B40FA0">
    <w:pPr>
      <w:pStyle w:val="En-tte"/>
    </w:pPr>
    <w:fldSimple w:instr=" TITLE  \* MERGEFORMAT ">
      <w:r w:rsidR="00DD5229">
        <w:t>ECE/MP.PP/2021/13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54165" w14:textId="1B8EB951" w:rsidR="00B40FA0" w:rsidRPr="00DA034B" w:rsidRDefault="00B40FA0" w:rsidP="00DA034B">
    <w:pPr>
      <w:pStyle w:val="En-tte"/>
      <w:jc w:val="right"/>
    </w:pPr>
    <w:fldSimple w:instr=" TITLE  \* MERGEFORMAT ">
      <w:r w:rsidR="00DD5229">
        <w:t>ECE/MP.PP/2021/13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C02"/>
    <w:rsid w:val="00017F94"/>
    <w:rsid w:val="00023842"/>
    <w:rsid w:val="00031189"/>
    <w:rsid w:val="000334F9"/>
    <w:rsid w:val="0007796D"/>
    <w:rsid w:val="000B7790"/>
    <w:rsid w:val="00111F2F"/>
    <w:rsid w:val="0014365E"/>
    <w:rsid w:val="00176178"/>
    <w:rsid w:val="001F525A"/>
    <w:rsid w:val="00223272"/>
    <w:rsid w:val="0022679B"/>
    <w:rsid w:val="0024779E"/>
    <w:rsid w:val="002832AC"/>
    <w:rsid w:val="002B40F9"/>
    <w:rsid w:val="002D7C93"/>
    <w:rsid w:val="00317D23"/>
    <w:rsid w:val="00441C3B"/>
    <w:rsid w:val="00446FE5"/>
    <w:rsid w:val="00452396"/>
    <w:rsid w:val="004E468C"/>
    <w:rsid w:val="00522E16"/>
    <w:rsid w:val="00525C02"/>
    <w:rsid w:val="005505B7"/>
    <w:rsid w:val="00573BE5"/>
    <w:rsid w:val="00586ED3"/>
    <w:rsid w:val="00596AA9"/>
    <w:rsid w:val="005D6D16"/>
    <w:rsid w:val="005F26E5"/>
    <w:rsid w:val="006C0E3B"/>
    <w:rsid w:val="007116D7"/>
    <w:rsid w:val="0071601D"/>
    <w:rsid w:val="007A5FC4"/>
    <w:rsid w:val="007A62E6"/>
    <w:rsid w:val="0080684C"/>
    <w:rsid w:val="008469B1"/>
    <w:rsid w:val="00871C75"/>
    <w:rsid w:val="008776DC"/>
    <w:rsid w:val="00894657"/>
    <w:rsid w:val="008D6B3F"/>
    <w:rsid w:val="0090540F"/>
    <w:rsid w:val="009705C8"/>
    <w:rsid w:val="009C1CF4"/>
    <w:rsid w:val="00A14420"/>
    <w:rsid w:val="00A30353"/>
    <w:rsid w:val="00AC3823"/>
    <w:rsid w:val="00AE323C"/>
    <w:rsid w:val="00B00181"/>
    <w:rsid w:val="00B00B0D"/>
    <w:rsid w:val="00B40FA0"/>
    <w:rsid w:val="00B61815"/>
    <w:rsid w:val="00B765F7"/>
    <w:rsid w:val="00BA0CA9"/>
    <w:rsid w:val="00C02897"/>
    <w:rsid w:val="00C554CE"/>
    <w:rsid w:val="00C77F4D"/>
    <w:rsid w:val="00CE26D2"/>
    <w:rsid w:val="00D3439C"/>
    <w:rsid w:val="00D503D3"/>
    <w:rsid w:val="00DA034B"/>
    <w:rsid w:val="00DB1831"/>
    <w:rsid w:val="00DD3BFD"/>
    <w:rsid w:val="00DD5229"/>
    <w:rsid w:val="00DF5712"/>
    <w:rsid w:val="00DF6678"/>
    <w:rsid w:val="00E87011"/>
    <w:rsid w:val="00E96BD6"/>
    <w:rsid w:val="00ED5F56"/>
    <w:rsid w:val="00EE22F9"/>
    <w:rsid w:val="00EF2E22"/>
    <w:rsid w:val="00F274A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C486C16"/>
  <w15:docId w15:val="{5304FD96-3C19-4547-BF82-88841E472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E22F9"/>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E22F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E22F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E22F9"/>
    <w:pPr>
      <w:spacing w:line="240" w:lineRule="auto"/>
    </w:pPr>
    <w:rPr>
      <w:sz w:val="16"/>
    </w:rPr>
  </w:style>
  <w:style w:type="character" w:customStyle="1" w:styleId="PieddepageCar">
    <w:name w:val="Pied de page Car"/>
    <w:aliases w:val="3_G Car"/>
    <w:basedOn w:val="Policepardfaut"/>
    <w:link w:val="Pieddepage"/>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E22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E22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E22F9"/>
    <w:pPr>
      <w:tabs>
        <w:tab w:val="left" w:pos="1701"/>
        <w:tab w:val="left" w:pos="2268"/>
        <w:tab w:val="left" w:pos="2835"/>
      </w:tabs>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left" w:pos="1701"/>
        <w:tab w:val="left" w:pos="2268"/>
        <w:tab w:val="left" w:pos="2835"/>
      </w:tabs>
      <w:spacing w:after="120"/>
      <w:ind w:right="1134"/>
      <w:jc w:val="both"/>
    </w:pPr>
  </w:style>
  <w:style w:type="character" w:styleId="Appelnotedebasdep">
    <w:name w:val="footnote reference"/>
    <w:aliases w:val="4_G,Footnote symbol,Footnote reference number,Footnote Reference Superscript,BVI fnr,SUPERS,(Footnote Reference),Footnote,Voetnootverwijzing,Times 10 Point,Exposant 3 Point,note TESI,Odwołanie przypisu,Footnotemark,FR,Ref,E"/>
    <w:basedOn w:val="Policepardfaut"/>
    <w:qFormat/>
    <w:rsid w:val="00EE22F9"/>
    <w:rPr>
      <w:rFonts w:ascii="Times New Roman" w:hAnsi="Times New Roman"/>
      <w:sz w:val="18"/>
      <w:vertAlign w:val="superscript"/>
      <w:lang w:val="fr-CH"/>
    </w:rPr>
  </w:style>
  <w:style w:type="character" w:styleId="Appeldenotedefin">
    <w:name w:val="endnote reference"/>
    <w:aliases w:val="1_G"/>
    <w:basedOn w:val="Appelnotedebasdep"/>
    <w:qFormat/>
    <w:rsid w:val="00EE22F9"/>
    <w:rPr>
      <w:rFonts w:ascii="Times New Roman" w:hAnsi="Times New Roman"/>
      <w:sz w:val="18"/>
      <w:vertAlign w:val="superscript"/>
      <w:lang w:val="fr-CH"/>
    </w:rPr>
  </w:style>
  <w:style w:type="table" w:styleId="Grilledutableau">
    <w:name w:val="Table Grid"/>
    <w:basedOn w:val="Tableau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E22F9"/>
    <w:rPr>
      <w:color w:val="0000FF"/>
      <w:u w:val="none"/>
    </w:rPr>
  </w:style>
  <w:style w:type="character" w:styleId="Lienhypertextesuivivisit">
    <w:name w:val="FollowedHyperlink"/>
    <w:basedOn w:val="Policepardfaut"/>
    <w:unhideWhenUsed/>
    <w:rsid w:val="00EE22F9"/>
    <w:rPr>
      <w:color w:val="0000FF"/>
      <w:u w:val="none"/>
    </w:rPr>
  </w:style>
  <w:style w:type="paragraph" w:styleId="Notedebasdepage">
    <w:name w:val="footnote text"/>
    <w:aliases w:val="5_G"/>
    <w:basedOn w:val="Normal"/>
    <w:link w:val="NotedebasdepageCar"/>
    <w:qFormat/>
    <w:rsid w:val="00EE22F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E22F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E22F9"/>
  </w:style>
  <w:style w:type="character" w:customStyle="1" w:styleId="NotedefinCar">
    <w:name w:val="Note de fin Car"/>
    <w:aliases w:val="2_G Car"/>
    <w:basedOn w:val="Policepardfaut"/>
    <w:link w:val="Notedefin"/>
    <w:rsid w:val="00EE22F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E22F9"/>
    <w:rPr>
      <w:rFonts w:ascii="Times New Roman" w:hAnsi="Times New Roman"/>
      <w:b/>
      <w:sz w:val="18"/>
      <w:lang w:val="fr-CH"/>
    </w:rPr>
  </w:style>
  <w:style w:type="character" w:customStyle="1" w:styleId="Titre1Car">
    <w:name w:val="Titre 1 Car"/>
    <w:aliases w:val="Table_G Car"/>
    <w:basedOn w:val="Policepardfaut"/>
    <w:link w:val="Titre1"/>
    <w:rsid w:val="00EE22F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 w:type="character" w:customStyle="1" w:styleId="SingleTxtGChar">
    <w:name w:val="_ Single Txt_G Char"/>
    <w:link w:val="SingleTxtG"/>
    <w:rsid w:val="00DA034B"/>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globalcompact.org/library/343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4" ma:contentTypeDescription="Create a new document." ma:contentTypeScope="" ma:versionID="c5a05747911024e3eda16fb23ab92bec">
  <xsd:schema xmlns:xsd="http://www.w3.org/2001/XMLSchema" xmlns:xs="http://www.w3.org/2001/XMLSchema" xmlns:p="http://schemas.microsoft.com/office/2006/metadata/properties" xmlns:ns2="218fc245-16fb-4e80-b15a-44d5324d7fea" xmlns:ns3="c938e5d9-4d9f-46ad-8df2-2c223b949764" targetNamespace="http://schemas.microsoft.com/office/2006/metadata/properties" ma:root="true" ma:fieldsID="14640dafcded05448e0d099bd593117a" ns2:_="" ns3:_="">
    <xsd:import namespace="218fc245-16fb-4e80-b15a-44d5324d7fea"/>
    <xsd:import namespace="c938e5d9-4d9f-46ad-8df2-2c223b9497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218fc245-16fb-4e80-b15a-44d5324d7fea" xsi:nil="true"/>
  </documentManagement>
</p:properties>
</file>

<file path=customXml/itemProps1.xml><?xml version="1.0" encoding="utf-8"?>
<ds:datastoreItem xmlns:ds="http://schemas.openxmlformats.org/officeDocument/2006/customXml" ds:itemID="{4DF7D65E-0C61-4445-9D1E-08236B6CCEE8}"/>
</file>

<file path=customXml/itemProps2.xml><?xml version="1.0" encoding="utf-8"?>
<ds:datastoreItem xmlns:ds="http://schemas.openxmlformats.org/officeDocument/2006/customXml" ds:itemID="{094B8898-B9BE-4210-B979-AD639393060F}"/>
</file>

<file path=customXml/itemProps3.xml><?xml version="1.0" encoding="utf-8"?>
<ds:datastoreItem xmlns:ds="http://schemas.openxmlformats.org/officeDocument/2006/customXml" ds:itemID="{7446DF1F-61CE-4062-A5D4-9C7A4E0FAEFC}"/>
</file>

<file path=docProps/app.xml><?xml version="1.0" encoding="utf-8"?>
<Properties xmlns="http://schemas.openxmlformats.org/officeDocument/2006/extended-properties" xmlns:vt="http://schemas.openxmlformats.org/officeDocument/2006/docPropsVTypes">
  <Template>ECE_MP.dotm</Template>
  <TotalTime>0</TotalTime>
  <Pages>7</Pages>
  <Words>2690</Words>
  <Characters>14635</Characters>
  <Application>Microsoft Office Word</Application>
  <DocSecurity>0</DocSecurity>
  <Lines>443</Lines>
  <Paragraphs>262</Paragraphs>
  <ScaleCrop>false</ScaleCrop>
  <HeadingPairs>
    <vt:vector size="2" baseType="variant">
      <vt:variant>
        <vt:lpstr>Titre</vt:lpstr>
      </vt:variant>
      <vt:variant>
        <vt:i4>1</vt:i4>
      </vt:variant>
    </vt:vector>
  </HeadingPairs>
  <TitlesOfParts>
    <vt:vector size="1" baseType="lpstr">
      <vt:lpstr>ECE/MP.PP/2021/13</vt:lpstr>
    </vt:vector>
  </TitlesOfParts>
  <Company>DCM</Company>
  <LinksUpToDate>false</LinksUpToDate>
  <CharactersWithSpaces>17063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ECE/MP.PP/2021/13</dc:title>
  <dc:subject/>
  <dc:creator>Marie DESCHAMPS</dc:creator>
  <cp:keywords/>
  <cp:lastModifiedBy>Marie DESCHAMPS</cp:lastModifiedBy>
  <cp:revision>2</cp:revision>
  <cp:lastPrinted>2014-05-14T10:59:00Z</cp:lastPrinted>
  <dcterms:created xsi:type="dcterms:W3CDTF">2021-07-26T08:59:00Z</dcterms:created>
  <dcterms:modified xsi:type="dcterms:W3CDTF">2021-07-26T08:59:00Z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0x010100B5BAD6B90F990844849380189D456564</vt:lpwstr>
  </property>
</Properties>
</file>