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1769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6E83FA" w14:textId="77777777" w:rsidR="002D5AAC" w:rsidRDefault="002D5AAC" w:rsidP="00D07A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C9D8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7BCA95" w14:textId="3C6BBB1C" w:rsidR="002D5AAC" w:rsidRDefault="00D07AE0" w:rsidP="00D07AE0">
            <w:pPr>
              <w:jc w:val="right"/>
            </w:pPr>
            <w:r w:rsidRPr="00D07AE0">
              <w:rPr>
                <w:sz w:val="40"/>
              </w:rPr>
              <w:t>ECE</w:t>
            </w:r>
            <w:r>
              <w:t>/MP.PP/2021/11</w:t>
            </w:r>
          </w:p>
        </w:tc>
      </w:tr>
      <w:tr w:rsidR="002D5AAC" w:rsidRPr="008571BC" w14:paraId="7EF3181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4990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43EC9C" wp14:editId="37D8DD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2F8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B3DB3B" w14:textId="77777777" w:rsidR="002D5AAC" w:rsidRDefault="00D07A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836874" w14:textId="77777777" w:rsidR="00D07AE0" w:rsidRDefault="00D07AE0" w:rsidP="00D07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2021</w:t>
            </w:r>
          </w:p>
          <w:p w14:paraId="175CBFD5" w14:textId="77777777" w:rsidR="00D07AE0" w:rsidRDefault="00D07AE0" w:rsidP="00D07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61F4A5" w14:textId="6C303A47" w:rsidR="00D07AE0" w:rsidRPr="008D53B6" w:rsidRDefault="00D07AE0" w:rsidP="00D07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EFDC08" w14:textId="77777777" w:rsidR="008A37C8" w:rsidRPr="00A47320" w:rsidRDefault="008A37C8" w:rsidP="00255343">
      <w:pPr>
        <w:spacing w:before="120"/>
        <w:rPr>
          <w:b/>
          <w:sz w:val="28"/>
          <w:szCs w:val="28"/>
        </w:rPr>
      </w:pPr>
      <w:r w:rsidRPr="00A47320">
        <w:rPr>
          <w:b/>
          <w:sz w:val="28"/>
          <w:szCs w:val="28"/>
        </w:rPr>
        <w:t>Европейская экономическая комиссия</w:t>
      </w:r>
    </w:p>
    <w:p w14:paraId="4D7CC110" w14:textId="7D3C9714" w:rsidR="00D07AE0" w:rsidRPr="00D07AE0" w:rsidRDefault="00D07AE0" w:rsidP="00D07AE0">
      <w:pPr>
        <w:spacing w:before="120"/>
        <w:ind w:right="1133"/>
        <w:rPr>
          <w:sz w:val="28"/>
          <w:szCs w:val="28"/>
        </w:rPr>
      </w:pPr>
      <w:r w:rsidRPr="00D07AE0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D07AE0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D07AE0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D07AE0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D07AE0">
        <w:rPr>
          <w:sz w:val="28"/>
          <w:szCs w:val="28"/>
        </w:rPr>
        <w:t>окружающей среды</w:t>
      </w:r>
    </w:p>
    <w:p w14:paraId="46075ADA" w14:textId="77777777" w:rsidR="00D07AE0" w:rsidRPr="00860B94" w:rsidRDefault="00D07AE0" w:rsidP="00D07AE0">
      <w:pPr>
        <w:spacing w:before="120"/>
        <w:rPr>
          <w:b/>
          <w:bCs/>
        </w:rPr>
      </w:pPr>
      <w:r>
        <w:rPr>
          <w:b/>
          <w:bCs/>
        </w:rPr>
        <w:t>Седьмая сессия</w:t>
      </w:r>
    </w:p>
    <w:p w14:paraId="23354772" w14:textId="09BBF500" w:rsidR="00D07AE0" w:rsidRPr="00860B94" w:rsidRDefault="00D07AE0" w:rsidP="00D07AE0">
      <w:r>
        <w:t>Женева, 18</w:t>
      </w:r>
      <w:r w:rsidRPr="00D07AE0">
        <w:t>–</w:t>
      </w:r>
      <w:r>
        <w:t>20 октября 2021 года</w:t>
      </w:r>
    </w:p>
    <w:p w14:paraId="4E02A99E" w14:textId="77777777" w:rsidR="00D07AE0" w:rsidRPr="00860B94" w:rsidRDefault="00D07AE0" w:rsidP="00D07AE0">
      <w:pPr>
        <w:spacing w:line="240" w:lineRule="auto"/>
      </w:pPr>
      <w:r>
        <w:t>Пункт 8 b) предварительной повестки дня</w:t>
      </w:r>
    </w:p>
    <w:p w14:paraId="5CC4FF6E" w14:textId="0AB2A438" w:rsidR="00E12C5F" w:rsidRDefault="00D07AE0" w:rsidP="00D07AE0">
      <w:r>
        <w:rPr>
          <w:b/>
          <w:bCs/>
        </w:rPr>
        <w:t xml:space="preserve">Пропаганда Конвенции и соответствующие изменения </w:t>
      </w:r>
      <w:r>
        <w:rPr>
          <w:b/>
          <w:bCs/>
        </w:rPr>
        <w:br/>
        <w:t>и взаимосвязи: пропаганда принципов Конвенции</w:t>
      </w:r>
    </w:p>
    <w:p w14:paraId="175FCDA9" w14:textId="77777777" w:rsidR="00D07AE0" w:rsidRPr="00860B94" w:rsidRDefault="00D07AE0" w:rsidP="00D07AE0">
      <w:pPr>
        <w:pStyle w:val="HChG"/>
      </w:pPr>
      <w:r>
        <w:tab/>
      </w:r>
      <w:r>
        <w:tab/>
        <w:t>Проект решения VII/4 о пропаганде применения принципов Конвенции на международных форумах</w:t>
      </w:r>
    </w:p>
    <w:p w14:paraId="076DEF3F" w14:textId="516190CE" w:rsidR="00D07AE0" w:rsidRDefault="00D07AE0" w:rsidP="00D07AE0">
      <w:pPr>
        <w:pStyle w:val="H1G"/>
      </w:pPr>
      <w:r>
        <w:tab/>
      </w:r>
      <w:r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07AE0" w:rsidRPr="00D07AE0" w14:paraId="0124D92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AD8904F" w14:textId="77777777" w:rsidR="00D07AE0" w:rsidRPr="00D07AE0" w:rsidRDefault="00D07AE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07AE0">
              <w:rPr>
                <w:rFonts w:cs="Times New Roman"/>
              </w:rPr>
              <w:tab/>
            </w:r>
            <w:r w:rsidRPr="00D07AE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07AE0" w:rsidRPr="00D07AE0" w14:paraId="119048B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5483339" w14:textId="77777777" w:rsidR="00D07AE0" w:rsidRDefault="00D07AE0" w:rsidP="00D07AE0">
            <w:pPr>
              <w:pStyle w:val="SingleTxtG"/>
            </w:pPr>
            <w:r>
              <w:tab/>
              <w:t>В настоящем документе изложен проект решения о пропаганде применения Конвенции на международных форумах, подготовленный Президиумом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среды.</w:t>
            </w:r>
          </w:p>
          <w:p w14:paraId="4DE1E58D" w14:textId="1586930E" w:rsidR="00D07AE0" w:rsidRDefault="00D07AE0" w:rsidP="00D07AE0">
            <w:pPr>
              <w:pStyle w:val="SingleTxtG"/>
            </w:pPr>
            <w:r>
              <w:tab/>
              <w:t>Рабочая группа Сторон Конвенции на своем двадцать четвертом совещании (Женева, 1–3 июля и 28 и 29 октября 2020 года) просила Президиум подготовить проект решения о применении принципов Конвенции на международных форумах для седьмой сессии Совещания Сторон (ECE/MP.PP/WG.1/2020/2).</w:t>
            </w:r>
          </w:p>
          <w:p w14:paraId="6E3035E0" w14:textId="29F54A5B" w:rsidR="00D07AE0" w:rsidRDefault="00D07AE0" w:rsidP="00D07AE0">
            <w:pPr>
              <w:pStyle w:val="SingleTxtG"/>
            </w:pPr>
            <w:r>
              <w:tab/>
              <w:t>Настоящий документ был подготовлен Президиумом на основе соответствующих итогов двадцать четвертого совещания Рабочей группы Сторон; записки Председателя о тематическом заседании по вопросу о пропаганде принципов Орхусской конвенции на международных форумах (AC/WGP-24/Inf.4); итогов работы, проделанной Рабочей группой Сторон в текущий межсессионный период; и решения</w:t>
            </w:r>
            <w:r w:rsidR="00A47320">
              <w:rPr>
                <w:lang w:val="en-US"/>
              </w:rPr>
              <w:t> </w:t>
            </w:r>
            <w:r>
              <w:t>VI/4 по этому же вопросу (ECE/MP.PP/2017/2/Add.1), принятого Совещанием Сторон на его шестой сессии (Будва, Черногория, 11–14 сентября 2017</w:t>
            </w:r>
            <w:r w:rsidR="00A47320">
              <w:rPr>
                <w:lang w:val="en-US"/>
              </w:rPr>
              <w:t> </w:t>
            </w:r>
            <w:r>
              <w:t xml:space="preserve">года). </w:t>
            </w:r>
          </w:p>
          <w:p w14:paraId="60CA8258" w14:textId="1A28EC07" w:rsidR="00D07AE0" w:rsidRDefault="00D07AE0" w:rsidP="00D07AE0">
            <w:pPr>
              <w:pStyle w:val="SingleTxtG"/>
            </w:pPr>
            <w:r>
              <w:tab/>
              <w:t xml:space="preserve">После двадцать четвертого совещания Рабочей группы были обеспечены возможности для проведения открытых консультаций по настоящему проекту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ее двадцать пятом совещании (Женева, 3 мая и 7 и 8 июня 2021 года) с целью </w:t>
            </w:r>
            <w:r>
              <w:lastRenderedPageBreak/>
              <w:t>последующего препровождения Совещанию Сторон для рассмотрения на его седьмой сессии.</w:t>
            </w:r>
          </w:p>
          <w:p w14:paraId="7DAA83D4" w14:textId="05825E7E" w:rsidR="00D07AE0" w:rsidRPr="00D07AE0" w:rsidRDefault="00D07AE0" w:rsidP="00D07AE0">
            <w:pPr>
              <w:pStyle w:val="SingleTxtG"/>
            </w:pPr>
            <w:r>
              <w:tab/>
            </w:r>
            <w:r w:rsidRPr="00D07AE0">
              <w:t>На своем двадцать пятом совещании Рабочая группа пересмотрела и одобрила с внесенными на совещании поправками проект решения о содействии применению принципов Конвенции на международных форумах (AC/WGP-25/CRP.6) и просила секретариат представить его Совещанию Сторон для рассмотрения на его седьмой сессии.</w:t>
            </w:r>
          </w:p>
        </w:tc>
      </w:tr>
      <w:tr w:rsidR="00D07AE0" w:rsidRPr="00D07AE0" w14:paraId="1C444D3A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7434F41" w14:textId="77777777" w:rsidR="00D07AE0" w:rsidRPr="00D07AE0" w:rsidRDefault="00D07AE0" w:rsidP="00850215">
            <w:pPr>
              <w:rPr>
                <w:rFonts w:cs="Times New Roman"/>
              </w:rPr>
            </w:pPr>
          </w:p>
        </w:tc>
      </w:tr>
    </w:tbl>
    <w:p w14:paraId="108DFB92" w14:textId="4B0EBAF7" w:rsidR="00D07AE0" w:rsidRDefault="00D07AE0" w:rsidP="00D07AE0">
      <w:pPr>
        <w:pStyle w:val="SingleTxtG"/>
      </w:pPr>
    </w:p>
    <w:p w14:paraId="0F277FFB" w14:textId="77777777" w:rsidR="00D07AE0" w:rsidRDefault="00D07AE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C7721C7" w14:textId="07F940D3" w:rsidR="00D07AE0" w:rsidRPr="00A47320" w:rsidRDefault="00A47320" w:rsidP="00A47320">
      <w:pPr>
        <w:pStyle w:val="SingleTxtG"/>
        <w:rPr>
          <w:i/>
          <w:iCs/>
        </w:rPr>
      </w:pPr>
      <w:r w:rsidRPr="00A47320">
        <w:rPr>
          <w:i/>
          <w:iCs/>
        </w:rPr>
        <w:lastRenderedPageBreak/>
        <w:tab/>
      </w:r>
      <w:r w:rsidR="00D07AE0" w:rsidRPr="00A47320">
        <w:rPr>
          <w:i/>
          <w:iCs/>
        </w:rPr>
        <w:t>Совещание Сторон,</w:t>
      </w:r>
    </w:p>
    <w:p w14:paraId="3157B3A0" w14:textId="1FB0C5C9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 w:rsidRPr="004136C8">
        <w:rPr>
          <w:i/>
          <w:iCs/>
        </w:rPr>
        <w:t>ссылаясь</w:t>
      </w:r>
      <w:r>
        <w:t xml:space="preserve"> на пункт 7 статьи 3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</w:t>
      </w:r>
    </w:p>
    <w:p w14:paraId="0C92BCFF" w14:textId="6B5B0059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ссылаясь также </w:t>
      </w:r>
      <w:r>
        <w:t>на свои решения II/4</w:t>
      </w:r>
      <w:r>
        <w:rPr>
          <w:rStyle w:val="aa"/>
          <w:rFonts w:eastAsia="Calibri"/>
        </w:rPr>
        <w:footnoteReference w:id="1"/>
      </w:r>
      <w:r>
        <w:t>, III/4</w:t>
      </w:r>
      <w:r>
        <w:rPr>
          <w:rStyle w:val="aa"/>
          <w:rFonts w:eastAsia="Calibri"/>
        </w:rPr>
        <w:footnoteReference w:id="2"/>
      </w:r>
      <w:r>
        <w:t>, IV/3</w:t>
      </w:r>
      <w:r>
        <w:rPr>
          <w:rStyle w:val="aa"/>
          <w:rFonts w:eastAsia="Calibri"/>
        </w:rPr>
        <w:footnoteReference w:id="3"/>
      </w:r>
      <w:r>
        <w:t>, V/4</w:t>
      </w:r>
      <w:r>
        <w:rPr>
          <w:rStyle w:val="aa"/>
          <w:rFonts w:eastAsia="Calibri"/>
        </w:rPr>
        <w:footnoteReference w:id="4"/>
      </w:r>
      <w:r>
        <w:t xml:space="preserve"> и VI/4</w:t>
      </w:r>
      <w:r>
        <w:rPr>
          <w:rStyle w:val="aa"/>
          <w:rFonts w:eastAsia="Calibri"/>
        </w:rPr>
        <w:footnoteReference w:id="5"/>
      </w:r>
      <w:r>
        <w:t xml:space="preserve"> о пропаганде принципов Конвенции на международных форумах, VII/11 о Стратегическом плане на 2022–2030 годы</w:t>
      </w:r>
      <w:r>
        <w:rPr>
          <w:rStyle w:val="aa"/>
          <w:rFonts w:eastAsia="Calibri"/>
        </w:rPr>
        <w:footnoteReference w:id="6"/>
      </w:r>
      <w:r>
        <w:t xml:space="preserve"> и VII/5 о Программе работы на 2022–2025 годы</w:t>
      </w:r>
      <w:r>
        <w:rPr>
          <w:rStyle w:val="aa"/>
          <w:rFonts w:eastAsia="Calibri"/>
        </w:rPr>
        <w:footnoteReference w:id="7"/>
      </w:r>
      <w:r>
        <w:t>,</w:t>
      </w:r>
    </w:p>
    <w:p w14:paraId="74693B21" w14:textId="1D294F6B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принимая к сведению </w:t>
      </w:r>
      <w:r>
        <w:t>резолюцию 32/31 Совета по правам человека о пространстве для деятельности гражданского общества</w:t>
      </w:r>
      <w:r>
        <w:rPr>
          <w:rStyle w:val="aa"/>
          <w:rFonts w:eastAsia="Calibri"/>
        </w:rPr>
        <w:footnoteReference w:id="8"/>
      </w:r>
      <w:r>
        <w:t>, в которой подчеркивается «насущно важная роль гражданского общества в деятельности субрегиональных, региональных и международных организаций, в том числе в поддержку работы таких организаций», где эта работа имеет актуальное значение для Конвенции,</w:t>
      </w:r>
    </w:p>
    <w:p w14:paraId="040E5F8C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rPr>
          <w:i/>
          <w:iCs/>
        </w:rPr>
        <w:t xml:space="preserve">принимая к сведению также </w:t>
      </w:r>
      <w:r>
        <w:t>доклады Специального докладчика Организации Объединенных Наций по вопросу о правах на свободу мирных собраний и ассоциации в связи с осуществлением этих прав в контексте деятельности многосторонних учреждений,</w:t>
      </w:r>
    </w:p>
    <w:p w14:paraId="36742965" w14:textId="54D883BA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памятуя </w:t>
      </w:r>
      <w:r>
        <w:t xml:space="preserve">о важности углубления понимания стоящих проблем и используемой международными форумами надлежащей практики в отношении участия общественности посредством дальнейшего обмена опытом, накопленным в рамках Конвенции совместно с международными форумами, </w:t>
      </w:r>
    </w:p>
    <w:p w14:paraId="2164CFA0" w14:textId="114257D5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приветствуя </w:t>
      </w:r>
      <w:r>
        <w:t>увеличение числа запросов от заинтересованных международных форумов, которые стремятся получить экспертную помощь секретариата и Сторон по этой теме,</w:t>
      </w:r>
    </w:p>
    <w:p w14:paraId="337DEEFD" w14:textId="39303104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признавая </w:t>
      </w:r>
      <w:r>
        <w:t xml:space="preserve">прогресс, достигнутый Сторонами, международными организациями, международными финансовыми учреждениями, неправительственными организациями и другими заинтересованными субъектами в деле содействия применению принципов Конвенции, </w:t>
      </w:r>
    </w:p>
    <w:p w14:paraId="01462CCA" w14:textId="7458D9B9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 xml:space="preserve">памятуя </w:t>
      </w:r>
      <w:r>
        <w:t>о продолжающихся основных международных процессах, в том числе о тех, которые связаны с устойчивым развитием, устойчивой мобильностью, изменением климата, химическими веществами и отходами, гражданской авиацией, геоинжинирингом, международными финансовыми учреждениями, правами человека, участием заинтересованных субъектов и доступом к политике в области информации других учреждений и программ системы Организации Объединенных Наций, а также с международными торговыми переговорами,</w:t>
      </w:r>
    </w:p>
    <w:p w14:paraId="7C3102CB" w14:textId="22A8F7A2" w:rsidR="00D07AE0" w:rsidRPr="00860B94" w:rsidRDefault="00D07AE0" w:rsidP="00D07AE0">
      <w:pPr>
        <w:pStyle w:val="SingleTxtG"/>
        <w:rPr>
          <w:rFonts w:eastAsia="Calibri"/>
        </w:rPr>
      </w:pPr>
      <w:r>
        <w:tab/>
      </w:r>
      <w:r>
        <w:rPr>
          <w:i/>
          <w:iCs/>
        </w:rPr>
        <w:t>признавая</w:t>
      </w:r>
      <w:r>
        <w:t>, что экспертная помощь является важным и мощным средством пропаганды принципов Конвенции и обмена значительным опытом, накопленным в рамках Орхусской конвенции эффективным и непосредственным образом,</w:t>
      </w:r>
    </w:p>
    <w:p w14:paraId="7F451589" w14:textId="4730D639" w:rsidR="00D07AE0" w:rsidRPr="00860B94" w:rsidRDefault="00D07AE0" w:rsidP="00D07AE0">
      <w:pPr>
        <w:pStyle w:val="SingleTxtG"/>
        <w:rPr>
          <w:rFonts w:eastAsia="Calibri"/>
          <w:i/>
        </w:rPr>
      </w:pPr>
      <w:r>
        <w:tab/>
      </w:r>
      <w:r>
        <w:rPr>
          <w:i/>
          <w:iCs/>
        </w:rPr>
        <w:t xml:space="preserve">признавая также </w:t>
      </w:r>
      <w:r>
        <w:t xml:space="preserve">ценность работы, выполняемой для осуществления пункта 7 статьи 3 Конвенции, и одновременно признавая значительные проблемы, которые все еще необходимо решать для полного осуществления этого положения, </w:t>
      </w:r>
    </w:p>
    <w:p w14:paraId="185834D0" w14:textId="731DDD68" w:rsidR="00D07AE0" w:rsidRPr="00860B94" w:rsidRDefault="00D07AE0" w:rsidP="00D07AE0">
      <w:pPr>
        <w:pStyle w:val="SingleTxtG"/>
        <w:rPr>
          <w:rFonts w:eastAsia="Calibri"/>
          <w:i/>
        </w:rPr>
      </w:pPr>
      <w:r>
        <w:tab/>
      </w:r>
      <w:r>
        <w:rPr>
          <w:i/>
          <w:iCs/>
        </w:rPr>
        <w:t xml:space="preserve">отдавая себе отчет </w:t>
      </w:r>
      <w:r>
        <w:t>в том, что данная деятельность характеризуется широким межсекторальным охватом, а это способствует усилиям Сторон по достижению многих целей в области устойчивого развития, связанных с конкретными форумами, и</w:t>
      </w:r>
      <w:r w:rsidR="00680071">
        <w:rPr>
          <w:lang w:val="en-US"/>
        </w:rPr>
        <w:t> </w:t>
      </w:r>
      <w:r>
        <w:t>в частности целей в области устойчивого развития 16 и 17,</w:t>
      </w:r>
    </w:p>
    <w:p w14:paraId="0AEED5C6" w14:textId="5BC3C355" w:rsidR="00D07AE0" w:rsidRPr="00860B94" w:rsidRDefault="00D07AE0" w:rsidP="00D07AE0">
      <w:pPr>
        <w:pStyle w:val="SingleTxtG"/>
      </w:pPr>
      <w:r>
        <w:lastRenderedPageBreak/>
        <w:tab/>
      </w:r>
      <w:r>
        <w:rPr>
          <w:i/>
          <w:iCs/>
        </w:rPr>
        <w:t xml:space="preserve">рассмотрев </w:t>
      </w:r>
      <w:r>
        <w:t>доклады о тематических заседаниях по вопросу о пропаганде принципов Конвенции на международных форумах, проведенных на двадцать втором, двадцать третьем, двадцать четвертом и двадцать пятом совещаниях Рабочей группы</w:t>
      </w:r>
      <w:r w:rsidRPr="00695F9D">
        <w:rPr>
          <w:rStyle w:val="aa"/>
        </w:rPr>
        <w:footnoteReference w:id="9"/>
      </w:r>
      <w:r>
        <w:t>,</w:t>
      </w:r>
    </w:p>
    <w:p w14:paraId="078BC7FA" w14:textId="77777777" w:rsidR="00D07AE0" w:rsidRPr="00860B94" w:rsidRDefault="00D07AE0" w:rsidP="00D07AE0">
      <w:pPr>
        <w:pStyle w:val="SingleTxtG"/>
        <w:ind w:firstLine="567"/>
        <w:rPr>
          <w:rFonts w:eastAsia="Calibri"/>
          <w:i/>
        </w:rPr>
      </w:pPr>
      <w:r>
        <w:rPr>
          <w:i/>
          <w:iCs/>
        </w:rPr>
        <w:t xml:space="preserve">приветствуя </w:t>
      </w:r>
      <w:r>
        <w:t>вступление в силу Регионального соглашения о доступе к информации, участии общественности и правосудии по вопросам окружающей среды в Латинской Америке и Карибском бассейне (Соглашения Эскасу),</w:t>
      </w:r>
    </w:p>
    <w:p w14:paraId="18837A65" w14:textId="00298B18" w:rsidR="00D07AE0" w:rsidRPr="00860B94" w:rsidRDefault="00D07AE0" w:rsidP="00D07AE0">
      <w:pPr>
        <w:pStyle w:val="SingleTxtG"/>
        <w:rPr>
          <w:rFonts w:eastAsia="Calibri"/>
        </w:rPr>
      </w:pPr>
      <w:r>
        <w:tab/>
        <w:t>1.</w:t>
      </w:r>
      <w:r>
        <w:tab/>
      </w:r>
      <w:r>
        <w:rPr>
          <w:i/>
          <w:iCs/>
        </w:rPr>
        <w:t xml:space="preserve">с удовлетворением отмечает </w:t>
      </w:r>
      <w:r>
        <w:t xml:space="preserve">работу, проделанную под эгидой Рабочей группы Сторон, которая стала подлинной многосторонней платформой для эффективного решения ряда важных вопросов; </w:t>
      </w:r>
    </w:p>
    <w:p w14:paraId="06FB2D7E" w14:textId="54C9CAD2" w:rsidR="00D07AE0" w:rsidRPr="00860B94" w:rsidRDefault="00D07AE0" w:rsidP="00D07AE0">
      <w:pPr>
        <w:pStyle w:val="SingleTxtG"/>
        <w:rPr>
          <w:rFonts w:eastAsia="Calibri"/>
        </w:rPr>
      </w:pPr>
      <w:r>
        <w:tab/>
        <w:t>2.</w:t>
      </w:r>
      <w:r>
        <w:tab/>
      </w:r>
      <w:r>
        <w:rPr>
          <w:i/>
          <w:iCs/>
        </w:rPr>
        <w:t xml:space="preserve">выражает </w:t>
      </w:r>
      <w:r>
        <w:t xml:space="preserve">свою признательность Франции за осуществляемое ею руководство в этой области работы; </w:t>
      </w:r>
    </w:p>
    <w:p w14:paraId="6D0CE21C" w14:textId="5C76AF7C" w:rsidR="00D07AE0" w:rsidRPr="00860B94" w:rsidRDefault="00D07AE0" w:rsidP="00D07AE0">
      <w:pPr>
        <w:pStyle w:val="SingleTxtG"/>
        <w:rPr>
          <w:rFonts w:eastAsia="Calibri"/>
        </w:rPr>
      </w:pPr>
      <w:r>
        <w:tab/>
        <w:t>3.</w:t>
      </w:r>
      <w:r>
        <w:tab/>
      </w:r>
      <w:r>
        <w:rPr>
          <w:i/>
          <w:iCs/>
        </w:rPr>
        <w:t xml:space="preserve">вновь подтверждает </w:t>
      </w:r>
      <w:r>
        <w:t>свое обязательство и далее применять принятое решением II/4 Алматинское руководство по содействию применению принципов Орхусской конвенции на международных форумах (Алматинское руководство)</w:t>
      </w:r>
      <w:r>
        <w:rPr>
          <w:rStyle w:val="aa"/>
          <w:rFonts w:eastAsia="Calibri"/>
        </w:rPr>
        <w:footnoteReference w:id="10"/>
      </w:r>
      <w:r>
        <w:t xml:space="preserve"> в ходе осуществления соответствующей деятельности и в рамках работы вспомогательных органов, созданных в соответствии с Конвенцией; </w:t>
      </w:r>
    </w:p>
    <w:p w14:paraId="224B33E0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4.</w:t>
      </w:r>
      <w:r>
        <w:tab/>
      </w:r>
      <w:r>
        <w:rPr>
          <w:i/>
          <w:iCs/>
        </w:rPr>
        <w:t xml:space="preserve">предлагает </w:t>
      </w:r>
      <w:r>
        <w:t>Сторонам, сигнатариям, другим заинтересованным государствам, партнерским организациям и другим заинтересованным сторонам обеспечить, чтобы последствия пандемии коронавирусного заболевания (COVID-19) для условий проведения международных форумов не подрывали участие общественности, и изучить возможности расширения участия общественности в этих обстоятельствах, принимая во внимание рекомендации Комитета по вопросам соблюдения</w:t>
      </w:r>
      <w:r>
        <w:rPr>
          <w:rStyle w:val="aa"/>
          <w:rFonts w:eastAsia="Calibri"/>
        </w:rPr>
        <w:footnoteReference w:id="11"/>
      </w:r>
      <w:r>
        <w:t>;</w:t>
      </w:r>
    </w:p>
    <w:p w14:paraId="3A11DAD6" w14:textId="5036FE10" w:rsidR="00D07AE0" w:rsidRPr="00860B94" w:rsidRDefault="00D07AE0" w:rsidP="00D07AE0">
      <w:pPr>
        <w:pStyle w:val="SingleTxtG"/>
      </w:pPr>
      <w:r>
        <w:tab/>
        <w:t>5.</w:t>
      </w:r>
      <w:r>
        <w:tab/>
      </w:r>
      <w:r>
        <w:rPr>
          <w:i/>
          <w:iCs/>
        </w:rPr>
        <w:t xml:space="preserve">обращает внимание </w:t>
      </w:r>
      <w:r>
        <w:t>на имеющуюся у Сторон и заинтересованных субъектов возможность и далее содействовать применению принципов Конвенции на международных форумах в рамках регулярного и тесного сотрудничества со Сторонами, сигнатариями Соглашения Эскасу и имеющими отношение к нему заинтересованными сторонами;</w:t>
      </w:r>
    </w:p>
    <w:p w14:paraId="5A052200" w14:textId="77777777" w:rsidR="00D07AE0" w:rsidRPr="00DD1259" w:rsidRDefault="00D07AE0" w:rsidP="00D07AE0">
      <w:pPr>
        <w:pStyle w:val="SingleTxtG"/>
        <w:ind w:firstLine="567"/>
        <w:rPr>
          <w:rFonts w:eastAsia="Calibri"/>
          <w:iCs/>
        </w:rPr>
      </w:pPr>
      <w:r>
        <w:t>6.</w:t>
      </w:r>
      <w:r>
        <w:tab/>
      </w:r>
      <w:r>
        <w:rPr>
          <w:i/>
          <w:iCs/>
        </w:rPr>
        <w:t xml:space="preserve">призывает </w:t>
      </w:r>
      <w:r>
        <w:t>каждую Сторону продолжать осуществлять нижеследующие меры:</w:t>
      </w:r>
    </w:p>
    <w:p w14:paraId="11F6472C" w14:textId="68BD99BB" w:rsidR="00D07AE0" w:rsidRPr="00860B94" w:rsidRDefault="00680071" w:rsidP="00680071">
      <w:pPr>
        <w:pStyle w:val="SingleTxtG"/>
        <w:rPr>
          <w:rFonts w:eastAsia="Calibri"/>
        </w:rPr>
      </w:pPr>
      <w:r>
        <w:tab/>
      </w:r>
      <w:r w:rsidR="00D07AE0">
        <w:t>a)</w:t>
      </w:r>
      <w:r w:rsidR="00D07AE0">
        <w:tab/>
        <w:t>предпринимать дальнейшие меры по содействию участию общественности на национальном уровне в связи с международными процессами принятия решений, касающихся окружающей среды, и осуществлять в рамках международных организаций надлежащие действия по вопросам, относящимся к окружающей среде, с учетом соответствующих положений Алматинского руководства;</w:t>
      </w:r>
    </w:p>
    <w:p w14:paraId="30152F6A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b)</w:t>
      </w:r>
      <w:r>
        <w:tab/>
        <w:t xml:space="preserve">обеспечивать осуществление взаимодействия внутри своих министерств и между ними с целью информирования должностных лиц, участвующих в работе других соответствующих международных форумов, о пункте 7 статьи 3 Конвенции и Алматинском руководстве; </w:t>
      </w:r>
    </w:p>
    <w:p w14:paraId="37C8B379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c)</w:t>
      </w:r>
      <w:r>
        <w:tab/>
        <w:t xml:space="preserve">рассмотреть новаторские пути улучшения доступа своей общественности к информации и участия общественности в международных форумах и осуществлять обмен опытом с другими Сторонами; </w:t>
      </w:r>
    </w:p>
    <w:p w14:paraId="299A0B1D" w14:textId="4CBF86AE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d)</w:t>
      </w:r>
      <w:r>
        <w:tab/>
        <w:t xml:space="preserve">рассмотреть вопрос об актуальном значении принципов Конвенции для текущих процессов в рамках международных форумов, связанных с окружающей средой, в преддверии совещаний этих форумов и продолжать индивидуально или в сотрудничестве с другими Сторонами, сигнатариями или правительствами-единомышленниками содействовать применению принципов Конвенции в процедурах других международных форумов и программах работы, проектах, решениях, </w:t>
      </w:r>
      <w:r>
        <w:lastRenderedPageBreak/>
        <w:t xml:space="preserve">документах и других основных итоговых материалах тех форумов, в практике которых в настоящее время не нашли отражение Алматинское руководство или принципы Конвенции; </w:t>
      </w:r>
    </w:p>
    <w:p w14:paraId="15A92F6E" w14:textId="77777777" w:rsidR="00D07AE0" w:rsidRPr="00860B94" w:rsidRDefault="00D07AE0" w:rsidP="00D07AE0">
      <w:pPr>
        <w:pStyle w:val="SingleTxtG"/>
        <w:ind w:firstLine="567"/>
        <w:rPr>
          <w:rFonts w:eastAsia="Calibri"/>
          <w:bCs/>
        </w:rPr>
      </w:pPr>
      <w:r>
        <w:t>e)</w:t>
      </w:r>
      <w:r>
        <w:tab/>
        <w:t>рассмотреть вопрос об оказании другим заинтересованным Сторонам, сигнатариям или правительствам экспертной помощи в отношении возможной надлежащей практики содействия более эффективному участию общественности в международных форумах, в частности при проведении важных международных мероприятий;</w:t>
      </w:r>
    </w:p>
    <w:p w14:paraId="168D44EA" w14:textId="77777777" w:rsidR="00D07AE0" w:rsidRPr="00860B94" w:rsidRDefault="00D07AE0" w:rsidP="00D07AE0">
      <w:pPr>
        <w:pStyle w:val="SingleTxtG"/>
        <w:ind w:firstLine="567"/>
        <w:rPr>
          <w:rFonts w:eastAsia="Calibri"/>
          <w:bCs/>
        </w:rPr>
      </w:pPr>
      <w:r>
        <w:t>f)</w:t>
      </w:r>
      <w:r>
        <w:tab/>
        <w:t>использовать в качестве руководства контрольный перечень мер, подготовленный под эгидой Конвенции, в процессе разработки планов действий по систематической пропаганде принципов Конвенции на всех международных форумах, которые посвящены вопросам, касающимся окружающей среды</w:t>
      </w:r>
      <w:r>
        <w:rPr>
          <w:rStyle w:val="aa"/>
          <w:rFonts w:eastAsia="Calibri"/>
          <w:bCs/>
        </w:rPr>
        <w:footnoteReference w:id="12"/>
      </w:r>
      <w:r>
        <w:t>;</w:t>
      </w:r>
    </w:p>
    <w:p w14:paraId="44997017" w14:textId="77777777" w:rsidR="00D07AE0" w:rsidRPr="00860B94" w:rsidRDefault="00D07AE0" w:rsidP="00D07AE0">
      <w:pPr>
        <w:pStyle w:val="SingleTxtG"/>
        <w:ind w:firstLine="567"/>
        <w:rPr>
          <w:rFonts w:eastAsia="Calibri"/>
          <w:bCs/>
        </w:rPr>
      </w:pPr>
      <w:r>
        <w:t>g)</w:t>
      </w:r>
      <w:r>
        <w:tab/>
        <w:t xml:space="preserve">рассмотреть возможности содействия повышению информированности и знаний о принципах Конвенции и обязательствах по ней, а также об Алматинском руководстве в ходе текущих процессов в рамках международных форумов, связанных с окружающей средой, в том числе возможность организации рабочих совещаний для правительственных и неправительственных делегатов, участвующих в этих процессах; </w:t>
      </w:r>
    </w:p>
    <w:p w14:paraId="4D6E0D34" w14:textId="77777777" w:rsidR="00D07AE0" w:rsidRPr="00DD1259" w:rsidRDefault="00D07AE0" w:rsidP="00D07AE0">
      <w:pPr>
        <w:pStyle w:val="SingleTxtG"/>
        <w:ind w:firstLine="567"/>
        <w:rPr>
          <w:rFonts w:eastAsia="Calibri"/>
        </w:rPr>
      </w:pPr>
      <w:r>
        <w:t>7.</w:t>
      </w:r>
      <w:r>
        <w:tab/>
      </w:r>
      <w:r>
        <w:rPr>
          <w:i/>
          <w:iCs/>
        </w:rPr>
        <w:t xml:space="preserve">призывает </w:t>
      </w:r>
      <w:r>
        <w:t>каждую Сторону эффективно участвовать в обследованиях и консультациях, проводимых с ориентацией на эту область работы, с тем чтобы выявлять достижения, надлежащую практику и вызовы, связанные с осуществлением пункта 7 статьи 3 Конвенции;</w:t>
      </w:r>
    </w:p>
    <w:p w14:paraId="11FD5E7B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8.</w:t>
      </w:r>
      <w:r>
        <w:tab/>
      </w:r>
      <w:r>
        <w:rPr>
          <w:i/>
          <w:iCs/>
        </w:rPr>
        <w:t xml:space="preserve">постановляет </w:t>
      </w:r>
      <w:r>
        <w:t>продолжить работу по пропаганде применения принципов Конвенции на международных форумах под руководством Рабочей группы Сторон;</w:t>
      </w:r>
    </w:p>
    <w:p w14:paraId="401E5F50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9.</w:t>
      </w:r>
      <w:r>
        <w:tab/>
      </w:r>
      <w:r>
        <w:rPr>
          <w:i/>
          <w:iCs/>
        </w:rPr>
        <w:t xml:space="preserve">приветствует </w:t>
      </w:r>
      <w:r>
        <w:t>предложение Франции возглавить работу по пропаганде применения принципов Конвенции на международных форумах;</w:t>
      </w:r>
    </w:p>
    <w:p w14:paraId="683B569A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10.</w:t>
      </w:r>
      <w:r>
        <w:tab/>
      </w:r>
      <w:r>
        <w:rPr>
          <w:i/>
          <w:iCs/>
        </w:rPr>
        <w:t xml:space="preserve">просит </w:t>
      </w:r>
      <w:r>
        <w:t>Рабочую группу:</w:t>
      </w:r>
    </w:p>
    <w:p w14:paraId="47764A48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a)</w:t>
      </w:r>
      <w:r>
        <w:tab/>
        <w:t xml:space="preserve">регулярно созывать в ходе своих совещаний, исходя из потребностей, тематические заседания, посвященные пропаганде принципов Конвенции на международных форумах, с тем чтобы обеспечить для Сторон, сигнатариев, других заинтересованных государств, международных организаций и заинтересованных субъектов возможности обмениваться в контексте содействия применению принципов Конвенции опытом, относящимся к тем международным форумам по смыслу определения, содержащегося в пункте 4 Алматинского руководства, которые были определены Сторонами или заинтересованными субъектами в качестве имеющих особо приоритетное значение; а если она сочтет, что один или несколько конкретных вопросов заслуживают дополнительного углубленного рассмотрения, — проводить на разовой основе рабочие совещания или другие мероприятия по этому(им) вопросу(ам) и/или поручить консультанту или группе экспертов изучить его/их и сообщить о своих выводах Рабочей группе, при условии наличия ресурсов; </w:t>
      </w:r>
    </w:p>
    <w:p w14:paraId="200C7B0F" w14:textId="6B70E70F" w:rsidR="00D07AE0" w:rsidRPr="00860B94" w:rsidRDefault="00F63539" w:rsidP="00F63539">
      <w:pPr>
        <w:pStyle w:val="SingleTxtG"/>
      </w:pPr>
      <w:r>
        <w:tab/>
      </w:r>
      <w:r w:rsidR="00D07AE0">
        <w:t>b)</w:t>
      </w:r>
      <w:r w:rsidR="00D07AE0">
        <w:tab/>
        <w:t xml:space="preserve">уделять особое внимание форумам, посвященным нынешним насущным глобальным экологическим проблемами, таким, как угрозы морской среде, загрязнение воздуха, изменение климата, энергетика, обезлесение и деградация лесов, утрата биоразнообразия и экологические последствия сельскохозяйственной деятельности, землепользование и изменения в землепользовании, генетически измененные организмы, новые и появляющиеся технологии, включая геоинжиниринг, и таким вопросам, как торговля, торговля выбросами углерода и другие рыночные механизмы, а также оценке воздействия на окружающую среду в трансграничном контексте, признавая, что другие форумы также могут стать объектом внимания при условии принятия Сторонами соответствующего решения; </w:t>
      </w:r>
    </w:p>
    <w:p w14:paraId="19D9AC31" w14:textId="7614DA8B" w:rsidR="00D07AE0" w:rsidRPr="00860B94" w:rsidRDefault="00F63539" w:rsidP="00F63539">
      <w:pPr>
        <w:pStyle w:val="SingleTxtG"/>
      </w:pPr>
      <w:r>
        <w:lastRenderedPageBreak/>
        <w:tab/>
      </w:r>
      <w:r w:rsidR="00D07AE0">
        <w:t>c)</w:t>
      </w:r>
      <w:r w:rsidR="00D07AE0">
        <w:tab/>
        <w:t>продолжить рассмотрение сквозных вопросов, включая обеспечение сбалансированного и равноправного участия, разные условия привлечения заинтересованных сторон, обязательства государств в отношении ответственности субъектов предпринимательской деятельности, находящихся под их юрисдикцией, и</w:t>
      </w:r>
      <w:r>
        <w:rPr>
          <w:lang w:val="en-US"/>
        </w:rPr>
        <w:t> </w:t>
      </w:r>
      <w:r w:rsidR="00D07AE0">
        <w:t xml:space="preserve">влияние пандемии коронавирусного заболевания (COVID-19) на участие общественности в международных форумах; </w:t>
      </w:r>
    </w:p>
    <w:p w14:paraId="4EAFA10D" w14:textId="77777777" w:rsidR="00D07AE0" w:rsidRPr="00860B94" w:rsidRDefault="00D07AE0" w:rsidP="00D07AE0">
      <w:pPr>
        <w:pStyle w:val="SingleTxtG"/>
        <w:ind w:firstLine="567"/>
      </w:pPr>
      <w:r>
        <w:t>d)</w:t>
      </w:r>
      <w:r>
        <w:tab/>
        <w:t>продолжить мониторинг усилий по пропаганде принципов Орхусской конвенции среди международных финансовых учреждений, а также в связи с процессом принятия решений, имеющих отношение к Программе Организации Объединенных Наций по окружающей среде, Ассамблее Организации Объединенных Наций по окружающей среде Программы Организации Объединенных Наций по окружающей среде, изменению климата и устойчивому развитию;</w:t>
      </w:r>
    </w:p>
    <w:p w14:paraId="42C253FA" w14:textId="1075CF51" w:rsidR="00D07AE0" w:rsidRPr="00860B94" w:rsidRDefault="008571BC" w:rsidP="00D07AE0">
      <w:pPr>
        <w:pStyle w:val="SingleTxtG"/>
        <w:rPr>
          <w:rFonts w:eastAsia="Calibri"/>
        </w:rPr>
      </w:pPr>
      <w:r>
        <w:tab/>
      </w:r>
      <w:r w:rsidR="00D07AE0">
        <w:t>11.</w:t>
      </w:r>
      <w:r w:rsidR="00D07AE0">
        <w:tab/>
      </w:r>
      <w:r w:rsidR="00D07AE0">
        <w:rPr>
          <w:i/>
          <w:iCs/>
        </w:rPr>
        <w:t xml:space="preserve">просит </w:t>
      </w:r>
      <w:r w:rsidR="00D07AE0">
        <w:t>секретариат при условии наличия ресурсов:</w:t>
      </w:r>
    </w:p>
    <w:p w14:paraId="341C7902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a)</w:t>
      </w:r>
      <w:r>
        <w:tab/>
        <w:t xml:space="preserve">наблюдать за сбором и распространением информации о надлежащей практике и инновационных инициативах с целью пропаганды принципов Конвенции через Орхусский информационно-координационный механизм по вопросам экологической демократии и его онлайновую базу данных о надлежащей практике; </w:t>
      </w:r>
    </w:p>
    <w:p w14:paraId="435B1DBD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 xml:space="preserve">b) </w:t>
      </w:r>
      <w:r>
        <w:tab/>
        <w:t xml:space="preserve">наблюдать за разработкой руководства по приему международных мероприятий для оказания принимающим странам помощи в применении соответствующей надлежащей практики в отношении доступа к информации и участия общественности; </w:t>
      </w:r>
    </w:p>
    <w:p w14:paraId="1990B79A" w14:textId="1910EF40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c)</w:t>
      </w:r>
      <w:r>
        <w:tab/>
        <w:t>наблюдать за разработкой руководящих материалов с разъяснениями обязательств, связанных с пунктом 7 статьи 3, с учетом специфики каждого конкретного форума (занимающегося, например, химическими веществами и отходами, проблемой изменения климата, энергетикой, торговлей, вопросами здравоохранения, биобезопасностью, новыми или появляющимися технологиями, включая геоинжиниринг, и т.</w:t>
      </w:r>
      <w:r w:rsidR="00F63539" w:rsidRPr="00F63539">
        <w:t xml:space="preserve"> </w:t>
      </w:r>
      <w:r>
        <w:t>д.), с тем чтобы оказывать содействие Сторонам, заинтересованным странам, заинтересованным субъектам и соответствующим форумам;</w:t>
      </w:r>
    </w:p>
    <w:p w14:paraId="5FE03D8D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bookmarkStart w:id="0" w:name="_Hlk57998029"/>
      <w:r>
        <w:t>d)</w:t>
      </w:r>
      <w:r>
        <w:tab/>
        <w:t>провести со Сторонами и другими заинтересованными государствами, международными форумами, подпадающими под сферу охвата настоящего решения, неправительственными организациями и другими соответствующими субъектами процесс консультаций по надлежащей практике и условиям, способствующим обеспечению сбалансированного и равноправного участия, как оно определено в Алматинском руководстве</w:t>
      </w:r>
      <w:r>
        <w:rPr>
          <w:rStyle w:val="aa"/>
          <w:rFonts w:eastAsia="Calibri"/>
        </w:rPr>
        <w:footnoteReference w:id="13"/>
      </w:r>
      <w:r>
        <w:t>, а также поручить консультанту изучить этот вопрос и полученные материалы и сообщить о выводах Рабочей группе Сторон;</w:t>
      </w:r>
    </w:p>
    <w:bookmarkEnd w:id="0"/>
    <w:p w14:paraId="38A62350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e)</w:t>
      </w:r>
      <w:r>
        <w:tab/>
        <w:t>предоставлять по запросу экспертную помощь, включая при целесообразности подготовку комментариев к проектам документов и участие экспертов в совещаниях или мероприятиях, организуемых международными форумами, учебных сессиях, рабочих совещаниях, деятельности центров обучения или других платформ:</w:t>
      </w:r>
    </w:p>
    <w:p w14:paraId="58A58CC7" w14:textId="77777777" w:rsidR="00D07AE0" w:rsidRPr="00860B94" w:rsidRDefault="00D07AE0" w:rsidP="00D07AE0">
      <w:pPr>
        <w:pStyle w:val="SingleTxtG"/>
        <w:ind w:left="1689"/>
        <w:rPr>
          <w:rFonts w:eastAsia="Calibri"/>
        </w:rPr>
      </w:pPr>
      <w:r>
        <w:t>i)</w:t>
      </w:r>
      <w:r>
        <w:tab/>
        <w:t>заинтересованным международным форумам, стремящимся к большей транспарентности и партисипативности их процессов;</w:t>
      </w:r>
    </w:p>
    <w:p w14:paraId="62168A87" w14:textId="77777777" w:rsidR="00D07AE0" w:rsidRPr="00860B94" w:rsidRDefault="00D07AE0" w:rsidP="00D07AE0">
      <w:pPr>
        <w:pStyle w:val="SingleTxtG"/>
        <w:ind w:left="1689"/>
        <w:rPr>
          <w:rFonts w:eastAsia="Calibri"/>
        </w:rPr>
      </w:pPr>
      <w:r>
        <w:t>ii)</w:t>
      </w:r>
      <w:r>
        <w:tab/>
        <w:t xml:space="preserve">отдельным Сторонам, желающим создать инструменты или механизмы оказания общественности помощи в повышении эффективности ее участия в международных форумах, в частности при организации важной конференции какого-либо международного форума; </w:t>
      </w:r>
    </w:p>
    <w:p w14:paraId="15CD4DE3" w14:textId="39B71B54" w:rsidR="00D07AE0" w:rsidRPr="00860B94" w:rsidRDefault="00D07AE0" w:rsidP="00D07AE0">
      <w:pPr>
        <w:pStyle w:val="SingleTxtG"/>
        <w:rPr>
          <w:rFonts w:eastAsia="Calibri"/>
        </w:rPr>
      </w:pPr>
      <w:r>
        <w:tab/>
        <w:t>12.</w:t>
      </w:r>
      <w:r>
        <w:tab/>
      </w:r>
      <w:r>
        <w:rPr>
          <w:i/>
          <w:iCs/>
        </w:rPr>
        <w:t xml:space="preserve">предлагает </w:t>
      </w:r>
      <w:r>
        <w:t>Сторонам, сигнатариям, международным и другим организациям продолжать оказывать поддержку в осуществлении пункта 7 статьи 3 Конвенции:</w:t>
      </w:r>
    </w:p>
    <w:p w14:paraId="0031C613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lastRenderedPageBreak/>
        <w:t>a)</w:t>
      </w:r>
      <w:r>
        <w:tab/>
        <w:t>на национальном уровне — путем поддержки участия общественности до, в ходе и после совещаний и мероприятий международных форумов;</w:t>
      </w:r>
    </w:p>
    <w:p w14:paraId="10887AC2" w14:textId="77777777" w:rsidR="00D07AE0" w:rsidRPr="00860B94" w:rsidRDefault="00D07AE0" w:rsidP="00D07AE0">
      <w:pPr>
        <w:pStyle w:val="SingleTxtG"/>
        <w:ind w:firstLine="567"/>
        <w:rPr>
          <w:rFonts w:eastAsia="Calibri"/>
        </w:rPr>
      </w:pPr>
      <w:r>
        <w:t>b)</w:t>
      </w:r>
      <w:r>
        <w:tab/>
        <w:t>на международном уровне — путем поддержки международных форумов для содействия более эффективному участию общественности в их проектах, процессах и политике;</w:t>
      </w:r>
    </w:p>
    <w:p w14:paraId="5C01C5D1" w14:textId="09004D80" w:rsidR="00D07AE0" w:rsidRDefault="00D07AE0" w:rsidP="00D07AE0">
      <w:pPr>
        <w:pStyle w:val="SingleTxtG"/>
      </w:pPr>
      <w:r>
        <w:tab/>
        <w:t>c)</w:t>
      </w:r>
      <w:r>
        <w:tab/>
        <w:t>путем поддержки деятельности по программе работы Конвенции, касающейся этой темы, включая оказываемую секретариатом экспертную помощь и проводимую им работу по наращиванию потенциала, с той целью, чтобы он мог полезным образом реагировать на ожидаемый текущий спрос.</w:t>
      </w:r>
    </w:p>
    <w:p w14:paraId="47548690" w14:textId="6BA9D1FC" w:rsidR="00D07AE0" w:rsidRPr="00D07AE0" w:rsidRDefault="00D07AE0" w:rsidP="00D07A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7AE0" w:rsidRPr="00D07AE0" w:rsidSect="00D07A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213B" w14:textId="77777777" w:rsidR="00827646" w:rsidRPr="00A312BC" w:rsidRDefault="00827646" w:rsidP="00A312BC"/>
  </w:endnote>
  <w:endnote w:type="continuationSeparator" w:id="0">
    <w:p w14:paraId="4B60546B" w14:textId="77777777" w:rsidR="00827646" w:rsidRPr="00A312BC" w:rsidRDefault="008276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1DA4" w14:textId="58BAB341" w:rsidR="00D07AE0" w:rsidRPr="00D07AE0" w:rsidRDefault="00D07AE0">
    <w:pPr>
      <w:pStyle w:val="a8"/>
    </w:pPr>
    <w:r w:rsidRPr="00D07AE0">
      <w:rPr>
        <w:b/>
        <w:sz w:val="18"/>
      </w:rPr>
      <w:fldChar w:fldCharType="begin"/>
    </w:r>
    <w:r w:rsidRPr="00D07AE0">
      <w:rPr>
        <w:b/>
        <w:sz w:val="18"/>
      </w:rPr>
      <w:instrText xml:space="preserve"> PAGE  \* MERGEFORMAT </w:instrText>
    </w:r>
    <w:r w:rsidRPr="00D07AE0">
      <w:rPr>
        <w:b/>
        <w:sz w:val="18"/>
      </w:rPr>
      <w:fldChar w:fldCharType="separate"/>
    </w:r>
    <w:r w:rsidRPr="00D07AE0">
      <w:rPr>
        <w:b/>
        <w:noProof/>
        <w:sz w:val="18"/>
      </w:rPr>
      <w:t>2</w:t>
    </w:r>
    <w:r w:rsidRPr="00D07AE0">
      <w:rPr>
        <w:b/>
        <w:sz w:val="18"/>
      </w:rPr>
      <w:fldChar w:fldCharType="end"/>
    </w:r>
    <w:r>
      <w:rPr>
        <w:b/>
        <w:sz w:val="18"/>
      </w:rPr>
      <w:tab/>
    </w:r>
    <w:r>
      <w:t>GE.21-10070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B2E4" w14:textId="1E2D8A83" w:rsidR="00D07AE0" w:rsidRPr="00D07AE0" w:rsidRDefault="00D07AE0" w:rsidP="00D07AE0">
    <w:pPr>
      <w:pStyle w:val="a8"/>
      <w:tabs>
        <w:tab w:val="clear" w:pos="9639"/>
        <w:tab w:val="right" w:pos="9638"/>
      </w:tabs>
      <w:rPr>
        <w:b/>
        <w:sz w:val="18"/>
      </w:rPr>
    </w:pPr>
    <w:r>
      <w:t>GE.21-10070</w:t>
    </w:r>
    <w:r>
      <w:tab/>
    </w:r>
    <w:r w:rsidRPr="00D07AE0">
      <w:rPr>
        <w:b/>
        <w:sz w:val="18"/>
      </w:rPr>
      <w:fldChar w:fldCharType="begin"/>
    </w:r>
    <w:r w:rsidRPr="00D07AE0">
      <w:rPr>
        <w:b/>
        <w:sz w:val="18"/>
      </w:rPr>
      <w:instrText xml:space="preserve"> PAGE  \* MERGEFORMAT </w:instrText>
    </w:r>
    <w:r w:rsidRPr="00D07AE0">
      <w:rPr>
        <w:b/>
        <w:sz w:val="18"/>
      </w:rPr>
      <w:fldChar w:fldCharType="separate"/>
    </w:r>
    <w:r w:rsidRPr="00D07AE0">
      <w:rPr>
        <w:b/>
        <w:noProof/>
        <w:sz w:val="18"/>
      </w:rPr>
      <w:t>3</w:t>
    </w:r>
    <w:r w:rsidRPr="00D07A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BD20" w14:textId="682AC284" w:rsidR="00042B72" w:rsidRPr="00B0423C" w:rsidRDefault="00A47320" w:rsidP="00D07AE0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B85235" wp14:editId="5F5CA961">
          <wp:simplePos x="0" y="0"/>
          <wp:positionH relativeFrom="margin">
            <wp:posOffset>5480050</wp:posOffset>
          </wp:positionH>
          <wp:positionV relativeFrom="paragraph">
            <wp:posOffset>-148590</wp:posOffset>
          </wp:positionV>
          <wp:extent cx="628650" cy="628650"/>
          <wp:effectExtent l="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E0"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D6C114" wp14:editId="158C87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E0">
      <w:t>21-10070  (R)</w:t>
    </w:r>
    <w:r w:rsidR="00D07A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4D18D" wp14:editId="6CB84482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2BFFF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 w:rsidR="00B0423C">
      <w:rPr>
        <w:lang w:val="en-US"/>
      </w:rPr>
      <w:t xml:space="preserve">  090821  110821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3BF1" w14:textId="77777777" w:rsidR="00827646" w:rsidRPr="001075E9" w:rsidRDefault="008276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9A013E" w14:textId="77777777" w:rsidR="00827646" w:rsidRDefault="008276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155FDA" w14:textId="77777777" w:rsidR="00D07AE0" w:rsidRPr="00D07AE0" w:rsidRDefault="00D07AE0" w:rsidP="00D07AE0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ECE/MP.PP/2005/2/Add.5.</w:t>
      </w:r>
    </w:p>
  </w:footnote>
  <w:footnote w:id="2">
    <w:p w14:paraId="450B27BB" w14:textId="77777777" w:rsidR="00D07AE0" w:rsidRPr="00D07AE0" w:rsidRDefault="00D07AE0" w:rsidP="00D07AE0">
      <w:pPr>
        <w:pStyle w:val="ad"/>
        <w:rPr>
          <w:lang w:val="en-US"/>
        </w:rPr>
      </w:pPr>
      <w:r w:rsidRPr="00DD1259">
        <w:rPr>
          <w:lang w:val="en-US"/>
        </w:rP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ECE/MP.PP/2008/2/Add.6.</w:t>
      </w:r>
    </w:p>
  </w:footnote>
  <w:footnote w:id="3">
    <w:p w14:paraId="57FFFC63" w14:textId="77777777" w:rsidR="00D07AE0" w:rsidRPr="00D07AE0" w:rsidRDefault="00D07AE0" w:rsidP="00D07AE0">
      <w:pPr>
        <w:pStyle w:val="ad"/>
        <w:rPr>
          <w:lang w:val="en-US"/>
        </w:rPr>
      </w:pPr>
      <w:r w:rsidRPr="00DD1259">
        <w:rPr>
          <w:lang w:val="en-US"/>
        </w:rP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ECE/MP.PP/2011/2/Add.1.</w:t>
      </w:r>
    </w:p>
  </w:footnote>
  <w:footnote w:id="4">
    <w:p w14:paraId="1282386F" w14:textId="77777777" w:rsidR="00D07AE0" w:rsidRPr="00D07AE0" w:rsidRDefault="00D07AE0" w:rsidP="00D07AE0">
      <w:pPr>
        <w:pStyle w:val="ad"/>
        <w:rPr>
          <w:lang w:val="en-US"/>
        </w:rPr>
      </w:pPr>
      <w:r w:rsidRPr="00DD1259">
        <w:rPr>
          <w:lang w:val="en-US"/>
        </w:rP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ECE/MP.PP/2014/2/Add.1.</w:t>
      </w:r>
    </w:p>
  </w:footnote>
  <w:footnote w:id="5">
    <w:p w14:paraId="28BBC554" w14:textId="77777777" w:rsidR="00D07AE0" w:rsidRPr="00D07AE0" w:rsidRDefault="00D07AE0" w:rsidP="00D07AE0">
      <w:pPr>
        <w:pStyle w:val="ad"/>
        <w:rPr>
          <w:lang w:val="en-US"/>
        </w:rPr>
      </w:pPr>
      <w:r w:rsidRPr="00DD1259">
        <w:rPr>
          <w:lang w:val="en-US"/>
        </w:rP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ECE/MP.PP/2017/2/Add.1.</w:t>
      </w:r>
    </w:p>
  </w:footnote>
  <w:footnote w:id="6">
    <w:p w14:paraId="468DFA89" w14:textId="77777777" w:rsidR="00D07AE0" w:rsidRPr="00DD1259" w:rsidRDefault="00D07AE0" w:rsidP="00D07AE0">
      <w:pPr>
        <w:pStyle w:val="ad"/>
      </w:pPr>
      <w:r w:rsidRPr="00DD1259">
        <w:rPr>
          <w:lang w:val="en-US"/>
        </w:rP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7">
    <w:p w14:paraId="4FD13D80" w14:textId="77777777" w:rsidR="00D07AE0" w:rsidRPr="00DD1259" w:rsidRDefault="00D07AE0" w:rsidP="00D07AE0">
      <w:pPr>
        <w:pStyle w:val="ad"/>
      </w:pPr>
      <w: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8">
    <w:p w14:paraId="29312846" w14:textId="77777777" w:rsidR="00D07AE0" w:rsidRPr="00DD1259" w:rsidRDefault="00D07AE0" w:rsidP="00D07AE0">
      <w:pPr>
        <w:pStyle w:val="ad"/>
      </w:pPr>
      <w:r>
        <w:tab/>
      </w:r>
      <w:r>
        <w:rPr>
          <w:rStyle w:val="aa"/>
        </w:rPr>
        <w:footnoteRef/>
      </w:r>
      <w:r>
        <w:tab/>
        <w:t>A/HRC/RES/32/31.</w:t>
      </w:r>
    </w:p>
  </w:footnote>
  <w:footnote w:id="9">
    <w:p w14:paraId="5DE2D7ED" w14:textId="77777777" w:rsidR="00D07AE0" w:rsidRPr="00DD1259" w:rsidRDefault="00D07AE0" w:rsidP="00D07AE0">
      <w:pPr>
        <w:pStyle w:val="ad"/>
        <w:widowControl w:val="0"/>
      </w:pPr>
      <w:r>
        <w:tab/>
      </w:r>
      <w:r w:rsidRPr="00695F9D">
        <w:rPr>
          <w:rStyle w:val="aa"/>
        </w:rPr>
        <w:footnoteRef/>
      </w:r>
      <w:r>
        <w:tab/>
        <w:t xml:space="preserve">См. ECE/MP.PP/WG.1/2018/2, ECE/MP.PP/WG.1/2019/2, ECE/MP.PP/WG.1/2020/2 и ECE/MP.PP/WG.1/2021/2 (готовится к выпуску). </w:t>
      </w:r>
    </w:p>
  </w:footnote>
  <w:footnote w:id="10">
    <w:p w14:paraId="62827869" w14:textId="77777777" w:rsidR="00D07AE0" w:rsidRPr="00DD1259" w:rsidRDefault="00D07AE0" w:rsidP="00D07AE0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См. ECE/MP.PP/2005/2/Add.5, решение II/4, приложение.</w:t>
      </w:r>
    </w:p>
  </w:footnote>
  <w:footnote w:id="11">
    <w:p w14:paraId="425241C4" w14:textId="77777777" w:rsidR="00D07AE0" w:rsidRPr="00D07AE0" w:rsidRDefault="00D07AE0" w:rsidP="00D07AE0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DD1259">
        <w:rPr>
          <w:lang w:val="en-US"/>
        </w:rPr>
        <w:tab/>
      </w:r>
      <w:r>
        <w:t>См</w:t>
      </w:r>
      <w:r w:rsidRPr="00DD1259">
        <w:rPr>
          <w:lang w:val="en-US"/>
        </w:rPr>
        <w:t>. ECE/MP.PP/C.1/2021/6.</w:t>
      </w:r>
    </w:p>
  </w:footnote>
  <w:footnote w:id="12">
    <w:p w14:paraId="68B1CC13" w14:textId="1FF3F3C8" w:rsidR="00D07AE0" w:rsidRPr="00D07AE0" w:rsidRDefault="00D07AE0" w:rsidP="00D07AE0">
      <w:pPr>
        <w:pStyle w:val="ad"/>
        <w:rPr>
          <w:lang w:val="en-US"/>
        </w:rPr>
      </w:pPr>
      <w:r w:rsidRPr="00DD1259">
        <w:rPr>
          <w:lang w:val="en-US"/>
        </w:rPr>
        <w:tab/>
      </w:r>
      <w:r>
        <w:rPr>
          <w:rStyle w:val="aa"/>
        </w:rPr>
        <w:footnoteRef/>
      </w:r>
      <w:r w:rsidRPr="00DD1259">
        <w:rPr>
          <w:lang w:val="en-US"/>
        </w:rPr>
        <w:t xml:space="preserve"> </w:t>
      </w:r>
      <w:r w:rsidRPr="00DD1259">
        <w:rPr>
          <w:lang w:val="en-US"/>
        </w:rPr>
        <w:tab/>
        <w:t xml:space="preserve">URL: </w:t>
      </w:r>
      <w:hyperlink r:id="rId1" w:history="1">
        <w:r w:rsidR="00F63539" w:rsidRPr="00DD6AEA">
          <w:rPr>
            <w:rStyle w:val="af1"/>
            <w:lang w:val="en-US"/>
          </w:rPr>
          <w:t>https://unece.org/fileadmin/DAM/env/pp/ppif/Checklist/Checklist_of_measures_for_national_action_plan_on_PPIF_final_En_2018.pdf</w:t>
        </w:r>
      </w:hyperlink>
      <w:r w:rsidRPr="00DD1259">
        <w:rPr>
          <w:lang w:val="en-US"/>
        </w:rPr>
        <w:t>.</w:t>
      </w:r>
    </w:p>
  </w:footnote>
  <w:footnote w:id="13">
    <w:p w14:paraId="07EEE6DF" w14:textId="77777777" w:rsidR="00D07AE0" w:rsidRPr="00D17011" w:rsidRDefault="00D07AE0" w:rsidP="00D07AE0">
      <w:pPr>
        <w:pStyle w:val="ad"/>
      </w:pPr>
      <w:r w:rsidRPr="00DD1259">
        <w:rPr>
          <w:lang w:val="en-US"/>
        </w:rPr>
        <w:tab/>
      </w:r>
      <w:r>
        <w:rPr>
          <w:rStyle w:val="aa"/>
        </w:rPr>
        <w:footnoteRef/>
      </w:r>
      <w:r>
        <w:tab/>
        <w:t>Там же, п.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7F5F" w14:textId="17A90A69" w:rsidR="00D07AE0" w:rsidRPr="00D07AE0" w:rsidRDefault="00D07AE0">
    <w:pPr>
      <w:pStyle w:val="a5"/>
    </w:pPr>
    <w:fldSimple w:instr=" TITLE  \* MERGEFORMAT ">
      <w:r w:rsidR="00760D4D">
        <w:t>ECE/MP.PP/2021/11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DD3B" w14:textId="0435E51E" w:rsidR="00D07AE0" w:rsidRPr="00D07AE0" w:rsidRDefault="00D07AE0" w:rsidP="00D07AE0">
    <w:pPr>
      <w:pStyle w:val="a5"/>
      <w:jc w:val="right"/>
    </w:pPr>
    <w:fldSimple w:instr=" TITLE  \* MERGEFORMAT ">
      <w:r w:rsidR="00760D4D">
        <w:t>ECE/MP.PP/2021/11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4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1EC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07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D4D"/>
    <w:rsid w:val="00792497"/>
    <w:rsid w:val="00806737"/>
    <w:rsid w:val="00825F8D"/>
    <w:rsid w:val="00827646"/>
    <w:rsid w:val="00834B71"/>
    <w:rsid w:val="008571B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54DA"/>
    <w:rsid w:val="00951972"/>
    <w:rsid w:val="009608F3"/>
    <w:rsid w:val="009A24AC"/>
    <w:rsid w:val="009C59D7"/>
    <w:rsid w:val="009C6FE6"/>
    <w:rsid w:val="009D7E7D"/>
    <w:rsid w:val="00A14DA8"/>
    <w:rsid w:val="00A312BC"/>
    <w:rsid w:val="00A47320"/>
    <w:rsid w:val="00A84021"/>
    <w:rsid w:val="00A84D35"/>
    <w:rsid w:val="00A917B3"/>
    <w:rsid w:val="00AB4B51"/>
    <w:rsid w:val="00B0423C"/>
    <w:rsid w:val="00B10CC7"/>
    <w:rsid w:val="00B36DF7"/>
    <w:rsid w:val="00B539E7"/>
    <w:rsid w:val="00B62458"/>
    <w:rsid w:val="00B8622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7AE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53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9A025"/>
  <w15:docId w15:val="{81E3B5B2-8DA1-436E-8664-969153DE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07AE0"/>
    <w:rPr>
      <w:lang w:val="ru-RU" w:eastAsia="en-US"/>
    </w:rPr>
  </w:style>
  <w:style w:type="paragraph" w:customStyle="1" w:styleId="Default">
    <w:name w:val="Default"/>
    <w:rsid w:val="00D07A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Unresolved Mention"/>
    <w:basedOn w:val="a0"/>
    <w:uiPriority w:val="99"/>
    <w:semiHidden/>
    <w:unhideWhenUsed/>
    <w:rsid w:val="00F6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env/pp/ppif/Checklist/Checklist_of_measures_for_national_action_plan_on_PPIF_final_En_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4" ma:contentTypeDescription="Create a new document." ma:contentTypeScope="" ma:versionID="c5a05747911024e3eda16fb23ab92bec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14640dafcded05448e0d099bd593117a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773244A8-99DF-44AB-9843-F6371B729DFC}"/>
</file>

<file path=customXml/itemProps2.xml><?xml version="1.0" encoding="utf-8"?>
<ds:datastoreItem xmlns:ds="http://schemas.openxmlformats.org/officeDocument/2006/customXml" ds:itemID="{65EC96FC-C73A-4D06-A094-6D7592E804AB}"/>
</file>

<file path=customXml/itemProps3.xml><?xml version="1.0" encoding="utf-8"?>
<ds:datastoreItem xmlns:ds="http://schemas.openxmlformats.org/officeDocument/2006/customXml" ds:itemID="{862345EB-4209-41CB-BC96-C4F29280EC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1901</Words>
  <Characters>13815</Characters>
  <Application>Microsoft Office Word</Application>
  <DocSecurity>0</DocSecurity>
  <Lines>259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ECE/MP.PP/2021/11</vt:lpstr>
      <vt:lpstr>A/</vt:lpstr>
      <vt:lpstr>A/</vt:lpstr>
    </vt:vector>
  </TitlesOfParts>
  <Company>DCM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ECE/MP.PP/2021/11</dc:title>
  <dc:subject/>
  <dc:creator>Marina KOROTKOVA</dc:creator>
  <cp:keywords/>
  <dc:description/>
  <cp:lastModifiedBy>Ioulia Goussarova</cp:lastModifiedBy>
  <cp:revision>3</cp:revision>
  <cp:lastPrinted>2021-08-11T15:37:00Z</cp:lastPrinted>
  <dcterms:created xsi:type="dcterms:W3CDTF">2021-08-11T15:37:00Z</dcterms:created>
  <dcterms:modified xsi:type="dcterms:W3CDTF">2021-08-11T15:37:00Z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