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6F827E3A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40BA11D2" w14:textId="77777777" w:rsidR="002D5AAC" w:rsidRDefault="002D5AAC" w:rsidP="000B45B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3D4A8D37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70184E58" w14:textId="4D7DF448" w:rsidR="002D5AAC" w:rsidRDefault="000B45BD" w:rsidP="000B45BD">
            <w:pPr>
              <w:jc w:val="right"/>
            </w:pPr>
            <w:r w:rsidRPr="000B45BD">
              <w:rPr>
                <w:sz w:val="40"/>
              </w:rPr>
              <w:t>ECE</w:t>
            </w:r>
            <w:r>
              <w:t>/MP.PP/2021/10</w:t>
            </w:r>
          </w:p>
        </w:tc>
      </w:tr>
      <w:tr w:rsidR="002D5AAC" w:rsidRPr="000B45BD" w14:paraId="5C5BF978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C316570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1EAB0399" wp14:editId="21B5CF8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E0D68F6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0CBB0D51" w14:textId="77777777" w:rsidR="002D5AAC" w:rsidRDefault="000B45BD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78A77175" w14:textId="77777777" w:rsidR="000B45BD" w:rsidRDefault="000B45BD" w:rsidP="000B45BD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21 July 2021</w:t>
            </w:r>
          </w:p>
          <w:p w14:paraId="1FD6DEAC" w14:textId="77777777" w:rsidR="000B45BD" w:rsidRDefault="000B45BD" w:rsidP="000B45BD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33804ECE" w14:textId="763F7E0C" w:rsidR="000B45BD" w:rsidRPr="008D53B6" w:rsidRDefault="000B45BD" w:rsidP="000B45BD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4F7E591E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014FE814" w14:textId="11D697B9" w:rsidR="000B45BD" w:rsidRPr="000B45BD" w:rsidRDefault="000B45BD" w:rsidP="000B45BD">
      <w:pPr>
        <w:spacing w:before="120"/>
        <w:rPr>
          <w:sz w:val="28"/>
          <w:szCs w:val="28"/>
        </w:rPr>
      </w:pPr>
      <w:r w:rsidRPr="000B45BD">
        <w:rPr>
          <w:sz w:val="28"/>
          <w:szCs w:val="28"/>
        </w:rPr>
        <w:t xml:space="preserve">Совещание Сторон Конвенции о доступе </w:t>
      </w:r>
      <w:r>
        <w:rPr>
          <w:sz w:val="28"/>
          <w:szCs w:val="28"/>
        </w:rPr>
        <w:br/>
      </w:r>
      <w:r w:rsidRPr="000B45BD">
        <w:rPr>
          <w:sz w:val="28"/>
          <w:szCs w:val="28"/>
        </w:rPr>
        <w:t xml:space="preserve">к информации, участии общественности </w:t>
      </w:r>
      <w:r>
        <w:rPr>
          <w:sz w:val="28"/>
          <w:szCs w:val="28"/>
        </w:rPr>
        <w:br/>
      </w:r>
      <w:r w:rsidRPr="000B45BD">
        <w:rPr>
          <w:sz w:val="28"/>
          <w:szCs w:val="28"/>
        </w:rPr>
        <w:t xml:space="preserve">в процессе принятия решений и доступе </w:t>
      </w:r>
      <w:r>
        <w:rPr>
          <w:sz w:val="28"/>
          <w:szCs w:val="28"/>
        </w:rPr>
        <w:br/>
      </w:r>
      <w:r w:rsidRPr="000B45BD">
        <w:rPr>
          <w:sz w:val="28"/>
          <w:szCs w:val="28"/>
        </w:rPr>
        <w:t xml:space="preserve">к правосудию по вопросам, касающимся </w:t>
      </w:r>
      <w:r>
        <w:rPr>
          <w:sz w:val="28"/>
          <w:szCs w:val="28"/>
        </w:rPr>
        <w:br/>
      </w:r>
      <w:r w:rsidRPr="000B45BD">
        <w:rPr>
          <w:sz w:val="28"/>
          <w:szCs w:val="28"/>
        </w:rPr>
        <w:t>окружающей среды</w:t>
      </w:r>
    </w:p>
    <w:p w14:paraId="7186F678" w14:textId="77777777" w:rsidR="000B45BD" w:rsidRPr="0054138B" w:rsidRDefault="000B45BD" w:rsidP="000B45BD">
      <w:pPr>
        <w:spacing w:before="120"/>
        <w:rPr>
          <w:b/>
          <w:bCs/>
        </w:rPr>
      </w:pPr>
      <w:r w:rsidRPr="0054138B">
        <w:rPr>
          <w:b/>
          <w:bCs/>
        </w:rPr>
        <w:t>Седьмая сессия</w:t>
      </w:r>
    </w:p>
    <w:p w14:paraId="61AA4411" w14:textId="121AA7A3" w:rsidR="000B45BD" w:rsidRPr="0054138B" w:rsidRDefault="000B45BD" w:rsidP="000B45BD">
      <w:r w:rsidRPr="0054138B">
        <w:t>Женева, 18</w:t>
      </w:r>
      <w:r w:rsidRPr="00B42905">
        <w:t>–</w:t>
      </w:r>
      <w:r w:rsidRPr="0054138B">
        <w:t>20 октября 2021 года</w:t>
      </w:r>
    </w:p>
    <w:p w14:paraId="5C0229E6" w14:textId="77777777" w:rsidR="000B45BD" w:rsidRPr="0054138B" w:rsidRDefault="000B45BD" w:rsidP="000B45BD">
      <w:pPr>
        <w:spacing w:line="240" w:lineRule="auto"/>
      </w:pPr>
      <w:r w:rsidRPr="0054138B">
        <w:t>Пункт 6 с) предварительной повестки дня</w:t>
      </w:r>
    </w:p>
    <w:p w14:paraId="2ADEEBE8" w14:textId="5A0E41B5" w:rsidR="00E12C5F" w:rsidRDefault="000B45BD" w:rsidP="000B45BD">
      <w:r w:rsidRPr="0054138B">
        <w:rPr>
          <w:b/>
          <w:bCs/>
        </w:rPr>
        <w:t>Вопросы существа: доступ к правосудию</w:t>
      </w:r>
    </w:p>
    <w:p w14:paraId="38484287" w14:textId="77777777" w:rsidR="000B45BD" w:rsidRPr="0054138B" w:rsidRDefault="000B45BD" w:rsidP="000B45BD">
      <w:pPr>
        <w:pStyle w:val="HChG"/>
        <w:rPr>
          <w:i/>
          <w:sz w:val="22"/>
          <w:szCs w:val="22"/>
        </w:rPr>
      </w:pPr>
      <w:r w:rsidRPr="0054138B">
        <w:tab/>
      </w:r>
      <w:r w:rsidRPr="0054138B">
        <w:tab/>
        <w:t>Проект решения VII/3 о содействии эффективному доступу к правосудию</w:t>
      </w:r>
    </w:p>
    <w:p w14:paraId="77F63DB9" w14:textId="472D1746" w:rsidR="000B45BD" w:rsidRDefault="000B45BD" w:rsidP="000B45BD">
      <w:pPr>
        <w:pStyle w:val="H1G"/>
      </w:pPr>
      <w:r w:rsidRPr="0054138B">
        <w:tab/>
      </w:r>
      <w:r w:rsidRPr="0054138B">
        <w:tab/>
        <w:t>Подготовлен Президиумом</w:t>
      </w:r>
    </w:p>
    <w:tbl>
      <w:tblPr>
        <w:tblStyle w:val="ac"/>
        <w:tblW w:w="0" w:type="auto"/>
        <w:jc w:val="center"/>
        <w:tblLook w:val="05E0" w:firstRow="1" w:lastRow="1" w:firstColumn="1" w:lastColumn="1" w:noHBand="0" w:noVBand="1"/>
      </w:tblPr>
      <w:tblGrid>
        <w:gridCol w:w="9628"/>
      </w:tblGrid>
      <w:tr w:rsidR="000B45BD" w:rsidRPr="000B45BD" w14:paraId="4D0E1218" w14:textId="77777777" w:rsidTr="00850215">
        <w:trPr>
          <w:jc w:val="center"/>
        </w:trPr>
        <w:tc>
          <w:tcPr>
            <w:tcW w:w="9637" w:type="dxa"/>
            <w:tcBorders>
              <w:bottom w:val="nil"/>
            </w:tcBorders>
          </w:tcPr>
          <w:p w14:paraId="5E931EB6" w14:textId="77777777" w:rsidR="000B45BD" w:rsidRPr="000B45BD" w:rsidRDefault="000B45BD" w:rsidP="00850215">
            <w:pPr>
              <w:tabs>
                <w:tab w:val="left" w:pos="255"/>
              </w:tabs>
              <w:spacing w:before="240" w:after="120"/>
              <w:rPr>
                <w:rFonts w:cs="Times New Roman"/>
                <w:sz w:val="24"/>
              </w:rPr>
            </w:pPr>
            <w:r w:rsidRPr="000B45BD">
              <w:rPr>
                <w:rFonts w:cs="Times New Roman"/>
              </w:rPr>
              <w:tab/>
            </w:r>
            <w:r w:rsidRPr="000B45BD">
              <w:rPr>
                <w:rFonts w:cs="Times New Roman"/>
                <w:i/>
                <w:sz w:val="24"/>
              </w:rPr>
              <w:t>Резюме</w:t>
            </w:r>
          </w:p>
        </w:tc>
      </w:tr>
      <w:tr w:rsidR="000B45BD" w:rsidRPr="000B45BD" w14:paraId="33971D87" w14:textId="77777777" w:rsidTr="00850215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14:paraId="07D2E034" w14:textId="77777777" w:rsidR="000B45BD" w:rsidRDefault="000B45BD" w:rsidP="000B45BD">
            <w:pPr>
              <w:pStyle w:val="SingleTxtG"/>
            </w:pPr>
            <w:r>
              <w:tab/>
              <w:t>В настоящем документе содержится проект решения о содействии эффективному доступу к правосудию, подготовленный Президиумом Конвенции о доступе к информации, участии общественности в процессе принятия решений и доступе к правосудию по вопросам, касающимся окружающей среды (</w:t>
            </w:r>
            <w:proofErr w:type="spellStart"/>
            <w:r>
              <w:t>Орхусская</w:t>
            </w:r>
            <w:proofErr w:type="spellEnd"/>
            <w:r>
              <w:t xml:space="preserve"> конвенция).  </w:t>
            </w:r>
          </w:p>
          <w:p w14:paraId="3FEFD227" w14:textId="662466A7" w:rsidR="000B45BD" w:rsidRDefault="000B45BD" w:rsidP="000B45BD">
            <w:pPr>
              <w:pStyle w:val="SingleTxtG"/>
            </w:pPr>
            <w:r>
              <w:tab/>
              <w:t>Рабочая группа Сторон Конвенции на своем двадцать четвертом совещании (Женева, 1–3 июля и 28 и 29 октября 2020 года) просила Президиум подготовить проект решения о доступе к правосудию для седьмой сессии Совещания Сторон (ECE/MP.PP/WG.1/2020/2).</w:t>
            </w:r>
          </w:p>
          <w:p w14:paraId="6E5E02E6" w14:textId="1D830164" w:rsidR="000B45BD" w:rsidRDefault="000B45BD" w:rsidP="000B45BD">
            <w:pPr>
              <w:pStyle w:val="SingleTxtG"/>
            </w:pPr>
            <w:r>
              <w:tab/>
              <w:t>Настоящий документ был подготовлен Президиумом на основе соответствующих итогов двадцать четвертого совещания Рабочей группы Сторон; записки Председателя Целевой группы по доступу к правосудию (AC/WGP-24/Inf.3); итогов работы, проделанной Целевой группой по доступу к правосудию в текущий межсессионный период; и решения VI/3 о содействии эффективному доступу к правосудию (ECE/MP.PP/2017/2/Add.1), принятого Совещанием Сторон на его шестой сессии (</w:t>
            </w:r>
            <w:proofErr w:type="spellStart"/>
            <w:r>
              <w:t>Будва</w:t>
            </w:r>
            <w:proofErr w:type="spellEnd"/>
            <w:r>
              <w:t xml:space="preserve">, Черногория, 11–14 сентября 2017 года). </w:t>
            </w:r>
          </w:p>
          <w:p w14:paraId="27A21E81" w14:textId="45D9224F" w:rsidR="000B45BD" w:rsidRDefault="000B45BD" w:rsidP="000B45BD">
            <w:pPr>
              <w:pStyle w:val="SingleTxtG"/>
            </w:pPr>
            <w:r>
              <w:tab/>
              <w:t xml:space="preserve">После двадцать четвертого совещания Рабочей группы были обеспечены возможности для проведения открытых консультаций по настоящему проекту документа с участием национальных координационных центров и заинтересованных субъектов. После них Президиум пересмотрел проект документа в свете полученных замечаний и представил его Рабочей группе для рассмотрения и утверждения на ее двадцать пятом совещании (Женева, 3 мая и 7 и 8 июня 2021 года) с целью </w:t>
            </w:r>
            <w:r>
              <w:lastRenderedPageBreak/>
              <w:t>последующего препровождения Совещанию Сторон для рассмотрения на его седьмой сессии.</w:t>
            </w:r>
          </w:p>
          <w:p w14:paraId="2FD904BA" w14:textId="7B0E140E" w:rsidR="000B45BD" w:rsidRPr="000B45BD" w:rsidRDefault="000B45BD" w:rsidP="000B45BD">
            <w:pPr>
              <w:pStyle w:val="SingleTxtG"/>
            </w:pPr>
            <w:r>
              <w:tab/>
              <w:t>На своем двадцать пятом совещании Рабочая группа пересмотрела и одобрила с внесенными на совещании поправками проект решения о содействии эффективному доступу к правосудию (AC/WGP-25/CRP.5) и просила секретариат представить его Совещанию Сторон для рассмотрения на его седьмой сессии.</w:t>
            </w:r>
          </w:p>
        </w:tc>
      </w:tr>
      <w:tr w:rsidR="000B45BD" w:rsidRPr="000B45BD" w14:paraId="1015087F" w14:textId="77777777" w:rsidTr="00850215">
        <w:trPr>
          <w:jc w:val="center"/>
        </w:trPr>
        <w:tc>
          <w:tcPr>
            <w:tcW w:w="9637" w:type="dxa"/>
            <w:tcBorders>
              <w:top w:val="nil"/>
            </w:tcBorders>
          </w:tcPr>
          <w:p w14:paraId="4754823C" w14:textId="77777777" w:rsidR="000B45BD" w:rsidRPr="000B45BD" w:rsidRDefault="000B45BD" w:rsidP="00850215">
            <w:pPr>
              <w:rPr>
                <w:rFonts w:cs="Times New Roman"/>
              </w:rPr>
            </w:pPr>
          </w:p>
        </w:tc>
      </w:tr>
    </w:tbl>
    <w:p w14:paraId="4CA20DEF" w14:textId="2DC355D2" w:rsidR="000B45BD" w:rsidRDefault="000B45BD" w:rsidP="000B45BD">
      <w:pPr>
        <w:pStyle w:val="SingleTxtG"/>
      </w:pPr>
    </w:p>
    <w:p w14:paraId="39C017C8" w14:textId="77777777" w:rsidR="000B45BD" w:rsidRDefault="000B45BD">
      <w:pPr>
        <w:suppressAutoHyphens w:val="0"/>
        <w:spacing w:line="240" w:lineRule="auto"/>
        <w:rPr>
          <w:rFonts w:eastAsia="Times New Roman" w:cs="Times New Roman"/>
          <w:szCs w:val="20"/>
        </w:rPr>
      </w:pPr>
      <w:r>
        <w:br w:type="page"/>
      </w:r>
    </w:p>
    <w:p w14:paraId="1EBEE91C" w14:textId="282583DE" w:rsidR="000B45BD" w:rsidRPr="000B45BD" w:rsidRDefault="000B45BD" w:rsidP="000B45BD">
      <w:pPr>
        <w:pStyle w:val="SingleTxtG"/>
        <w:rPr>
          <w:i/>
          <w:iCs/>
        </w:rPr>
      </w:pPr>
      <w:r w:rsidRPr="000B45BD">
        <w:rPr>
          <w:i/>
          <w:iCs/>
        </w:rPr>
        <w:lastRenderedPageBreak/>
        <w:tab/>
      </w:r>
      <w:r w:rsidRPr="000B45BD">
        <w:rPr>
          <w:i/>
          <w:iCs/>
        </w:rPr>
        <w:t xml:space="preserve">Совещание Сторон, </w:t>
      </w:r>
    </w:p>
    <w:p w14:paraId="1D019FEE" w14:textId="02EF0F2B" w:rsidR="000B45BD" w:rsidRDefault="000B45BD" w:rsidP="000B45BD">
      <w:pPr>
        <w:pStyle w:val="SingleTxtG"/>
      </w:pPr>
      <w:r>
        <w:tab/>
      </w:r>
      <w:r w:rsidRPr="000B45BD">
        <w:rPr>
          <w:i/>
          <w:iCs/>
        </w:rPr>
        <w:t xml:space="preserve">ссылаясь </w:t>
      </w:r>
      <w:r>
        <w:t>на положения статьи 9 и другие соответствующие положения Конвенции о доступе к информации, участии общественности в процессе принятия решений и доступе к правосудию по вопросам, касающимся окружающей среды,</w:t>
      </w:r>
    </w:p>
    <w:p w14:paraId="62612F3F" w14:textId="20A80461" w:rsidR="000B45BD" w:rsidRDefault="000B45BD" w:rsidP="000B45BD">
      <w:pPr>
        <w:pStyle w:val="SingleTxtG"/>
      </w:pPr>
      <w:r>
        <w:tab/>
      </w:r>
      <w:r w:rsidR="00660CDA" w:rsidRPr="00775E8D">
        <w:rPr>
          <w:i/>
          <w:iCs/>
        </w:rPr>
        <w:t>ссылаясь также</w:t>
      </w:r>
      <w:r w:rsidR="00660CDA" w:rsidRPr="0054138B">
        <w:t xml:space="preserve"> на свои решения I/5</w:t>
      </w:r>
      <w:r w:rsidR="00660CDA" w:rsidRPr="0054138B">
        <w:rPr>
          <w:rStyle w:val="aa"/>
        </w:rPr>
        <w:footnoteReference w:id="1"/>
      </w:r>
      <w:r w:rsidR="00660CDA" w:rsidRPr="0054138B">
        <w:t>, II/2</w:t>
      </w:r>
      <w:r w:rsidR="00660CDA" w:rsidRPr="0054138B">
        <w:rPr>
          <w:rStyle w:val="aa"/>
        </w:rPr>
        <w:footnoteReference w:id="2"/>
      </w:r>
      <w:r w:rsidR="00660CDA" w:rsidRPr="0054138B">
        <w:t>, III/3</w:t>
      </w:r>
      <w:r w:rsidR="00660CDA" w:rsidRPr="0054138B">
        <w:rPr>
          <w:rStyle w:val="aa"/>
        </w:rPr>
        <w:footnoteReference w:id="3"/>
      </w:r>
      <w:r w:rsidR="00660CDA" w:rsidRPr="0054138B">
        <w:t>, IV/2</w:t>
      </w:r>
      <w:r w:rsidR="00660CDA" w:rsidRPr="0054138B">
        <w:rPr>
          <w:rStyle w:val="aa"/>
        </w:rPr>
        <w:footnoteReference w:id="4"/>
      </w:r>
      <w:r w:rsidR="00660CDA" w:rsidRPr="0054138B">
        <w:t>, V/3</w:t>
      </w:r>
      <w:r w:rsidR="00660CDA" w:rsidRPr="0054138B">
        <w:rPr>
          <w:rStyle w:val="aa"/>
        </w:rPr>
        <w:footnoteReference w:id="5"/>
      </w:r>
      <w:r w:rsidR="00660CDA" w:rsidRPr="0054138B">
        <w:t xml:space="preserve"> и VI/3</w:t>
      </w:r>
      <w:r w:rsidR="00660CDA" w:rsidRPr="0054138B">
        <w:rPr>
          <w:rStyle w:val="aa"/>
        </w:rPr>
        <w:footnoteReference w:id="6"/>
      </w:r>
      <w:r w:rsidR="00660CDA" w:rsidRPr="0054138B">
        <w:t xml:space="preserve"> о содействии эффективному доступу к правосудию, VII/11 о стратегическом плане на 2022–2030 годы</w:t>
      </w:r>
      <w:r w:rsidR="00660CDA" w:rsidRPr="0054138B">
        <w:rPr>
          <w:rStyle w:val="aa"/>
        </w:rPr>
        <w:footnoteReference w:id="7"/>
      </w:r>
      <w:r w:rsidR="00660CDA" w:rsidRPr="0054138B">
        <w:t xml:space="preserve"> и VII/5 о программе работы на 2022–2025 годы</w:t>
      </w:r>
      <w:r w:rsidR="00660CDA" w:rsidRPr="0054138B">
        <w:rPr>
          <w:rStyle w:val="aa"/>
        </w:rPr>
        <w:footnoteReference w:id="8"/>
      </w:r>
      <w:r>
        <w:t>,</w:t>
      </w:r>
    </w:p>
    <w:p w14:paraId="455E7028" w14:textId="5D182923" w:rsidR="000B45BD" w:rsidRDefault="000B45BD" w:rsidP="000B45BD">
      <w:pPr>
        <w:pStyle w:val="SingleTxtG"/>
      </w:pPr>
      <w:r>
        <w:tab/>
      </w:r>
      <w:r w:rsidRPr="000B45BD">
        <w:rPr>
          <w:i/>
          <w:iCs/>
        </w:rPr>
        <w:t xml:space="preserve">заявляя </w:t>
      </w:r>
      <w:r>
        <w:t>о важности роли верховенства закона и необходимости дальнейшего усиления его применения к вопросам, касающимся окружающей среды,</w:t>
      </w:r>
    </w:p>
    <w:p w14:paraId="53019A6D" w14:textId="0E6F40DD" w:rsidR="000B45BD" w:rsidRDefault="000B45BD" w:rsidP="000B45BD">
      <w:pPr>
        <w:pStyle w:val="SingleTxtG"/>
      </w:pPr>
      <w:r>
        <w:tab/>
      </w:r>
      <w:r w:rsidRPr="000B45BD">
        <w:rPr>
          <w:i/>
          <w:iCs/>
        </w:rPr>
        <w:t>вновь напоминая</w:t>
      </w:r>
      <w:r>
        <w:t xml:space="preserve"> о важности затрагивающих общественные интересы судебных разбирательств по вопросам, касающимся окружающей среды, для обеспечения возможностей эффективной судебной защиты прав и законных интересов общественности, а также для повышения прозрачности и усиления подотчетности в процессе принятия решений,</w:t>
      </w:r>
    </w:p>
    <w:p w14:paraId="7F8E3703" w14:textId="5E7A21CB" w:rsidR="000B45BD" w:rsidRDefault="000B45BD" w:rsidP="000B45BD">
      <w:pPr>
        <w:pStyle w:val="SingleTxtG"/>
      </w:pPr>
      <w:r>
        <w:tab/>
      </w:r>
      <w:r w:rsidRPr="00660CDA">
        <w:rPr>
          <w:i/>
          <w:iCs/>
        </w:rPr>
        <w:t>признавая</w:t>
      </w:r>
      <w:r>
        <w:t>, что эффективный доступ к правосудию по вопросам, касающимся окружающей среды, имеет решающее значение для успешного осуществления ряда Целей в области устойчивого развития, в частности цели 16 и ее задач 16.3 и 16.10,</w:t>
      </w:r>
    </w:p>
    <w:p w14:paraId="0DE1721E" w14:textId="083E70CD" w:rsidR="000B45BD" w:rsidRDefault="000B45BD" w:rsidP="000B45BD">
      <w:pPr>
        <w:pStyle w:val="SingleTxtG"/>
      </w:pPr>
      <w:r>
        <w:tab/>
      </w:r>
      <w:r w:rsidRPr="00660CDA">
        <w:rPr>
          <w:i/>
          <w:iCs/>
        </w:rPr>
        <w:t>памятуя</w:t>
      </w:r>
      <w:r>
        <w:t xml:space="preserve"> о том, что национальные доклады об осуществлении, выводы Комитета по соблюдению, соответствующие материалы прецедентного права Сторон и работа, проделанная до настоящего времени под эгидой Целевой группы по доступу к правосудию, в совокупности свидетельствуют о том, что проблемы с полным осуществлением третьего базового компонента Конвенции сохраняются,</w:t>
      </w:r>
    </w:p>
    <w:p w14:paraId="1CE39E7A" w14:textId="5CDD057D" w:rsidR="000B45BD" w:rsidRDefault="000B45BD" w:rsidP="000B45BD">
      <w:pPr>
        <w:pStyle w:val="SingleTxtG"/>
      </w:pPr>
      <w:r>
        <w:tab/>
      </w:r>
      <w:r w:rsidR="00660CDA" w:rsidRPr="0054138B">
        <w:rPr>
          <w:i/>
          <w:iCs/>
        </w:rPr>
        <w:t xml:space="preserve">рассмотрев </w:t>
      </w:r>
      <w:r w:rsidR="00660CDA" w:rsidRPr="0054138B">
        <w:t>доклады Целевой группы по доступу к правосудию и итоги соответствующего тематического заседания Рабочей группы Сторон, проведенного в период после шестой сессии Совещания Сторон</w:t>
      </w:r>
      <w:r w:rsidR="00660CDA" w:rsidRPr="0054138B">
        <w:rPr>
          <w:rStyle w:val="aa"/>
        </w:rPr>
        <w:footnoteReference w:id="9"/>
      </w:r>
      <w:r w:rsidR="00660CDA" w:rsidRPr="0054138B">
        <w:t>,</w:t>
      </w:r>
    </w:p>
    <w:p w14:paraId="63435CED" w14:textId="74781B59" w:rsidR="000B45BD" w:rsidRDefault="000B45BD" w:rsidP="000B45BD">
      <w:pPr>
        <w:pStyle w:val="SingleTxtG"/>
      </w:pPr>
      <w:r>
        <w:tab/>
      </w:r>
      <w:r>
        <w:t>1.</w:t>
      </w:r>
      <w:r>
        <w:tab/>
      </w:r>
      <w:r w:rsidRPr="00660CDA">
        <w:rPr>
          <w:i/>
          <w:iCs/>
        </w:rPr>
        <w:t>с удовлетворением отмечает</w:t>
      </w:r>
      <w:r>
        <w:t xml:space="preserve"> работу, проделанную Целевой группой по доступу к правосудию, и выражает свою признательность Швеции за руководство Целевой группой;</w:t>
      </w:r>
    </w:p>
    <w:p w14:paraId="2A50C930" w14:textId="1EC7558B" w:rsidR="000B45BD" w:rsidRDefault="000B45BD" w:rsidP="000B45BD">
      <w:pPr>
        <w:pStyle w:val="SingleTxtG"/>
      </w:pPr>
      <w:r>
        <w:tab/>
      </w:r>
      <w:r>
        <w:t>2.</w:t>
      </w:r>
      <w:r>
        <w:tab/>
      </w:r>
      <w:r w:rsidRPr="00660CDA">
        <w:rPr>
          <w:i/>
          <w:iCs/>
        </w:rPr>
        <w:t>рекомендует</w:t>
      </w:r>
      <w:r>
        <w:t xml:space="preserve"> Сторонам, </w:t>
      </w:r>
      <w:proofErr w:type="spellStart"/>
      <w:r>
        <w:t>сигнатариям</w:t>
      </w:r>
      <w:proofErr w:type="spellEnd"/>
      <w:r>
        <w:t xml:space="preserve"> и другим заинтересованным государствам прилагать дальнейшие значительные усилия с целью повышения эффективности доступа общественности к правосудию по вопросам, касающимся окружающей среды, устраняя, например, в соответствующих случаях препятствия к нему в плане процессуальной правосубъектности, сферы охвата рассматриваемых дел, издержек и доступа к механизмам оказания помощи, своевременности и средств правовой защиты, стимулируя диалоги между многочисленными заинтересованными сторонами, повышая доступность для общественности соответствующей информации, как того требует Конвенция, и осуществляя инициативы по электронному правосудию</w:t>
      </w:r>
      <w:r w:rsidR="00660CDA">
        <w:rPr>
          <w:rStyle w:val="aa"/>
        </w:rPr>
        <w:footnoteReference w:id="10"/>
      </w:r>
      <w:r>
        <w:t>, а также призывает международные организации и другие заинтересованные стороны поддерживать эти усилия;</w:t>
      </w:r>
    </w:p>
    <w:p w14:paraId="78430F26" w14:textId="4C6EF3AD" w:rsidR="000B45BD" w:rsidRDefault="000B45BD" w:rsidP="000B45BD">
      <w:pPr>
        <w:pStyle w:val="SingleTxtG"/>
      </w:pPr>
      <w:r>
        <w:tab/>
        <w:t>3.</w:t>
      </w:r>
      <w:r>
        <w:tab/>
      </w:r>
      <w:r w:rsidRPr="00660CDA">
        <w:rPr>
          <w:i/>
          <w:iCs/>
        </w:rPr>
        <w:t>приветствует</w:t>
      </w:r>
      <w:r>
        <w:t xml:space="preserve"> предпринимаемые Сторонами, </w:t>
      </w:r>
      <w:proofErr w:type="spellStart"/>
      <w:r>
        <w:t>сигнатариями</w:t>
      </w:r>
      <w:proofErr w:type="spellEnd"/>
      <w:r>
        <w:t xml:space="preserve">, международными организациями и другими заинтересованными субъектами </w:t>
      </w:r>
      <w:r>
        <w:lastRenderedPageBreak/>
        <w:t xml:space="preserve">инициативы по наращиванию потенциала, которые направлены на содействие более эффективному осуществлению статьи 9 Конвенции, и призывает Стороны, </w:t>
      </w:r>
      <w:proofErr w:type="spellStart"/>
      <w:r>
        <w:t>сигнатариев</w:t>
      </w:r>
      <w:proofErr w:type="spellEnd"/>
      <w:r>
        <w:t>, международные организации и других заинтересованных субъектов при целесообразности предпринять такие инициативы в течение следующего межсессионного периода;</w:t>
      </w:r>
    </w:p>
    <w:p w14:paraId="3FA92768" w14:textId="38771BB6" w:rsidR="000B45BD" w:rsidRDefault="000B45BD" w:rsidP="000B45BD">
      <w:pPr>
        <w:pStyle w:val="SingleTxtG"/>
      </w:pPr>
      <w:r>
        <w:tab/>
        <w:t>4.</w:t>
      </w:r>
      <w:r>
        <w:tab/>
      </w:r>
      <w:r w:rsidRPr="009D5C38">
        <w:rPr>
          <w:i/>
          <w:iCs/>
        </w:rPr>
        <w:t>выражает свою признательность</w:t>
      </w:r>
      <w:r>
        <w:t xml:space="preserve"> Сторонам, </w:t>
      </w:r>
      <w:proofErr w:type="spellStart"/>
      <w:r>
        <w:t>сигнатариям</w:t>
      </w:r>
      <w:proofErr w:type="spellEnd"/>
      <w:r>
        <w:t xml:space="preserve"> и другим заинтересованным субъектам за предоставление материала для онлайновой базы данных о правовой практике, касающейся Конвенции, и призывает Стороны, </w:t>
      </w:r>
      <w:proofErr w:type="spellStart"/>
      <w:r>
        <w:t>сигнатариев</w:t>
      </w:r>
      <w:proofErr w:type="spellEnd"/>
      <w:r>
        <w:t xml:space="preserve"> и других заинтересованных субъектов, включая судей, специалистов в области права и представителей академических кругов, использовать эту базу данных и продвигать ее, а также вносить дальнейший вклад в ее совершенствование;</w:t>
      </w:r>
    </w:p>
    <w:p w14:paraId="57598B55" w14:textId="33BB6DFC" w:rsidR="000B45BD" w:rsidRDefault="000B45BD" w:rsidP="000B45BD">
      <w:pPr>
        <w:pStyle w:val="SingleTxtG"/>
      </w:pPr>
      <w:r>
        <w:tab/>
      </w:r>
      <w:r>
        <w:t>5.</w:t>
      </w:r>
      <w:r>
        <w:tab/>
      </w:r>
      <w:r w:rsidRPr="009D5C38">
        <w:rPr>
          <w:i/>
          <w:iCs/>
        </w:rPr>
        <w:t>подчеркивает</w:t>
      </w:r>
      <w:r>
        <w:t xml:space="preserve"> ключевую роль, которую играют суды в толковании положений внутреннего права о доступе к правосудию, и важность толкования таких положений в соответствии с Конвенцией;</w:t>
      </w:r>
    </w:p>
    <w:p w14:paraId="214331D1" w14:textId="1B0541D6" w:rsidR="000B45BD" w:rsidRDefault="000B45BD" w:rsidP="000B45BD">
      <w:pPr>
        <w:pStyle w:val="SingleTxtG"/>
      </w:pPr>
      <w:r>
        <w:tab/>
      </w:r>
      <w:r>
        <w:t>6.</w:t>
      </w:r>
      <w:r>
        <w:tab/>
      </w:r>
      <w:r w:rsidRPr="009D5C38">
        <w:rPr>
          <w:i/>
          <w:iCs/>
        </w:rPr>
        <w:t>подчеркивает также</w:t>
      </w:r>
      <w:r>
        <w:t xml:space="preserve"> значительную роль национальных и международных ассоциаций судей, прокуроров и других специалистов в области права, </w:t>
      </w:r>
      <w:proofErr w:type="gramStart"/>
      <w:r>
        <w:t>и в частности</w:t>
      </w:r>
      <w:proofErr w:type="gramEnd"/>
      <w:r>
        <w:t xml:space="preserve"> учреждений по подготовке судей, а также существенную роль защищающих общественные интересы адвокатов и неправительственных организаций в содействии эффективному доступу общественности к правосудию;</w:t>
      </w:r>
    </w:p>
    <w:p w14:paraId="29DAF505" w14:textId="34542467" w:rsidR="000B45BD" w:rsidRDefault="000B45BD" w:rsidP="000B45BD">
      <w:pPr>
        <w:pStyle w:val="SingleTxtG"/>
      </w:pPr>
      <w:r>
        <w:tab/>
        <w:t>7.</w:t>
      </w:r>
      <w:r>
        <w:tab/>
      </w:r>
      <w:r w:rsidRPr="009D5C38">
        <w:rPr>
          <w:i/>
          <w:iCs/>
        </w:rPr>
        <w:t>приветствует</w:t>
      </w:r>
      <w:r>
        <w:t xml:space="preserve"> успешное сотрудничество судебных органов, учреждений по подготовке судей и других надзорных органов, которое осуществляется в общеевропейском регионе в рамках сети, действующей под эгидой Целевой группы;  </w:t>
      </w:r>
    </w:p>
    <w:p w14:paraId="4FF68F57" w14:textId="280DCBE7" w:rsidR="000B45BD" w:rsidRDefault="000B45BD" w:rsidP="000B45BD">
      <w:pPr>
        <w:pStyle w:val="SingleTxtG"/>
      </w:pPr>
      <w:r>
        <w:tab/>
      </w:r>
      <w:r>
        <w:t>8.</w:t>
      </w:r>
      <w:r>
        <w:tab/>
      </w:r>
      <w:r w:rsidRPr="009D5C38">
        <w:rPr>
          <w:i/>
          <w:iCs/>
        </w:rPr>
        <w:t>предлагает</w:t>
      </w:r>
      <w:r>
        <w:t xml:space="preserve"> вышеупомянутым надзорным органам содействовать в рамках этой сети обмену опытом, разработке учебных планов и учебных материалов, пополнению онлайновой базы данных о правовой практике, касающейся Конвенции, и организации мероприятий по наращиванию потенциала на региональном, субрегиональном и национальном уровнях;</w:t>
      </w:r>
    </w:p>
    <w:p w14:paraId="40E5E43B" w14:textId="04A77A5C" w:rsidR="000B45BD" w:rsidRDefault="000B45BD" w:rsidP="000B45BD">
      <w:pPr>
        <w:pStyle w:val="SingleTxtG"/>
      </w:pPr>
      <w:r>
        <w:tab/>
      </w:r>
      <w:r>
        <w:t>9.</w:t>
      </w:r>
      <w:r>
        <w:tab/>
      </w:r>
      <w:r w:rsidRPr="009D5C38">
        <w:rPr>
          <w:i/>
          <w:iCs/>
        </w:rPr>
        <w:t>рекомендует</w:t>
      </w:r>
      <w:r>
        <w:t xml:space="preserve"> Сторонам и </w:t>
      </w:r>
      <w:proofErr w:type="spellStart"/>
      <w:r>
        <w:t>сигнатариям</w:t>
      </w:r>
      <w:proofErr w:type="spellEnd"/>
      <w:r>
        <w:t xml:space="preserve"> поддерживать участие представителей вышеупомянутых надзорных органов в функционировании этой сети, предлагает другим таким сетям принять участие в данной инициативе и призывает Стороны и партнерские организации продолжать поддерживать эту деятельность;</w:t>
      </w:r>
    </w:p>
    <w:p w14:paraId="4E718D4A" w14:textId="67DF82BD" w:rsidR="000B45BD" w:rsidRDefault="000B45BD" w:rsidP="000B45BD">
      <w:pPr>
        <w:pStyle w:val="SingleTxtG"/>
      </w:pPr>
      <w:r>
        <w:tab/>
      </w:r>
      <w:r>
        <w:t>10.</w:t>
      </w:r>
      <w:r>
        <w:tab/>
      </w:r>
      <w:r w:rsidRPr="009D5C38">
        <w:rPr>
          <w:i/>
          <w:iCs/>
        </w:rPr>
        <w:t>приветствует</w:t>
      </w:r>
      <w:r>
        <w:t xml:space="preserve"> инициативы Сторон и </w:t>
      </w:r>
      <w:proofErr w:type="spellStart"/>
      <w:r>
        <w:t>сигнатариев</w:t>
      </w:r>
      <w:proofErr w:type="spellEnd"/>
      <w:r>
        <w:t xml:space="preserve"> по усилению судебной специализации на экологическом праве и расширению имеющихся у судов и других соответствующих органов возможностей улучшать знания об экологических рисках и использовать независимую экологическую экспертизу надлежащим образом;</w:t>
      </w:r>
    </w:p>
    <w:p w14:paraId="75463243" w14:textId="44D62F40" w:rsidR="000B45BD" w:rsidRDefault="000B45BD" w:rsidP="000B45BD">
      <w:pPr>
        <w:pStyle w:val="SingleTxtG"/>
      </w:pPr>
      <w:r>
        <w:tab/>
      </w:r>
      <w:r>
        <w:t>11.</w:t>
      </w:r>
      <w:r>
        <w:tab/>
      </w:r>
      <w:r w:rsidRPr="009D5C38">
        <w:rPr>
          <w:i/>
          <w:iCs/>
        </w:rPr>
        <w:t>рекомендует</w:t>
      </w:r>
      <w:r>
        <w:t xml:space="preserve"> Сторонам и далее по мере возможности включать тему доступа к правосудию по вопросам, касающимся окружающей среды, и тему экологических рисков в учебные планы юридических факультетов, учреждений по подготовке сотрудников государственной администрации и судебных органов, а также других соответствующих учреждений, поддерживающих осуществление Конвенции;</w:t>
      </w:r>
    </w:p>
    <w:p w14:paraId="21032123" w14:textId="689C076F" w:rsidR="000B45BD" w:rsidRDefault="000B45BD" w:rsidP="000B45BD">
      <w:pPr>
        <w:pStyle w:val="SingleTxtG"/>
      </w:pPr>
      <w:r>
        <w:tab/>
        <w:t>12.</w:t>
      </w:r>
      <w:r>
        <w:tab/>
      </w:r>
      <w:r w:rsidRPr="009D5C38">
        <w:rPr>
          <w:i/>
          <w:iCs/>
        </w:rPr>
        <w:t>постановляет</w:t>
      </w:r>
      <w:r>
        <w:t xml:space="preserve"> продлить срок действия мандата Целевой группы по доступу к правосудию под руководством Рабочей группы Сторон с целью проведения дальнейшей работы в связи с осуществлением Конвенции;</w:t>
      </w:r>
    </w:p>
    <w:p w14:paraId="101B0BAB" w14:textId="157FBF84" w:rsidR="000B45BD" w:rsidRDefault="000B45BD" w:rsidP="000B45BD">
      <w:pPr>
        <w:pStyle w:val="SingleTxtG"/>
      </w:pPr>
      <w:r>
        <w:tab/>
        <w:t>13.</w:t>
      </w:r>
      <w:r>
        <w:tab/>
      </w:r>
      <w:r w:rsidRPr="009D5C38">
        <w:rPr>
          <w:i/>
          <w:iCs/>
        </w:rPr>
        <w:t>приветствует</w:t>
      </w:r>
      <w:r>
        <w:t xml:space="preserve"> предложение Бельгии возглавить работу Целевой группы;</w:t>
      </w:r>
    </w:p>
    <w:p w14:paraId="789B4B53" w14:textId="38A10D15" w:rsidR="000B45BD" w:rsidRDefault="000B45BD" w:rsidP="000B45BD">
      <w:pPr>
        <w:pStyle w:val="SingleTxtG"/>
      </w:pPr>
      <w:r>
        <w:tab/>
        <w:t>14.</w:t>
      </w:r>
      <w:r>
        <w:tab/>
      </w:r>
      <w:r w:rsidRPr="009D5C38">
        <w:rPr>
          <w:i/>
          <w:iCs/>
        </w:rPr>
        <w:t>просит</w:t>
      </w:r>
      <w:r>
        <w:t xml:space="preserve"> Целевую группу, при условии наличия ресурсов, проводить следующую работу: </w:t>
      </w:r>
    </w:p>
    <w:p w14:paraId="78A5B5CC" w14:textId="44D19DD7" w:rsidR="000B45BD" w:rsidRDefault="000B45BD" w:rsidP="000B45BD">
      <w:pPr>
        <w:pStyle w:val="SingleTxtG"/>
      </w:pPr>
      <w:r>
        <w:tab/>
      </w:r>
      <w:r>
        <w:t>a)</w:t>
      </w:r>
      <w:r>
        <w:tab/>
        <w:t>содействовать обмену информацией, опытом, сведениями о стоящих вызовах и надлежащей практике, связанной с осуществлением третьего базового компонента Конвенции, уделяя основное внимание:</w:t>
      </w:r>
    </w:p>
    <w:p w14:paraId="083C3CB0" w14:textId="2A100D0E" w:rsidR="000B45BD" w:rsidRDefault="000B45BD" w:rsidP="000B45BD">
      <w:pPr>
        <w:pStyle w:val="SingleTxtG"/>
        <w:ind w:left="1701" w:hanging="567"/>
      </w:pPr>
      <w:r>
        <w:tab/>
      </w:r>
      <w:r>
        <w:t>i)</w:t>
      </w:r>
      <w:r>
        <w:tab/>
        <w:t>преодолению основных препятствий на пути эффективного доступа к правосудию в том, что касается процессуальной правоспособности, сферы охвата рассматриваемых дел, издержек и доступа к механизмам оказания помощи, средств правовой защиты и своевременности;</w:t>
      </w:r>
    </w:p>
    <w:p w14:paraId="09F0DCDF" w14:textId="1B958C38" w:rsidR="000B45BD" w:rsidRDefault="000B45BD" w:rsidP="000B45BD">
      <w:pPr>
        <w:pStyle w:val="SingleTxtG"/>
        <w:ind w:left="1701" w:hanging="567"/>
      </w:pPr>
      <w:r>
        <w:lastRenderedPageBreak/>
        <w:tab/>
      </w:r>
      <w:proofErr w:type="spellStart"/>
      <w:r>
        <w:t>ii</w:t>
      </w:r>
      <w:proofErr w:type="spellEnd"/>
      <w:r>
        <w:t>)</w:t>
      </w:r>
      <w:r>
        <w:tab/>
        <w:t>пропаганде судебных процессов в защиту общественных интересов и акций по подаче коллективных исков, а также устранению препятствий, с</w:t>
      </w:r>
      <w:r w:rsidR="009D5C38">
        <w:rPr>
          <w:lang w:val="en-US"/>
        </w:rPr>
        <w:t> </w:t>
      </w:r>
      <w:r>
        <w:t xml:space="preserve">которыми сталкиваются защищающие общественные интересы адвокаты; </w:t>
      </w:r>
    </w:p>
    <w:p w14:paraId="7855FB93" w14:textId="5330F325" w:rsidR="000B45BD" w:rsidRDefault="000B45BD" w:rsidP="000B45BD">
      <w:pPr>
        <w:pStyle w:val="SingleTxtG"/>
        <w:ind w:left="1701" w:hanging="567"/>
      </w:pPr>
      <w:r>
        <w:tab/>
      </w:r>
      <w:proofErr w:type="spellStart"/>
      <w:r>
        <w:t>iii</w:t>
      </w:r>
      <w:proofErr w:type="spellEnd"/>
      <w:r>
        <w:t>)</w:t>
      </w:r>
      <w:r>
        <w:tab/>
        <w:t>пропаганде имеющихся у представителей общественности возможностей оспаривать действия или бездействие, совершаемые в нарушение требований к выдаче разрешений или законов, касающихся окружающей среды, в частности в связи со следующими вопросами: изменение климата; проекты, планы и политика, связанные с энергетическими вопросами; химические вещества и обращение с отходами; качество воздуха и воды; шум; защита биоразнообразия и пространственное планирование;</w:t>
      </w:r>
    </w:p>
    <w:p w14:paraId="15A128D2" w14:textId="337289E4" w:rsidR="000B45BD" w:rsidRDefault="000B45BD" w:rsidP="000B45BD">
      <w:pPr>
        <w:pStyle w:val="SingleTxtG"/>
      </w:pPr>
      <w:r>
        <w:tab/>
      </w:r>
      <w:r>
        <w:t>b)</w:t>
      </w:r>
      <w:r>
        <w:tab/>
        <w:t>выявлять первоочередные потребности в отношении доступа общественности к правосудию по вопросам, касающимся окружающей среды, подытоживать результаты инициатив по наращиванию потенциала, осуществляемых в регионе и за его пределами, и содействовать вовлечению в эти инициативы ассоциаций судей, защищающих общественные интересы адвокатов и других специалистов в области права;</w:t>
      </w:r>
    </w:p>
    <w:p w14:paraId="62A7C1D9" w14:textId="14B9B572" w:rsidR="000B45BD" w:rsidRDefault="000B45BD" w:rsidP="000B45BD">
      <w:pPr>
        <w:pStyle w:val="SingleTxtG"/>
      </w:pPr>
      <w:r>
        <w:tab/>
      </w:r>
      <w:r>
        <w:t>c)</w:t>
      </w:r>
      <w:r>
        <w:tab/>
        <w:t xml:space="preserve">подготавливать, когда позволяют ресурсы, аналитические, инструктивные и учебные материалы для поддержки работы, подробно описанной в подпунктах а) и b) выше; </w:t>
      </w:r>
    </w:p>
    <w:p w14:paraId="58C49F8F" w14:textId="1537B223" w:rsidR="000B45BD" w:rsidRDefault="000B45BD" w:rsidP="000B45BD">
      <w:pPr>
        <w:pStyle w:val="SingleTxtG"/>
      </w:pPr>
      <w:r>
        <w:tab/>
      </w:r>
      <w:r>
        <w:t>d)</w:t>
      </w:r>
      <w:r>
        <w:tab/>
        <w:t xml:space="preserve">содействовать i) диалогу с участием многочисленных заинтересованных сторон; </w:t>
      </w:r>
      <w:proofErr w:type="spellStart"/>
      <w:r>
        <w:t>ii</w:t>
      </w:r>
      <w:proofErr w:type="spellEnd"/>
      <w:r>
        <w:t xml:space="preserve">) распространению информации о доступе к процедурам пересмотра, сбору соответствующих данных и статистических материалов, а также доступу к актуальным материалам прецедентного права с использованием инициатив по электронному правосудию, современных цифровых технологий и других средств; </w:t>
      </w:r>
      <w:proofErr w:type="spellStart"/>
      <w:r>
        <w:t>iii</w:t>
      </w:r>
      <w:proofErr w:type="spellEnd"/>
      <w:r>
        <w:t xml:space="preserve">) специализации работников судебных органов и других юридических специалистов на экологическом праве и доступу к независимой экологической экспертизе; </w:t>
      </w:r>
      <w:proofErr w:type="spellStart"/>
      <w:r>
        <w:t>iv</w:t>
      </w:r>
      <w:proofErr w:type="spellEnd"/>
      <w:r>
        <w:t xml:space="preserve">) мерам по недопущению стратегических судебных исков против участия общественности; и v) при целесообразности — применению альтернативных методов урегулирования споров; </w:t>
      </w:r>
    </w:p>
    <w:p w14:paraId="0A2A2936" w14:textId="15B67F20" w:rsidR="000B45BD" w:rsidRDefault="000B45BD" w:rsidP="000B45BD">
      <w:pPr>
        <w:pStyle w:val="SingleTxtG"/>
      </w:pPr>
      <w:r>
        <w:tab/>
      </w:r>
      <w:r>
        <w:t>e)</w:t>
      </w:r>
      <w:r>
        <w:tab/>
        <w:t>продолжать облегчать сотрудничество и сетевое взаимодействие судей, работников судебных учреждений и других надзорных органов стран различных субрегионов (например, Западной, Восточной и Юго-Восточной Европы, Кавказа и Центральной Азии);</w:t>
      </w:r>
    </w:p>
    <w:p w14:paraId="0E7BC48D" w14:textId="17ECB221" w:rsidR="000B45BD" w:rsidRDefault="009D5C38" w:rsidP="000B45BD">
      <w:pPr>
        <w:pStyle w:val="SingleTxtG"/>
      </w:pPr>
      <w:r>
        <w:tab/>
      </w:r>
      <w:r w:rsidR="000B45BD">
        <w:t>15.</w:t>
      </w:r>
      <w:r w:rsidR="000B45BD">
        <w:tab/>
      </w:r>
      <w:r w:rsidR="000B45BD" w:rsidRPr="009D5C38">
        <w:rPr>
          <w:i/>
          <w:iCs/>
        </w:rPr>
        <w:t>поручает</w:t>
      </w:r>
      <w:r w:rsidR="000B45BD">
        <w:t xml:space="preserve"> секретариату проводить, при наличии ресурсов, следующую работу:</w:t>
      </w:r>
    </w:p>
    <w:p w14:paraId="3D301716" w14:textId="523D536E" w:rsidR="000B45BD" w:rsidRDefault="000B45BD" w:rsidP="000B45BD">
      <w:pPr>
        <w:pStyle w:val="SingleTxtG"/>
      </w:pPr>
      <w:r>
        <w:tab/>
      </w:r>
      <w:r>
        <w:t>a)</w:t>
      </w:r>
      <w:r>
        <w:tab/>
        <w:t>участвовать в мероприятиях по наращиванию потенциала и в соответствующих случаях планировать их и обеспечивать их проведение, включая рабочие совещания и учебные сессии по вопросам доступа к правосудию, которые должны организовываться в сотрудничестве с соответствующими партнерскими организациями;</w:t>
      </w:r>
    </w:p>
    <w:p w14:paraId="78F273DE" w14:textId="38027B34" w:rsidR="000B45BD" w:rsidRDefault="000B45BD" w:rsidP="000B45BD">
      <w:pPr>
        <w:pStyle w:val="SingleTxtG"/>
      </w:pPr>
      <w:r>
        <w:tab/>
      </w:r>
      <w:r>
        <w:t>b)</w:t>
      </w:r>
      <w:r>
        <w:tab/>
        <w:t xml:space="preserve">поддерживать в сотрудничестве с Целевой группой </w:t>
      </w:r>
      <w:proofErr w:type="spellStart"/>
      <w:r>
        <w:t>Орхусский</w:t>
      </w:r>
      <w:proofErr w:type="spellEnd"/>
      <w:r>
        <w:t xml:space="preserve"> информационно-координационный механизм по вопросам экологической демократии и онлайновую базу данных о правовой практике, касающейся Конвенции;</w:t>
      </w:r>
    </w:p>
    <w:p w14:paraId="0853F36E" w14:textId="29518906" w:rsidR="000B45BD" w:rsidRDefault="000B45BD" w:rsidP="000B45BD">
      <w:pPr>
        <w:pStyle w:val="SingleTxtG"/>
      </w:pPr>
      <w:r>
        <w:tab/>
      </w:r>
      <w:r>
        <w:t>c)</w:t>
      </w:r>
      <w:r>
        <w:tab/>
        <w:t xml:space="preserve">поддерживать сотрудничество и сетевое взаимодействие судей, работников судебных учреждений и других надзорных органов под эгидой Целевой группы; </w:t>
      </w:r>
    </w:p>
    <w:p w14:paraId="17AE661B" w14:textId="22AB8672" w:rsidR="000B45BD" w:rsidRDefault="000B45BD" w:rsidP="000B45BD">
      <w:pPr>
        <w:pStyle w:val="SingleTxtG"/>
      </w:pPr>
      <w:r>
        <w:tab/>
        <w:t>16.</w:t>
      </w:r>
      <w:r>
        <w:tab/>
      </w:r>
      <w:r w:rsidRPr="009D5C38">
        <w:rPr>
          <w:i/>
          <w:iCs/>
        </w:rPr>
        <w:t>предлагает</w:t>
      </w:r>
      <w:r>
        <w:t xml:space="preserve"> Сторонам, </w:t>
      </w:r>
      <w:proofErr w:type="spellStart"/>
      <w:r>
        <w:t>сигнатариям</w:t>
      </w:r>
      <w:proofErr w:type="spellEnd"/>
      <w:r>
        <w:t xml:space="preserve"> и другим заинтересованным государствам и международным и другим организациям участвовать в деятельности по Конвенции, связанной с обеспечением доступа к правосудию, и выделять на этот вопрос финансовые средства;</w:t>
      </w:r>
    </w:p>
    <w:p w14:paraId="188FD48E" w14:textId="0872A9B3" w:rsidR="000B45BD" w:rsidRDefault="000B45BD" w:rsidP="000B45BD">
      <w:pPr>
        <w:pStyle w:val="SingleTxtG"/>
      </w:pPr>
      <w:r>
        <w:tab/>
        <w:t>17.</w:t>
      </w:r>
      <w:r>
        <w:tab/>
      </w:r>
      <w:r w:rsidRPr="009D5C38">
        <w:rPr>
          <w:i/>
          <w:iCs/>
        </w:rPr>
        <w:t>рекомендует</w:t>
      </w:r>
      <w:r>
        <w:t xml:space="preserve"> Сторонам, </w:t>
      </w:r>
      <w:proofErr w:type="spellStart"/>
      <w:r>
        <w:t>сигнатариям</w:t>
      </w:r>
      <w:proofErr w:type="spellEnd"/>
      <w:r>
        <w:t xml:space="preserve"> и другим заинтересованным государствам и партнерским организациям содействовать вовлечению в соответствующие виды деятельности по Конвенции представителей министерств юстиции, судебных органов, учреждений по подготовке судей, надзорных органов и </w:t>
      </w:r>
      <w:r>
        <w:lastRenderedPageBreak/>
        <w:t>других организаций, пользующихся большим авторитетом в вопросах доступа к правосудию;</w:t>
      </w:r>
    </w:p>
    <w:p w14:paraId="2056673D" w14:textId="2870BF96" w:rsidR="000B45BD" w:rsidRDefault="000B45BD" w:rsidP="000B45BD">
      <w:pPr>
        <w:pStyle w:val="SingleTxtG"/>
      </w:pPr>
      <w:r>
        <w:tab/>
        <w:t>18.</w:t>
      </w:r>
      <w:r>
        <w:tab/>
      </w:r>
      <w:r w:rsidRPr="0067197C">
        <w:rPr>
          <w:i/>
          <w:iCs/>
        </w:rPr>
        <w:t>просит</w:t>
      </w:r>
      <w:r>
        <w:t xml:space="preserve"> Рабочую группу провести тематическое заседание по вопросу о содействии эффективному доступу общественности к правосудию в ходе одного из своих совещаний в предстоящий межсессионный период, с тем чтобы предоставить Сторонам, </w:t>
      </w:r>
      <w:proofErr w:type="spellStart"/>
      <w:r>
        <w:t>сигнатариям</w:t>
      </w:r>
      <w:proofErr w:type="spellEnd"/>
      <w:r>
        <w:t xml:space="preserve"> и другим заинтересованным субъектам возможности для обмена опытом по тем темам, которые заслуживают особого внимания.</w:t>
      </w:r>
    </w:p>
    <w:p w14:paraId="742F8876" w14:textId="57A3ABD8" w:rsidR="000B45BD" w:rsidRPr="0067197C" w:rsidRDefault="0067197C" w:rsidP="0067197C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0B45BD" w:rsidRPr="0067197C" w:rsidSect="000B45BD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FC2C9B" w14:textId="77777777" w:rsidR="003C609C" w:rsidRPr="00A312BC" w:rsidRDefault="003C609C" w:rsidP="00A312BC"/>
  </w:endnote>
  <w:endnote w:type="continuationSeparator" w:id="0">
    <w:p w14:paraId="664F54B7" w14:textId="77777777" w:rsidR="003C609C" w:rsidRPr="00A312BC" w:rsidRDefault="003C609C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EC03BD" w14:textId="516E9B1A" w:rsidR="000B45BD" w:rsidRPr="000B45BD" w:rsidRDefault="000B45BD">
    <w:pPr>
      <w:pStyle w:val="a8"/>
    </w:pPr>
    <w:r w:rsidRPr="000B45BD">
      <w:rPr>
        <w:b/>
        <w:sz w:val="18"/>
      </w:rPr>
      <w:fldChar w:fldCharType="begin"/>
    </w:r>
    <w:r w:rsidRPr="000B45BD">
      <w:rPr>
        <w:b/>
        <w:sz w:val="18"/>
      </w:rPr>
      <w:instrText xml:space="preserve"> PAGE  \* MERGEFORMAT </w:instrText>
    </w:r>
    <w:r w:rsidRPr="000B45BD">
      <w:rPr>
        <w:b/>
        <w:sz w:val="18"/>
      </w:rPr>
      <w:fldChar w:fldCharType="separate"/>
    </w:r>
    <w:r w:rsidRPr="000B45BD">
      <w:rPr>
        <w:b/>
        <w:noProof/>
        <w:sz w:val="18"/>
      </w:rPr>
      <w:t>2</w:t>
    </w:r>
    <w:r w:rsidRPr="000B45BD">
      <w:rPr>
        <w:b/>
        <w:sz w:val="18"/>
      </w:rPr>
      <w:fldChar w:fldCharType="end"/>
    </w:r>
    <w:r>
      <w:rPr>
        <w:b/>
        <w:sz w:val="18"/>
      </w:rPr>
      <w:tab/>
    </w:r>
    <w:r>
      <w:t>GE.21-10124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529E74" w14:textId="76EF1E1E" w:rsidR="000B45BD" w:rsidRPr="000B45BD" w:rsidRDefault="000B45BD" w:rsidP="000B45BD">
    <w:pPr>
      <w:pStyle w:val="a8"/>
      <w:tabs>
        <w:tab w:val="clear" w:pos="9639"/>
        <w:tab w:val="right" w:pos="9638"/>
      </w:tabs>
      <w:rPr>
        <w:b/>
        <w:sz w:val="18"/>
      </w:rPr>
    </w:pPr>
    <w:r>
      <w:t>GE.21-10124</w:t>
    </w:r>
    <w:r>
      <w:tab/>
    </w:r>
    <w:r w:rsidRPr="000B45BD">
      <w:rPr>
        <w:b/>
        <w:sz w:val="18"/>
      </w:rPr>
      <w:fldChar w:fldCharType="begin"/>
    </w:r>
    <w:r w:rsidRPr="000B45BD">
      <w:rPr>
        <w:b/>
        <w:sz w:val="18"/>
      </w:rPr>
      <w:instrText xml:space="preserve"> PAGE  \* MERGEFORMAT </w:instrText>
    </w:r>
    <w:r w:rsidRPr="000B45BD">
      <w:rPr>
        <w:b/>
        <w:sz w:val="18"/>
      </w:rPr>
      <w:fldChar w:fldCharType="separate"/>
    </w:r>
    <w:r w:rsidRPr="000B45BD">
      <w:rPr>
        <w:b/>
        <w:noProof/>
        <w:sz w:val="18"/>
      </w:rPr>
      <w:t>3</w:t>
    </w:r>
    <w:r w:rsidRPr="000B45BD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50F097" w14:textId="3173834A" w:rsidR="00042B72" w:rsidRPr="008D4552" w:rsidRDefault="000B45BD" w:rsidP="000B45BD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30E566B0" wp14:editId="3863FAD8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21-</w:t>
    </w:r>
    <w:proofErr w:type="gramStart"/>
    <w:r>
      <w:t>10124  (</w:t>
    </w:r>
    <w:proofErr w:type="gramEnd"/>
    <w:r>
      <w:t>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6A68AC58" wp14:editId="4839D7A5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561975" cy="5619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4552">
      <w:rPr>
        <w:lang w:val="en-US"/>
      </w:rPr>
      <w:t xml:space="preserve">  060821  120821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E6A0A4" w14:textId="77777777" w:rsidR="003C609C" w:rsidRPr="001075E9" w:rsidRDefault="003C609C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7309B5B" w14:textId="77777777" w:rsidR="003C609C" w:rsidRDefault="003C609C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68BCB236" w14:textId="77777777" w:rsidR="00660CDA" w:rsidRPr="00660CDA" w:rsidRDefault="00660CDA" w:rsidP="00660CDA">
      <w:pPr>
        <w:pStyle w:val="ad"/>
        <w:rPr>
          <w:lang w:val="en-US"/>
        </w:rPr>
      </w:pPr>
      <w:r>
        <w:tab/>
      </w:r>
      <w:r>
        <w:rPr>
          <w:rStyle w:val="aa"/>
        </w:rPr>
        <w:footnoteRef/>
      </w:r>
      <w:r w:rsidRPr="00B94CB1">
        <w:rPr>
          <w:lang w:val="en-US"/>
        </w:rPr>
        <w:tab/>
      </w:r>
      <w:r>
        <w:t>См</w:t>
      </w:r>
      <w:r w:rsidRPr="00B94CB1">
        <w:rPr>
          <w:lang w:val="en-US"/>
        </w:rPr>
        <w:t>. ECE/MP.PP/2/Add.6.</w:t>
      </w:r>
    </w:p>
  </w:footnote>
  <w:footnote w:id="2">
    <w:p w14:paraId="2A0DAB91" w14:textId="77777777" w:rsidR="00660CDA" w:rsidRPr="00660CDA" w:rsidRDefault="00660CDA" w:rsidP="00660CDA">
      <w:pPr>
        <w:pStyle w:val="ad"/>
        <w:rPr>
          <w:lang w:val="en-US"/>
        </w:rPr>
      </w:pPr>
      <w:r w:rsidRPr="00B94CB1">
        <w:rPr>
          <w:lang w:val="en-US"/>
        </w:rPr>
        <w:tab/>
      </w:r>
      <w:r>
        <w:rPr>
          <w:rStyle w:val="aa"/>
        </w:rPr>
        <w:footnoteRef/>
      </w:r>
      <w:r w:rsidRPr="00B94CB1">
        <w:rPr>
          <w:lang w:val="en-US"/>
        </w:rPr>
        <w:tab/>
      </w:r>
      <w:r>
        <w:t>См</w:t>
      </w:r>
      <w:r w:rsidRPr="00B94CB1">
        <w:rPr>
          <w:lang w:val="en-US"/>
        </w:rPr>
        <w:t>. ECE/MP.PP/2005/2/Add.3.</w:t>
      </w:r>
    </w:p>
  </w:footnote>
  <w:footnote w:id="3">
    <w:p w14:paraId="697BAD5E" w14:textId="77777777" w:rsidR="00660CDA" w:rsidRPr="00660CDA" w:rsidRDefault="00660CDA" w:rsidP="00660CDA">
      <w:pPr>
        <w:pStyle w:val="ad"/>
        <w:rPr>
          <w:lang w:val="en-US"/>
        </w:rPr>
      </w:pPr>
      <w:r w:rsidRPr="00B94CB1">
        <w:rPr>
          <w:lang w:val="en-US"/>
        </w:rPr>
        <w:tab/>
      </w:r>
      <w:r>
        <w:rPr>
          <w:rStyle w:val="aa"/>
        </w:rPr>
        <w:footnoteRef/>
      </w:r>
      <w:r w:rsidRPr="00B94CB1">
        <w:rPr>
          <w:lang w:val="en-US"/>
        </w:rPr>
        <w:tab/>
      </w:r>
      <w:r>
        <w:t>См</w:t>
      </w:r>
      <w:r w:rsidRPr="00B94CB1">
        <w:rPr>
          <w:lang w:val="en-US"/>
        </w:rPr>
        <w:t>. ECE/MP.PP/2008/2/Add.5.</w:t>
      </w:r>
    </w:p>
  </w:footnote>
  <w:footnote w:id="4">
    <w:p w14:paraId="48B6EB3B" w14:textId="77777777" w:rsidR="00660CDA" w:rsidRPr="00660CDA" w:rsidRDefault="00660CDA" w:rsidP="00660CDA">
      <w:pPr>
        <w:pStyle w:val="ad"/>
        <w:rPr>
          <w:lang w:val="en-US"/>
        </w:rPr>
      </w:pPr>
      <w:r w:rsidRPr="00B94CB1">
        <w:rPr>
          <w:lang w:val="en-US"/>
        </w:rPr>
        <w:tab/>
      </w:r>
      <w:r>
        <w:rPr>
          <w:rStyle w:val="aa"/>
        </w:rPr>
        <w:footnoteRef/>
      </w:r>
      <w:r w:rsidRPr="00B94CB1">
        <w:rPr>
          <w:lang w:val="en-US"/>
        </w:rPr>
        <w:tab/>
      </w:r>
      <w:r>
        <w:t>См</w:t>
      </w:r>
      <w:r w:rsidRPr="00B94CB1">
        <w:rPr>
          <w:lang w:val="en-US"/>
        </w:rPr>
        <w:t>. ECE/MP.PP/2011/2/Add.1.</w:t>
      </w:r>
    </w:p>
  </w:footnote>
  <w:footnote w:id="5">
    <w:p w14:paraId="2C6B087B" w14:textId="77777777" w:rsidR="00660CDA" w:rsidRPr="00660CDA" w:rsidRDefault="00660CDA" w:rsidP="00660CDA">
      <w:pPr>
        <w:pStyle w:val="ad"/>
        <w:rPr>
          <w:lang w:val="en-US"/>
        </w:rPr>
      </w:pPr>
      <w:r w:rsidRPr="00B94CB1">
        <w:rPr>
          <w:lang w:val="en-US"/>
        </w:rPr>
        <w:tab/>
      </w:r>
      <w:r>
        <w:rPr>
          <w:rStyle w:val="aa"/>
        </w:rPr>
        <w:footnoteRef/>
      </w:r>
      <w:r w:rsidRPr="00B94CB1">
        <w:rPr>
          <w:lang w:val="en-US"/>
        </w:rPr>
        <w:tab/>
      </w:r>
      <w:r>
        <w:t>См</w:t>
      </w:r>
      <w:r w:rsidRPr="00B94CB1">
        <w:rPr>
          <w:lang w:val="en-US"/>
        </w:rPr>
        <w:t>. ECE/MP.PP/2014/2/Add.1.</w:t>
      </w:r>
    </w:p>
  </w:footnote>
  <w:footnote w:id="6">
    <w:p w14:paraId="21312C8E" w14:textId="77777777" w:rsidR="00660CDA" w:rsidRPr="00660CDA" w:rsidRDefault="00660CDA" w:rsidP="00660CDA">
      <w:pPr>
        <w:pStyle w:val="ad"/>
        <w:rPr>
          <w:lang w:val="en-US"/>
        </w:rPr>
      </w:pPr>
      <w:r w:rsidRPr="00B94CB1">
        <w:rPr>
          <w:lang w:val="en-US"/>
        </w:rPr>
        <w:tab/>
      </w:r>
      <w:r>
        <w:rPr>
          <w:rStyle w:val="aa"/>
        </w:rPr>
        <w:footnoteRef/>
      </w:r>
      <w:r w:rsidRPr="00B94CB1">
        <w:rPr>
          <w:lang w:val="en-US"/>
        </w:rPr>
        <w:tab/>
      </w:r>
      <w:r>
        <w:t>См</w:t>
      </w:r>
      <w:r w:rsidRPr="00B94CB1">
        <w:rPr>
          <w:lang w:val="en-US"/>
        </w:rPr>
        <w:t>. ECE/MP.PP/2017/2/Add.1.</w:t>
      </w:r>
    </w:p>
  </w:footnote>
  <w:footnote w:id="7">
    <w:p w14:paraId="7686FD34" w14:textId="77777777" w:rsidR="00660CDA" w:rsidRPr="00B94CB1" w:rsidRDefault="00660CDA" w:rsidP="00660CDA">
      <w:pPr>
        <w:pStyle w:val="ad"/>
      </w:pPr>
      <w:r w:rsidRPr="00B94CB1">
        <w:rPr>
          <w:lang w:val="en-US"/>
        </w:rPr>
        <w:tab/>
      </w:r>
      <w:r>
        <w:rPr>
          <w:rStyle w:val="aa"/>
        </w:rPr>
        <w:footnoteRef/>
      </w:r>
      <w:r>
        <w:tab/>
        <w:t>Готовится к выпуску.</w:t>
      </w:r>
    </w:p>
  </w:footnote>
  <w:footnote w:id="8">
    <w:p w14:paraId="33ACA7E1" w14:textId="77777777" w:rsidR="00660CDA" w:rsidRPr="00B94CB1" w:rsidRDefault="00660CDA" w:rsidP="00660CDA">
      <w:pPr>
        <w:pStyle w:val="ad"/>
      </w:pPr>
      <w:r>
        <w:tab/>
      </w:r>
      <w:r>
        <w:rPr>
          <w:rStyle w:val="aa"/>
        </w:rPr>
        <w:footnoteRef/>
      </w:r>
      <w:r>
        <w:tab/>
        <w:t>Готовится к выпуску.</w:t>
      </w:r>
    </w:p>
  </w:footnote>
  <w:footnote w:id="9">
    <w:p w14:paraId="26288040" w14:textId="77777777" w:rsidR="00660CDA" w:rsidRPr="00B94CB1" w:rsidRDefault="00660CDA" w:rsidP="00660CDA">
      <w:pPr>
        <w:pStyle w:val="ad"/>
        <w:widowControl w:val="0"/>
      </w:pPr>
      <w:r>
        <w:tab/>
      </w:r>
      <w:r w:rsidRPr="001A393A">
        <w:rPr>
          <w:rStyle w:val="aa"/>
        </w:rPr>
        <w:footnoteRef/>
      </w:r>
      <w:r>
        <w:tab/>
        <w:t>ECE/MP.PP/WG.1/2018/3, ECE/MP.PP/WG.1/2019/4, ECE/MP.PP/WG.1/2020/2 и ECE/MP.PP/WG.1/2021/5.</w:t>
      </w:r>
    </w:p>
  </w:footnote>
  <w:footnote w:id="10">
    <w:p w14:paraId="678E6C9E" w14:textId="69CAA921" w:rsidR="00660CDA" w:rsidRPr="00660CDA" w:rsidRDefault="00660CDA">
      <w:pPr>
        <w:pStyle w:val="ad"/>
      </w:pPr>
      <w:r>
        <w:tab/>
      </w:r>
      <w:r>
        <w:rPr>
          <w:rStyle w:val="aa"/>
        </w:rPr>
        <w:footnoteRef/>
      </w:r>
      <w:r>
        <w:tab/>
      </w:r>
      <w:r w:rsidRPr="00660CDA">
        <w:t>Инициативы по электронному правосудию предусматривают использование информационно-коммуникационных технологий для улучшения доступа общественности к правосудию и другим видам деятельности, связанным с урегулированием споров.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D724BB" w14:textId="27EB3B66" w:rsidR="000B45BD" w:rsidRPr="000B45BD" w:rsidRDefault="000B45BD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 w:rsidR="00BD497E">
      <w:t>ECE/</w:t>
    </w:r>
    <w:proofErr w:type="gramStart"/>
    <w:r w:rsidR="00BD497E">
      <w:t>MP.PP</w:t>
    </w:r>
    <w:proofErr w:type="gramEnd"/>
    <w:r w:rsidR="00BD497E">
      <w:t>/2021/10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184E4B" w14:textId="2646EBCD" w:rsidR="000B45BD" w:rsidRPr="000B45BD" w:rsidRDefault="000B45BD" w:rsidP="000B45BD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BD497E">
      <w:t>ECE/</w:t>
    </w:r>
    <w:proofErr w:type="gramStart"/>
    <w:r w:rsidR="00BD497E">
      <w:t>MP.PP</w:t>
    </w:r>
    <w:proofErr w:type="gramEnd"/>
    <w:r w:rsidR="00BD497E">
      <w:t>/2021/10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09C"/>
    <w:rsid w:val="00033EE1"/>
    <w:rsid w:val="00042B72"/>
    <w:rsid w:val="000558BD"/>
    <w:rsid w:val="000B45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C609C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60CDA"/>
    <w:rsid w:val="0067197C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4552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5C38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D497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B368A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5F47874"/>
  <w15:docId w15:val="{373AB87B-CF7E-4645-854F-95357A309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Footnote symbol,Footnote reference number,Footnote Reference Superscript,BVI fnr,SUPERS,(Footnote Reference),Footnote,Voetnootverwijzing,Times 10 Point,Exposant 3 Point,note TESI,Odwołanie przypisu,Footnotemark,FR,Ref,E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fn,footnote text,Footnotes,Footnote ak,Tekst przypisu,Fußnote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fn Знак,footnote text Знак,Footnotes Знак,Footnote ak Знак,Tekst przypisu Знак,Fußnote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rsid w:val="000B45BD"/>
    <w:rPr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BAD6B90F990844849380189D456564" ma:contentTypeVersion="14" ma:contentTypeDescription="Create a new document." ma:contentTypeScope="" ma:versionID="c5a05747911024e3eda16fb23ab92bec">
  <xsd:schema xmlns:xsd="http://www.w3.org/2001/XMLSchema" xmlns:xs="http://www.w3.org/2001/XMLSchema" xmlns:p="http://schemas.microsoft.com/office/2006/metadata/properties" xmlns:ns2="218fc245-16fb-4e80-b15a-44d5324d7fea" xmlns:ns3="c938e5d9-4d9f-46ad-8df2-2c223b949764" targetNamespace="http://schemas.microsoft.com/office/2006/metadata/properties" ma:root="true" ma:fieldsID="14640dafcded05448e0d099bd593117a" ns2:_="" ns3:_="">
    <xsd:import namespace="218fc245-16fb-4e80-b15a-44d5324d7fea"/>
    <xsd:import namespace="c938e5d9-4d9f-46ad-8df2-2c223b9497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dat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8fc245-16fb-4e80-b15a-44d5324d7f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date" ma:index="20" nillable="true" ma:displayName="date" ma:format="DateOnly" ma:internalName="date">
      <xsd:simpleType>
        <xsd:restriction base="dms:DateTime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38e5d9-4d9f-46ad-8df2-2c223b94976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218fc245-16fb-4e80-b15a-44d5324d7fea" xsi:nil="true"/>
  </documentManagement>
</p:properties>
</file>

<file path=customXml/itemProps1.xml><?xml version="1.0" encoding="utf-8"?>
<ds:datastoreItem xmlns:ds="http://schemas.openxmlformats.org/officeDocument/2006/customXml" ds:itemID="{5DBF8548-6D87-47C4-95A7-31360B6BABEA}"/>
</file>

<file path=customXml/itemProps2.xml><?xml version="1.0" encoding="utf-8"?>
<ds:datastoreItem xmlns:ds="http://schemas.openxmlformats.org/officeDocument/2006/customXml" ds:itemID="{0EACD035-2244-4EB8-BDBE-74397ED3A70A}"/>
</file>

<file path=customXml/itemProps3.xml><?xml version="1.0" encoding="utf-8"?>
<ds:datastoreItem xmlns:ds="http://schemas.openxmlformats.org/officeDocument/2006/customXml" ds:itemID="{DA248DF5-B370-403B-B80B-71FE09B62AF1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6</Pages>
  <Words>1558</Words>
  <Characters>11080</Characters>
  <Application>Microsoft Office Word</Application>
  <DocSecurity>0</DocSecurity>
  <Lines>210</Lines>
  <Paragraphs>58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ECE/MP.PP/2021/10</vt:lpstr>
      <vt:lpstr>A/</vt:lpstr>
      <vt:lpstr>A/</vt:lpstr>
    </vt:vector>
  </TitlesOfParts>
  <Company>DCM</Company>
  <LinksUpToDate>false</LinksUpToDate>
  <CharactersWithSpaces>12635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ECE/MP.PP/2021/10</dc:title>
  <dc:subject/>
  <dc:creator>Marina KOROTKOVA</dc:creator>
  <cp:keywords/>
  <cp:lastModifiedBy>Marina KOROTKOVA</cp:lastModifiedBy>
  <cp:revision>3</cp:revision>
  <cp:lastPrinted>2021-08-12T12:03:00Z</cp:lastPrinted>
  <dcterms:created xsi:type="dcterms:W3CDTF">2021-08-12T12:02:00Z</dcterms:created>
  <dcterms:modified xsi:type="dcterms:W3CDTF">2021-08-12T12:03:00Z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  <property fmtid="{D5CDD505-2E9C-101B-9397-08002B2CF9AE}" pid="14" name="ContentTypeId">
    <vt:lpwstr>0x010100B5BAD6B90F990844849380189D456564</vt:lpwstr>
  </property>
</Properties>
</file>