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26FAE8C" w14:textId="77777777" w:rsidTr="00B20551">
        <w:trPr>
          <w:cantSplit/>
          <w:trHeight w:hRule="exact" w:val="851"/>
        </w:trPr>
        <w:tc>
          <w:tcPr>
            <w:tcW w:w="1276" w:type="dxa"/>
            <w:tcBorders>
              <w:bottom w:val="single" w:sz="4" w:space="0" w:color="auto"/>
            </w:tcBorders>
            <w:vAlign w:val="bottom"/>
          </w:tcPr>
          <w:p w14:paraId="77997035" w14:textId="77777777" w:rsidR="009E6CB7" w:rsidRDefault="009E6CB7" w:rsidP="00B20551">
            <w:pPr>
              <w:spacing w:after="80"/>
            </w:pPr>
          </w:p>
        </w:tc>
        <w:tc>
          <w:tcPr>
            <w:tcW w:w="2268" w:type="dxa"/>
            <w:tcBorders>
              <w:bottom w:val="single" w:sz="4" w:space="0" w:color="auto"/>
            </w:tcBorders>
            <w:vAlign w:val="bottom"/>
          </w:tcPr>
          <w:p w14:paraId="54729EC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415BE8" w14:textId="79871116" w:rsidR="009E6CB7" w:rsidRPr="00D47EEA" w:rsidRDefault="002378C9" w:rsidP="002378C9">
            <w:pPr>
              <w:jc w:val="right"/>
            </w:pPr>
            <w:r w:rsidRPr="002378C9">
              <w:rPr>
                <w:sz w:val="40"/>
              </w:rPr>
              <w:t>ECE</w:t>
            </w:r>
            <w:r>
              <w:t>/</w:t>
            </w:r>
            <w:proofErr w:type="gramStart"/>
            <w:r>
              <w:t>MP.PP</w:t>
            </w:r>
            <w:proofErr w:type="gramEnd"/>
            <w:r>
              <w:t>/2021/40</w:t>
            </w:r>
          </w:p>
        </w:tc>
      </w:tr>
      <w:tr w:rsidR="009E6CB7" w14:paraId="28EA9251" w14:textId="77777777" w:rsidTr="00B20551">
        <w:trPr>
          <w:cantSplit/>
          <w:trHeight w:hRule="exact" w:val="2835"/>
        </w:trPr>
        <w:tc>
          <w:tcPr>
            <w:tcW w:w="1276" w:type="dxa"/>
            <w:tcBorders>
              <w:top w:val="single" w:sz="4" w:space="0" w:color="auto"/>
              <w:bottom w:val="single" w:sz="12" w:space="0" w:color="auto"/>
            </w:tcBorders>
          </w:tcPr>
          <w:p w14:paraId="1187ED7B" w14:textId="77777777" w:rsidR="009E6CB7" w:rsidRDefault="00686A48" w:rsidP="00B20551">
            <w:pPr>
              <w:spacing w:before="120"/>
            </w:pPr>
            <w:r>
              <w:rPr>
                <w:noProof/>
                <w:lang w:val="fr-CH" w:eastAsia="fr-CH"/>
              </w:rPr>
              <w:drawing>
                <wp:inline distT="0" distB="0" distL="0" distR="0" wp14:anchorId="618D9175" wp14:editId="0F120DC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AE392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ADB5BA" w14:textId="77777777" w:rsidR="009E6CB7" w:rsidRDefault="002378C9" w:rsidP="002378C9">
            <w:pPr>
              <w:spacing w:before="240" w:line="240" w:lineRule="exact"/>
            </w:pPr>
            <w:r>
              <w:t xml:space="preserve">Distr.: General </w:t>
            </w:r>
          </w:p>
          <w:p w14:paraId="00163B33" w14:textId="12EF9E4B" w:rsidR="002378C9" w:rsidRDefault="00F7748B" w:rsidP="002378C9">
            <w:pPr>
              <w:spacing w:line="240" w:lineRule="exact"/>
            </w:pPr>
            <w:r>
              <w:t>9</w:t>
            </w:r>
            <w:r w:rsidR="002378C9">
              <w:t xml:space="preserve"> August 2021</w:t>
            </w:r>
          </w:p>
          <w:p w14:paraId="7422DE73" w14:textId="77777777" w:rsidR="002378C9" w:rsidRDefault="002378C9" w:rsidP="002378C9">
            <w:pPr>
              <w:spacing w:line="240" w:lineRule="exact"/>
            </w:pPr>
          </w:p>
          <w:p w14:paraId="04D2E011" w14:textId="78BCE69F" w:rsidR="002378C9" w:rsidRDefault="002378C9" w:rsidP="002378C9">
            <w:pPr>
              <w:spacing w:line="240" w:lineRule="exact"/>
            </w:pPr>
            <w:r>
              <w:t>Original: English</w:t>
            </w:r>
          </w:p>
        </w:tc>
      </w:tr>
    </w:tbl>
    <w:p w14:paraId="335B550F" w14:textId="77777777" w:rsidR="002378C9" w:rsidRPr="00036740" w:rsidRDefault="002378C9" w:rsidP="002378C9">
      <w:pPr>
        <w:spacing w:before="120"/>
        <w:rPr>
          <w:b/>
          <w:sz w:val="28"/>
          <w:szCs w:val="28"/>
        </w:rPr>
      </w:pPr>
      <w:r w:rsidRPr="00036740">
        <w:rPr>
          <w:b/>
          <w:sz w:val="28"/>
          <w:szCs w:val="28"/>
        </w:rPr>
        <w:t>Economic Commission for Europe</w:t>
      </w:r>
    </w:p>
    <w:p w14:paraId="51DAFBA3" w14:textId="77777777" w:rsidR="002378C9" w:rsidRPr="00036740" w:rsidRDefault="002378C9" w:rsidP="002378C9">
      <w:pPr>
        <w:spacing w:before="120"/>
        <w:rPr>
          <w:sz w:val="28"/>
          <w:szCs w:val="28"/>
        </w:rPr>
      </w:pPr>
      <w:r w:rsidRPr="00036740">
        <w:rPr>
          <w:sz w:val="28"/>
          <w:szCs w:val="28"/>
        </w:rPr>
        <w:t xml:space="preserve">Meeting of the Parties to the Convention on </w:t>
      </w:r>
      <w:r w:rsidRPr="00036740">
        <w:rPr>
          <w:sz w:val="28"/>
          <w:szCs w:val="28"/>
        </w:rPr>
        <w:br/>
        <w:t xml:space="preserve">Access to Information, Public Participation </w:t>
      </w:r>
      <w:r w:rsidRPr="00036740">
        <w:rPr>
          <w:sz w:val="28"/>
          <w:szCs w:val="28"/>
        </w:rPr>
        <w:br/>
        <w:t xml:space="preserve">in Decision-making and Access to Justice </w:t>
      </w:r>
      <w:r w:rsidRPr="00036740">
        <w:rPr>
          <w:sz w:val="28"/>
          <w:szCs w:val="28"/>
        </w:rPr>
        <w:br/>
        <w:t>in Environmental Matters</w:t>
      </w:r>
    </w:p>
    <w:p w14:paraId="58F4783A" w14:textId="77777777" w:rsidR="002378C9" w:rsidRPr="00036740" w:rsidRDefault="002378C9" w:rsidP="002378C9">
      <w:pPr>
        <w:spacing w:before="120"/>
        <w:rPr>
          <w:b/>
          <w:bCs/>
        </w:rPr>
      </w:pPr>
      <w:r>
        <w:rPr>
          <w:b/>
          <w:bCs/>
        </w:rPr>
        <w:t>Seventh</w:t>
      </w:r>
      <w:r w:rsidRPr="00036740">
        <w:rPr>
          <w:b/>
          <w:bCs/>
        </w:rPr>
        <w:t xml:space="preserve"> session</w:t>
      </w:r>
    </w:p>
    <w:p w14:paraId="35B52502" w14:textId="41FAC28B" w:rsidR="002378C9" w:rsidRPr="00036740" w:rsidRDefault="002378C9" w:rsidP="002378C9">
      <w:r>
        <w:t>Geneva</w:t>
      </w:r>
      <w:r w:rsidRPr="00036740">
        <w:t>, 1</w:t>
      </w:r>
      <w:r>
        <w:t>8</w:t>
      </w:r>
      <w:bookmarkStart w:id="0" w:name="_Hlk78550232"/>
      <w:r>
        <w:t>–</w:t>
      </w:r>
      <w:bookmarkEnd w:id="0"/>
      <w:r>
        <w:t>20</w:t>
      </w:r>
      <w:r w:rsidRPr="00036740">
        <w:t xml:space="preserve"> </w:t>
      </w:r>
      <w:r>
        <w:t xml:space="preserve">October </w:t>
      </w:r>
      <w:r w:rsidRPr="00036740">
        <w:t>20</w:t>
      </w:r>
      <w:r>
        <w:t>2</w:t>
      </w:r>
      <w:r w:rsidRPr="00036740">
        <w:t>1</w:t>
      </w:r>
    </w:p>
    <w:p w14:paraId="015992B3" w14:textId="77777777" w:rsidR="002378C9" w:rsidRDefault="002378C9" w:rsidP="002378C9">
      <w:r w:rsidRPr="00036740">
        <w:t xml:space="preserve">Item </w:t>
      </w:r>
      <w:r>
        <w:t>7 (b)</w:t>
      </w:r>
      <w:r w:rsidRPr="00036740">
        <w:t xml:space="preserve"> of the provisional agenda</w:t>
      </w:r>
    </w:p>
    <w:p w14:paraId="645D8FC0" w14:textId="77777777" w:rsidR="002378C9" w:rsidRDefault="002378C9" w:rsidP="002378C9">
      <w:pPr>
        <w:rPr>
          <w:b/>
        </w:rPr>
      </w:pPr>
      <w:r>
        <w:rPr>
          <w:b/>
        </w:rPr>
        <w:t xml:space="preserve">Procedures and mechanisms facilitating the implementation </w:t>
      </w:r>
      <w:r>
        <w:rPr>
          <w:b/>
        </w:rPr>
        <w:br/>
        <w:t>of the Convention: compliance mechanism</w:t>
      </w:r>
    </w:p>
    <w:p w14:paraId="7460B7D4" w14:textId="77777777" w:rsidR="002378C9" w:rsidRDefault="002378C9" w:rsidP="002378C9">
      <w:pPr>
        <w:pStyle w:val="HChG"/>
      </w:pPr>
      <w:r>
        <w:tab/>
      </w:r>
      <w:r>
        <w:tab/>
      </w:r>
      <w:r w:rsidRPr="004334C7">
        <w:t xml:space="preserve">Draft decision </w:t>
      </w:r>
      <w:r w:rsidRPr="00851539">
        <w:t>VI</w:t>
      </w:r>
      <w:r>
        <w:t>I</w:t>
      </w:r>
      <w:r w:rsidRPr="00851539">
        <w:t>/8</w:t>
      </w:r>
      <w:r>
        <w:t>q</w:t>
      </w:r>
      <w:r w:rsidRPr="00851539">
        <w:t xml:space="preserve"> concerning</w:t>
      </w:r>
      <w:r w:rsidRPr="004334C7">
        <w:t xml:space="preserve"> compliance by </w:t>
      </w:r>
      <w:r>
        <w:t>Turkmenistan</w:t>
      </w:r>
      <w:r w:rsidRPr="004334C7">
        <w:t xml:space="preserve"> with its obligations under the Convention</w:t>
      </w:r>
    </w:p>
    <w:p w14:paraId="3D7927B8" w14:textId="77777777" w:rsidR="002378C9" w:rsidRDefault="002378C9" w:rsidP="002378C9">
      <w:pPr>
        <w:pStyle w:val="H1G"/>
        <w:tabs>
          <w:tab w:val="left" w:pos="1701"/>
        </w:tabs>
        <w:rPr>
          <w:i/>
          <w:iCs/>
          <w:sz w:val="20"/>
        </w:rPr>
      </w:pPr>
      <w:r>
        <w:tab/>
      </w:r>
      <w:r>
        <w:tab/>
      </w:r>
      <w:r w:rsidRPr="00A77D15">
        <w:t>Prepared</w:t>
      </w:r>
      <w:r>
        <w:t xml:space="preserve"> by the Bureau</w:t>
      </w:r>
      <w:r w:rsidDel="006A2255">
        <w:t xml:space="preserve"> </w:t>
      </w:r>
    </w:p>
    <w:p w14:paraId="6BF5804E" w14:textId="308E2FD4" w:rsidR="002378C9" w:rsidRPr="00D11861" w:rsidRDefault="002378C9" w:rsidP="002378C9">
      <w:pPr>
        <w:pStyle w:val="SingleTxtG"/>
        <w:rPr>
          <w:i/>
        </w:rPr>
      </w:pPr>
      <w:r>
        <w:tab/>
      </w:r>
      <w:r>
        <w:tab/>
      </w:r>
      <w:r w:rsidRPr="00D11861">
        <w:rPr>
          <w:i/>
        </w:rPr>
        <w:t xml:space="preserve">The Meeting of the Parties, </w:t>
      </w:r>
    </w:p>
    <w:p w14:paraId="44480E99" w14:textId="59CDB7FF" w:rsidR="002378C9" w:rsidRDefault="002378C9" w:rsidP="002378C9">
      <w:pPr>
        <w:pStyle w:val="SingleTxtG"/>
      </w:pPr>
      <w:r>
        <w:rPr>
          <w:i/>
          <w:iCs/>
        </w:rPr>
        <w:tab/>
      </w:r>
      <w:r>
        <w:rPr>
          <w:i/>
          <w:iCs/>
        </w:rPr>
        <w:tab/>
        <w:t xml:space="preserve">Acting </w:t>
      </w:r>
      <w:r>
        <w:t>under paragraph 37 of the annex to its decision I/7 on the review of compliance,</w:t>
      </w:r>
      <w:r>
        <w:rPr>
          <w:rStyle w:val="FootnoteReference"/>
        </w:rPr>
        <w:footnoteReference w:id="2"/>
      </w:r>
      <w:r>
        <w:t xml:space="preserve"> </w:t>
      </w:r>
    </w:p>
    <w:p w14:paraId="1B64CA8B" w14:textId="61F25EA3" w:rsidR="002378C9" w:rsidRPr="00C20D87" w:rsidRDefault="002378C9" w:rsidP="002378C9">
      <w:pPr>
        <w:pStyle w:val="SingleTxtG"/>
        <w:rPr>
          <w:rFonts w:asciiTheme="majorBidi" w:hAnsiTheme="majorBidi" w:cstheme="majorBidi"/>
        </w:rPr>
      </w:pPr>
      <w:r>
        <w:rPr>
          <w:i/>
          <w:iCs/>
        </w:rPr>
        <w:tab/>
      </w:r>
      <w:r>
        <w:rPr>
          <w:i/>
          <w:iCs/>
        </w:rPr>
        <w:tab/>
      </w:r>
      <w:r w:rsidRPr="004C200A">
        <w:rPr>
          <w:i/>
          <w:iCs/>
        </w:rPr>
        <w:t>Recalling</w:t>
      </w:r>
      <w:r w:rsidRPr="006A1B2F">
        <w:rPr>
          <w:i/>
          <w:iCs/>
        </w:rPr>
        <w:t xml:space="preserve"> </w:t>
      </w:r>
      <w:r w:rsidRPr="007F64A0">
        <w:rPr>
          <w:spacing w:val="1"/>
        </w:rPr>
        <w:t xml:space="preserve">paragraph 19 of its decision VI/8 on </w:t>
      </w:r>
      <w:r>
        <w:rPr>
          <w:spacing w:val="1"/>
        </w:rPr>
        <w:t xml:space="preserve">general issues of </w:t>
      </w:r>
      <w:r w:rsidRPr="007F64A0">
        <w:rPr>
          <w:spacing w:val="1"/>
        </w:rPr>
        <w:t>compliance adopted at its sixth session (</w:t>
      </w:r>
      <w:proofErr w:type="spellStart"/>
      <w:r w:rsidRPr="007F64A0">
        <w:rPr>
          <w:spacing w:val="1"/>
        </w:rPr>
        <w:t>Budva</w:t>
      </w:r>
      <w:proofErr w:type="spellEnd"/>
      <w:r w:rsidRPr="007F64A0">
        <w:rPr>
          <w:spacing w:val="1"/>
        </w:rPr>
        <w:t>, Montenegro, 11</w:t>
      </w:r>
      <w:r w:rsidRPr="00C57E9F">
        <w:rPr>
          <w:spacing w:val="1"/>
        </w:rPr>
        <w:t>–</w:t>
      </w:r>
      <w:r w:rsidRPr="007F64A0">
        <w:rPr>
          <w:spacing w:val="1"/>
        </w:rPr>
        <w:t>13 September 2017),</w:t>
      </w:r>
      <w:r>
        <w:rPr>
          <w:rStyle w:val="FootnoteReference"/>
          <w:spacing w:val="1"/>
        </w:rPr>
        <w:footnoteReference w:id="3"/>
      </w:r>
      <w:r w:rsidRPr="007F64A0">
        <w:rPr>
          <w:spacing w:val="1"/>
        </w:rPr>
        <w:t xml:space="preserve"> </w:t>
      </w:r>
      <w:r>
        <w:rPr>
          <w:spacing w:val="1"/>
        </w:rPr>
        <w:t>through which it</w:t>
      </w:r>
      <w:r w:rsidRPr="007F64A0">
        <w:rPr>
          <w:spacing w:val="1"/>
        </w:rPr>
        <w:t xml:space="preserve"> requested the </w:t>
      </w:r>
      <w:r>
        <w:rPr>
          <w:spacing w:val="1"/>
        </w:rPr>
        <w:t xml:space="preserve">Compliance </w:t>
      </w:r>
      <w:r w:rsidRPr="007F64A0">
        <w:rPr>
          <w:spacing w:val="1"/>
        </w:rPr>
        <w:t>Committee</w:t>
      </w:r>
      <w:r>
        <w:rPr>
          <w:spacing w:val="1"/>
        </w:rPr>
        <w:t xml:space="preserve"> </w:t>
      </w:r>
      <w:r w:rsidRPr="007F64A0">
        <w:rPr>
          <w:spacing w:val="1"/>
        </w:rPr>
        <w:t>to review the compliance of Turkmenistan with article 3</w:t>
      </w:r>
      <w:r>
        <w:rPr>
          <w:spacing w:val="1"/>
        </w:rPr>
        <w:t xml:space="preserve"> </w:t>
      </w:r>
      <w:r w:rsidRPr="007F64A0">
        <w:rPr>
          <w:spacing w:val="1"/>
        </w:rPr>
        <w:t>(1), (4) and (9) of the Convention with respect to the possibilities for foreign citizens and persons without citizenship to found and participate in non-</w:t>
      </w:r>
      <w:r w:rsidRPr="00C20D87">
        <w:rPr>
          <w:rFonts w:asciiTheme="majorBidi" w:hAnsiTheme="majorBidi" w:cstheme="majorBidi"/>
          <w:spacing w:val="1"/>
        </w:rPr>
        <w:t>governmental organizations promoting environmental protection</w:t>
      </w:r>
      <w:r w:rsidRPr="00C20D87">
        <w:rPr>
          <w:rFonts w:asciiTheme="majorBidi" w:hAnsiTheme="majorBidi" w:cstheme="majorBidi"/>
        </w:rPr>
        <w:t>,</w:t>
      </w:r>
    </w:p>
    <w:p w14:paraId="04BAEA80" w14:textId="34177D81" w:rsidR="002378C9" w:rsidRDefault="002378C9" w:rsidP="002378C9">
      <w:pPr>
        <w:pStyle w:val="SingleTxtG"/>
      </w:pPr>
      <w:r w:rsidRPr="00C20D87">
        <w:rPr>
          <w:rFonts w:asciiTheme="majorBidi" w:hAnsiTheme="majorBidi" w:cstheme="majorBidi"/>
          <w:i/>
          <w:iCs/>
        </w:rPr>
        <w:tab/>
      </w:r>
      <w:r>
        <w:rPr>
          <w:rFonts w:asciiTheme="majorBidi" w:hAnsiTheme="majorBidi" w:cstheme="majorBidi"/>
          <w:i/>
          <w:iCs/>
        </w:rPr>
        <w:tab/>
      </w:r>
      <w:r w:rsidRPr="00A268FE">
        <w:rPr>
          <w:i/>
          <w:iCs/>
        </w:rPr>
        <w:t>Taking note</w:t>
      </w:r>
      <w:r>
        <w:t xml:space="preserve"> of the report of the Committee with respect to paragraph 19 of decision VI/8 on general issues of compliance concerning the compliance of Turkmenistan,</w:t>
      </w:r>
      <w:r>
        <w:rPr>
          <w:rStyle w:val="FootnoteReference"/>
        </w:rPr>
        <w:footnoteReference w:id="4"/>
      </w:r>
    </w:p>
    <w:p w14:paraId="11C2E63A" w14:textId="3E01EA95" w:rsidR="002378C9" w:rsidRPr="00C20D87" w:rsidRDefault="002378C9" w:rsidP="002378C9">
      <w:pPr>
        <w:pStyle w:val="SingleTxtG"/>
        <w:rPr>
          <w:rFonts w:asciiTheme="majorBidi" w:hAnsiTheme="majorBidi" w:cstheme="majorBidi"/>
        </w:rPr>
      </w:pPr>
      <w:r>
        <w:rPr>
          <w:rFonts w:asciiTheme="majorBidi" w:hAnsiTheme="majorBidi" w:cstheme="majorBidi"/>
          <w:i/>
        </w:rPr>
        <w:tab/>
      </w:r>
      <w:r>
        <w:rPr>
          <w:rFonts w:asciiTheme="majorBidi" w:hAnsiTheme="majorBidi" w:cstheme="majorBidi"/>
          <w:i/>
        </w:rPr>
        <w:tab/>
      </w:r>
      <w:r w:rsidRPr="00C20D87">
        <w:rPr>
          <w:rFonts w:asciiTheme="majorBidi" w:hAnsiTheme="majorBidi" w:cstheme="majorBidi"/>
          <w:i/>
        </w:rPr>
        <w:t>Encouraged</w:t>
      </w:r>
      <w:r w:rsidRPr="00C20D87">
        <w:rPr>
          <w:rFonts w:asciiTheme="majorBidi" w:hAnsiTheme="majorBidi" w:cstheme="majorBidi"/>
        </w:rPr>
        <w:t xml:space="preserve"> by the willingness of Turkmenistan to discuss in a constructive manner with the Committee the compliance issues in question, </w:t>
      </w:r>
    </w:p>
    <w:p w14:paraId="7D06FB9C" w14:textId="01D28697" w:rsidR="002378C9" w:rsidRPr="00C20D87" w:rsidRDefault="002378C9" w:rsidP="002378C9">
      <w:pPr>
        <w:pStyle w:val="SingleTxtG"/>
        <w:tabs>
          <w:tab w:val="left" w:pos="1134"/>
        </w:tabs>
        <w:rPr>
          <w:rFonts w:asciiTheme="majorBidi" w:hAnsiTheme="majorBidi" w:cstheme="majorBidi"/>
        </w:rPr>
      </w:pPr>
      <w:r>
        <w:rPr>
          <w:rFonts w:asciiTheme="majorBidi" w:hAnsiTheme="majorBidi" w:cstheme="majorBidi"/>
        </w:rPr>
        <w:tab/>
      </w:r>
      <w:r>
        <w:rPr>
          <w:rFonts w:asciiTheme="majorBidi" w:hAnsiTheme="majorBidi" w:cstheme="majorBidi"/>
        </w:rPr>
        <w:tab/>
      </w:r>
      <w:r w:rsidRPr="00C20D87">
        <w:rPr>
          <w:rFonts w:asciiTheme="majorBidi" w:hAnsiTheme="majorBidi" w:cstheme="majorBidi"/>
        </w:rPr>
        <w:t>1.</w:t>
      </w:r>
      <w:r w:rsidRPr="00C20D87">
        <w:rPr>
          <w:rFonts w:asciiTheme="majorBidi" w:hAnsiTheme="majorBidi" w:cstheme="majorBidi"/>
        </w:rPr>
        <w:tab/>
      </w:r>
      <w:r w:rsidRPr="00C20D87" w:rsidDel="00A65485">
        <w:rPr>
          <w:rFonts w:asciiTheme="majorBidi" w:hAnsiTheme="majorBidi" w:cstheme="majorBidi"/>
          <w:i/>
        </w:rPr>
        <w:t>Endorses</w:t>
      </w:r>
      <w:r w:rsidRPr="00C20D87" w:rsidDel="00A65485">
        <w:rPr>
          <w:rFonts w:asciiTheme="majorBidi" w:hAnsiTheme="majorBidi" w:cstheme="majorBidi"/>
        </w:rPr>
        <w:t xml:space="preserve"> the finding</w:t>
      </w:r>
      <w:r w:rsidRPr="00C20D87">
        <w:rPr>
          <w:rFonts w:asciiTheme="majorBidi" w:hAnsiTheme="majorBidi" w:cstheme="majorBidi"/>
        </w:rPr>
        <w:t>s</w:t>
      </w:r>
      <w:r w:rsidRPr="00C20D87" w:rsidDel="00A65485">
        <w:rPr>
          <w:rFonts w:asciiTheme="majorBidi" w:hAnsiTheme="majorBidi" w:cstheme="majorBidi"/>
        </w:rPr>
        <w:t xml:space="preserve"> of the Committee </w:t>
      </w:r>
      <w:r w:rsidRPr="00C20D87">
        <w:rPr>
          <w:rFonts w:asciiTheme="majorBidi" w:hAnsiTheme="majorBidi" w:cstheme="majorBidi"/>
          <w:lang w:val="en-US"/>
        </w:rPr>
        <w:t>that:</w:t>
      </w:r>
    </w:p>
    <w:p w14:paraId="0FEF86E3" w14:textId="26EF4C49" w:rsidR="002378C9" w:rsidRDefault="002378C9" w:rsidP="002378C9">
      <w:pPr>
        <w:pStyle w:val="SingleTxtG"/>
      </w:pPr>
      <w:r>
        <w:tab/>
      </w:r>
      <w:r>
        <w:tab/>
      </w:r>
      <w:r w:rsidRPr="00C20D87">
        <w:t>(a)</w:t>
      </w:r>
      <w:r w:rsidRPr="00C20D87">
        <w:tab/>
        <w:t>In the absence of a legal framework that clearly ensures that foreign citizens and persons without citizenship are able to participate in and found public associations in the same way as citizens of Turkmenistan, the Party concerned does not yet comply with article 3</w:t>
      </w:r>
      <w:r>
        <w:t xml:space="preserve"> </w:t>
      </w:r>
      <w:r w:rsidRPr="00C20D87">
        <w:t>(9) of the Convention;</w:t>
      </w:r>
    </w:p>
    <w:p w14:paraId="174D7351" w14:textId="77777777" w:rsidR="00C242D5" w:rsidRDefault="00C242D5" w:rsidP="002378C9">
      <w:pPr>
        <w:pStyle w:val="SingleTxtG"/>
      </w:pPr>
    </w:p>
    <w:p w14:paraId="3D4620BE" w14:textId="389716AB" w:rsidR="002378C9" w:rsidRPr="00C20D87" w:rsidRDefault="002378C9" w:rsidP="002378C9">
      <w:pPr>
        <w:pStyle w:val="SingleTxtG"/>
      </w:pPr>
      <w:r>
        <w:lastRenderedPageBreak/>
        <w:tab/>
      </w:r>
      <w:r>
        <w:tab/>
      </w:r>
      <w:r w:rsidRPr="00C20D87">
        <w:t>(b)</w:t>
      </w:r>
      <w:r w:rsidRPr="00C20D87">
        <w:tab/>
        <w:t>Given the ongoing lack of clarity as to how the prohibition o</w:t>
      </w:r>
      <w:r>
        <w:t>f</w:t>
      </w:r>
      <w:r w:rsidRPr="00C20D87">
        <w:t xml:space="preserve"> activities of unregistered</w:t>
      </w:r>
      <w:r>
        <w:t xml:space="preserve"> public</w:t>
      </w:r>
      <w:r w:rsidRPr="00C20D87">
        <w:t xml:space="preserve"> associations set out in article 7</w:t>
      </w:r>
      <w:r>
        <w:t xml:space="preserve"> </w:t>
      </w:r>
      <w:r w:rsidRPr="00C20D87">
        <w:t>(2) of the 2014 Act on Public Associations is to be applied in practice, the Party concerned has not yet demonstrated that it complies with article 3</w:t>
      </w:r>
      <w:r>
        <w:t xml:space="preserve"> </w:t>
      </w:r>
      <w:r w:rsidRPr="00C20D87">
        <w:t>(4) of the Convention;</w:t>
      </w:r>
    </w:p>
    <w:p w14:paraId="59B9003C" w14:textId="0C9DC2F5" w:rsidR="002378C9" w:rsidRPr="00C20D87" w:rsidRDefault="002378C9" w:rsidP="002378C9">
      <w:pPr>
        <w:pStyle w:val="SingleTxtG"/>
      </w:pPr>
      <w:r>
        <w:tab/>
      </w:r>
      <w:r>
        <w:tab/>
      </w:r>
      <w:r w:rsidRPr="00C20D87">
        <w:t>(c)</w:t>
      </w:r>
      <w:r w:rsidRPr="00C20D87">
        <w:tab/>
        <w:t xml:space="preserve">In the light of the Committee’s findings in subparagraphs (a) and (b) above, the Committee finds that the Party concerned has not yet demonstrated that it complies with the obligation </w:t>
      </w:r>
      <w:r>
        <w:t xml:space="preserve">contained </w:t>
      </w:r>
      <w:r w:rsidRPr="00C20D87">
        <w:t>in article 3</w:t>
      </w:r>
      <w:r>
        <w:t xml:space="preserve"> </w:t>
      </w:r>
      <w:r w:rsidRPr="00C20D87">
        <w:t>(1) of the Convention to provide a clear, transparent and consistent framework to implement the provisions of article 3</w:t>
      </w:r>
      <w:r>
        <w:t xml:space="preserve"> </w:t>
      </w:r>
      <w:r w:rsidRPr="00C20D87">
        <w:t>(4) and (9) of the Convention;</w:t>
      </w:r>
    </w:p>
    <w:p w14:paraId="294AF5C2" w14:textId="127DBA4B" w:rsidR="002378C9" w:rsidRPr="002378C9" w:rsidRDefault="002378C9" w:rsidP="002378C9">
      <w:pPr>
        <w:pStyle w:val="SingleTxtG"/>
        <w:rPr>
          <w:spacing w:val="1"/>
        </w:rPr>
      </w:pPr>
      <w:r>
        <w:rPr>
          <w:w w:val="99"/>
          <w:lang w:val="en-US" w:eastAsia="en-US"/>
        </w:rPr>
        <w:tab/>
      </w:r>
      <w:r>
        <w:rPr>
          <w:w w:val="99"/>
          <w:lang w:val="en-US" w:eastAsia="en-US"/>
        </w:rPr>
        <w:tab/>
      </w:r>
      <w:r w:rsidRPr="00C40735">
        <w:rPr>
          <w:w w:val="99"/>
          <w:lang w:val="en-US" w:eastAsia="en-US"/>
        </w:rPr>
        <w:t>2.</w:t>
      </w:r>
      <w:r w:rsidRPr="00C40735">
        <w:rPr>
          <w:w w:val="99"/>
          <w:lang w:val="en-US" w:eastAsia="en-US"/>
        </w:rPr>
        <w:tab/>
      </w:r>
      <w:r w:rsidRPr="002378C9">
        <w:rPr>
          <w:i/>
        </w:rPr>
        <w:t>Recommends</w:t>
      </w:r>
      <w:r w:rsidRPr="002378C9">
        <w:rPr>
          <w:iCs/>
        </w:rPr>
        <w:t xml:space="preserve"> </w:t>
      </w:r>
      <w:r w:rsidRPr="002378C9">
        <w:t xml:space="preserve">that </w:t>
      </w:r>
      <w:r w:rsidR="00F8698A">
        <w:t xml:space="preserve">the </w:t>
      </w:r>
      <w:r w:rsidRPr="002378C9">
        <w:t xml:space="preserve">Party concerned take, as a matter of urgency, the necessary legislative, regulatory, </w:t>
      </w:r>
      <w:proofErr w:type="gramStart"/>
      <w:r w:rsidRPr="002378C9">
        <w:t>administrative</w:t>
      </w:r>
      <w:proofErr w:type="gramEnd"/>
      <w:r w:rsidRPr="002378C9">
        <w:rPr>
          <w:spacing w:val="2"/>
        </w:rPr>
        <w:t xml:space="preserve"> and practical </w:t>
      </w:r>
      <w:r w:rsidRPr="002378C9">
        <w:t>measures to ensure that its legal framework:</w:t>
      </w:r>
    </w:p>
    <w:p w14:paraId="3EFA7AE7" w14:textId="225CF42E" w:rsidR="002378C9" w:rsidRPr="00C20D87" w:rsidRDefault="002378C9" w:rsidP="002378C9">
      <w:pPr>
        <w:pStyle w:val="SingleTxtG"/>
      </w:pPr>
      <w:r w:rsidRPr="00C20D87">
        <w:tab/>
      </w:r>
      <w:r>
        <w:tab/>
      </w:r>
      <w:r w:rsidRPr="00C20D87">
        <w:t>(a)</w:t>
      </w:r>
      <w:r w:rsidRPr="00C20D87">
        <w:tab/>
        <w:t>Explicitly sets out that foreign citizens and persons without citizenship have the same right to found and participate in non</w:t>
      </w:r>
      <w:r>
        <w:t>-</w:t>
      </w:r>
      <w:r w:rsidRPr="00C20D87">
        <w:t xml:space="preserve">governmental organizations promoting environmental protection as do citizens of </w:t>
      </w:r>
      <w:proofErr w:type="gramStart"/>
      <w:r w:rsidRPr="00C20D87">
        <w:t>Turkmenistan;</w:t>
      </w:r>
      <w:proofErr w:type="gramEnd"/>
      <w:r w:rsidRPr="00C20D87">
        <w:t xml:space="preserve"> </w:t>
      </w:r>
    </w:p>
    <w:p w14:paraId="69A3221B" w14:textId="0511FEE0" w:rsidR="002378C9" w:rsidRPr="00C20D87" w:rsidRDefault="002378C9" w:rsidP="002378C9">
      <w:pPr>
        <w:pStyle w:val="SingleTxtG"/>
      </w:pPr>
      <w:r>
        <w:tab/>
      </w:r>
      <w:r>
        <w:tab/>
      </w:r>
      <w:r w:rsidRPr="00C20D87">
        <w:t>(b)</w:t>
      </w:r>
      <w:r w:rsidRPr="00C20D87">
        <w:tab/>
        <w:t>Makes clear that members of the public who decide to come together to exercise their rights under article 9</w:t>
      </w:r>
      <w:r>
        <w:t xml:space="preserve"> </w:t>
      </w:r>
      <w:r w:rsidRPr="00C20D87">
        <w:t xml:space="preserve">(2) of the Law on Nature Protection, for example, to undertake environmental rehabilitation activities or to take part in demonstrations on nature protection issues and, in doing so, choose to identify themselves by a common name, will not be considered as acting as an “unregistered public association” and thus have their activities prohibited under article 7 </w:t>
      </w:r>
      <w:r>
        <w:t>(</w:t>
      </w:r>
      <w:r w:rsidRPr="00C20D87">
        <w:t>2</w:t>
      </w:r>
      <w:r>
        <w:t>)</w:t>
      </w:r>
      <w:r w:rsidRPr="00C20D87">
        <w:t xml:space="preserve"> of the 2014 Act on Public Associations</w:t>
      </w:r>
      <w:r>
        <w:t>;</w:t>
      </w:r>
    </w:p>
    <w:p w14:paraId="32605B4C" w14:textId="1E44C42C" w:rsidR="002378C9" w:rsidRPr="00C40735" w:rsidRDefault="002378C9" w:rsidP="002378C9">
      <w:pPr>
        <w:pStyle w:val="SingleTxtG"/>
      </w:pPr>
      <w:r>
        <w:tab/>
      </w:r>
      <w:r>
        <w:tab/>
        <w:t>3.</w:t>
      </w:r>
      <w:r>
        <w:tab/>
      </w:r>
      <w:r w:rsidRPr="00A268FE">
        <w:rPr>
          <w:i/>
          <w:iCs/>
        </w:rPr>
        <w:t>Calls</w:t>
      </w:r>
      <w:r w:rsidRPr="00C20D87">
        <w:t xml:space="preserve"> </w:t>
      </w:r>
      <w:r w:rsidRPr="008159E2">
        <w:rPr>
          <w:i/>
          <w:iCs/>
        </w:rPr>
        <w:t>upon</w:t>
      </w:r>
      <w:r w:rsidRPr="00C20D87">
        <w:t xml:space="preserve"> all relevant ministries of the Party concerned, including the Ministry of Justice, to work together to ensure the successful fulfilment of the above </w:t>
      </w:r>
      <w:proofErr w:type="gramStart"/>
      <w:r w:rsidRPr="00C20D87">
        <w:t>recommendations</w:t>
      </w:r>
      <w:r>
        <w:t>;</w:t>
      </w:r>
      <w:proofErr w:type="gramEnd"/>
    </w:p>
    <w:p w14:paraId="20BCB5DE" w14:textId="1536698C" w:rsidR="002378C9" w:rsidRDefault="002378C9" w:rsidP="002378C9">
      <w:pPr>
        <w:pStyle w:val="SingleTxtG"/>
      </w:pPr>
      <w:r>
        <w:rPr>
          <w:iCs/>
        </w:rPr>
        <w:tab/>
      </w:r>
      <w:r>
        <w:rPr>
          <w:iCs/>
        </w:rPr>
        <w:tab/>
        <w:t>4.</w:t>
      </w:r>
      <w:r>
        <w:rPr>
          <w:iCs/>
        </w:rPr>
        <w:tab/>
      </w:r>
      <w:r w:rsidRPr="00C20D87">
        <w:rPr>
          <w:i/>
        </w:rPr>
        <w:t>Requests</w:t>
      </w:r>
      <w:r w:rsidRPr="00C20D87">
        <w:t xml:space="preserve"> the Party concerned</w:t>
      </w:r>
      <w:r>
        <w:t xml:space="preserve"> to</w:t>
      </w:r>
      <w:r w:rsidRPr="00C40735">
        <w:t>:</w:t>
      </w:r>
    </w:p>
    <w:p w14:paraId="601A7E61" w14:textId="164CB137" w:rsidR="002378C9" w:rsidRPr="00C20D87" w:rsidRDefault="002378C9" w:rsidP="002378C9">
      <w:pPr>
        <w:pStyle w:val="SingleTxtG"/>
        <w:tabs>
          <w:tab w:val="left" w:pos="1701"/>
        </w:tabs>
        <w:ind w:firstLine="567"/>
        <w:rPr>
          <w:rFonts w:asciiTheme="majorBidi" w:hAnsiTheme="majorBidi" w:cstheme="majorBidi"/>
          <w:lang w:eastAsia="zh-CN"/>
        </w:rPr>
      </w:pPr>
      <w:r w:rsidRPr="00C20D87">
        <w:rPr>
          <w:rFonts w:asciiTheme="majorBidi" w:eastAsia="Calibri" w:hAnsiTheme="majorBidi" w:cstheme="majorBidi"/>
          <w:lang w:eastAsia="zh-CN"/>
        </w:rPr>
        <w:t>(a)</w:t>
      </w:r>
      <w:r w:rsidRPr="00C20D87">
        <w:rPr>
          <w:rFonts w:asciiTheme="majorBidi" w:eastAsia="Calibri" w:hAnsiTheme="majorBidi" w:cstheme="majorBidi"/>
          <w:lang w:eastAsia="zh-CN"/>
        </w:rPr>
        <w:tab/>
      </w:r>
      <w:r>
        <w:rPr>
          <w:rFonts w:asciiTheme="majorBidi" w:hAnsiTheme="majorBidi" w:cstheme="majorBidi"/>
        </w:rPr>
        <w:t>S</w:t>
      </w:r>
      <w:r w:rsidRPr="00C20D87">
        <w:rPr>
          <w:rFonts w:asciiTheme="majorBidi" w:hAnsiTheme="majorBidi" w:cstheme="majorBidi"/>
        </w:rPr>
        <w:t xml:space="preserve">ubmit a </w:t>
      </w:r>
      <w:r w:rsidRPr="00C20D87">
        <w:rPr>
          <w:rFonts w:asciiTheme="majorBidi" w:hAnsiTheme="majorBidi" w:cstheme="majorBidi"/>
          <w:lang w:eastAsia="zh-CN"/>
        </w:rPr>
        <w:t>plan of action</w:t>
      </w:r>
      <w:r w:rsidRPr="00C20D87">
        <w:rPr>
          <w:rFonts w:asciiTheme="majorBidi" w:hAnsiTheme="majorBidi" w:cstheme="majorBidi"/>
        </w:rPr>
        <w:t>, including a time schedule, to the Committee by 1</w:t>
      </w:r>
      <w:r w:rsidR="00F7748B">
        <w:rPr>
          <w:rFonts w:asciiTheme="majorBidi" w:hAnsiTheme="majorBidi" w:cstheme="majorBidi"/>
        </w:rPr>
        <w:t> </w:t>
      </w:r>
      <w:r w:rsidRPr="00C20D87">
        <w:rPr>
          <w:rFonts w:asciiTheme="majorBidi" w:hAnsiTheme="majorBidi" w:cstheme="majorBidi"/>
        </w:rPr>
        <w:t>July</w:t>
      </w:r>
      <w:r w:rsidR="00F7748B">
        <w:rPr>
          <w:rFonts w:asciiTheme="majorBidi" w:hAnsiTheme="majorBidi" w:cstheme="majorBidi"/>
        </w:rPr>
        <w:t> </w:t>
      </w:r>
      <w:r w:rsidRPr="00C20D87">
        <w:rPr>
          <w:rFonts w:asciiTheme="majorBidi" w:hAnsiTheme="majorBidi" w:cstheme="majorBidi"/>
        </w:rPr>
        <w:t xml:space="preserve">2022 regarding the implementation of the above </w:t>
      </w:r>
      <w:proofErr w:type="gramStart"/>
      <w:r w:rsidRPr="00C20D87">
        <w:rPr>
          <w:rFonts w:asciiTheme="majorBidi" w:hAnsiTheme="majorBidi" w:cstheme="majorBidi"/>
        </w:rPr>
        <w:t>recommendations;</w:t>
      </w:r>
      <w:proofErr w:type="gramEnd"/>
    </w:p>
    <w:p w14:paraId="736F3A29" w14:textId="3F04AD6D" w:rsidR="002378C9" w:rsidRPr="00C20D87" w:rsidRDefault="002378C9" w:rsidP="002378C9">
      <w:pPr>
        <w:pStyle w:val="SingleTxtG"/>
        <w:tabs>
          <w:tab w:val="left" w:pos="1701"/>
        </w:tabs>
        <w:ind w:firstLine="567"/>
        <w:rPr>
          <w:rFonts w:asciiTheme="majorBidi" w:hAnsiTheme="majorBidi" w:cstheme="majorBidi"/>
        </w:rPr>
      </w:pPr>
      <w:r w:rsidRPr="00C20D87">
        <w:rPr>
          <w:rFonts w:asciiTheme="majorBidi" w:eastAsia="Calibri" w:hAnsiTheme="majorBidi" w:cstheme="majorBidi"/>
        </w:rPr>
        <w:t>(b)</w:t>
      </w:r>
      <w:r w:rsidRPr="00C20D87">
        <w:rPr>
          <w:rFonts w:asciiTheme="majorBidi" w:eastAsia="Calibri" w:hAnsiTheme="majorBidi" w:cstheme="majorBidi"/>
        </w:rPr>
        <w:tab/>
      </w:r>
      <w:r>
        <w:rPr>
          <w:rFonts w:asciiTheme="majorBidi" w:eastAsia="Calibri" w:hAnsiTheme="majorBidi" w:cstheme="majorBidi"/>
        </w:rPr>
        <w:t>P</w:t>
      </w:r>
      <w:r w:rsidRPr="00C20D87">
        <w:rPr>
          <w:rFonts w:asciiTheme="majorBidi" w:eastAsia="Calibri" w:hAnsiTheme="majorBidi" w:cstheme="majorBidi"/>
        </w:rPr>
        <w:t>rovide detailed progress reports to the Committee by 1 October 2023 and 1</w:t>
      </w:r>
      <w:r w:rsidR="00F7748B">
        <w:rPr>
          <w:rFonts w:asciiTheme="majorBidi" w:eastAsia="Calibri" w:hAnsiTheme="majorBidi" w:cstheme="majorBidi"/>
        </w:rPr>
        <w:t> </w:t>
      </w:r>
      <w:r w:rsidRPr="00C20D87">
        <w:rPr>
          <w:rFonts w:asciiTheme="majorBidi" w:eastAsia="Calibri" w:hAnsiTheme="majorBidi" w:cstheme="majorBidi"/>
        </w:rPr>
        <w:t xml:space="preserve">October 2024 on the measures taken and the results achieved in the implementation of the plan of action and the above </w:t>
      </w:r>
      <w:proofErr w:type="gramStart"/>
      <w:r w:rsidRPr="00C20D87">
        <w:rPr>
          <w:rFonts w:asciiTheme="majorBidi" w:eastAsia="Calibri" w:hAnsiTheme="majorBidi" w:cstheme="majorBidi"/>
        </w:rPr>
        <w:t>recommendations;</w:t>
      </w:r>
      <w:proofErr w:type="gramEnd"/>
    </w:p>
    <w:p w14:paraId="0D172F75" w14:textId="58A089A3" w:rsidR="002378C9" w:rsidRPr="00C20D87" w:rsidRDefault="002378C9" w:rsidP="002378C9">
      <w:pPr>
        <w:pStyle w:val="SingleTxtG"/>
        <w:tabs>
          <w:tab w:val="left" w:pos="1701"/>
        </w:tabs>
        <w:ind w:firstLine="567"/>
        <w:rPr>
          <w:rFonts w:asciiTheme="majorBidi" w:hAnsiTheme="majorBidi" w:cstheme="majorBidi"/>
        </w:rPr>
      </w:pPr>
      <w:r w:rsidRPr="00C20D87">
        <w:rPr>
          <w:rFonts w:asciiTheme="majorBidi" w:eastAsia="Calibri" w:hAnsiTheme="majorBidi" w:cstheme="majorBidi"/>
        </w:rPr>
        <w:t>(c)</w:t>
      </w:r>
      <w:r w:rsidRPr="00C20D87">
        <w:rPr>
          <w:rFonts w:asciiTheme="majorBidi" w:eastAsia="Calibri" w:hAnsiTheme="majorBidi" w:cstheme="majorBidi"/>
        </w:rPr>
        <w:tab/>
      </w:r>
      <w:r>
        <w:rPr>
          <w:rFonts w:asciiTheme="majorBidi" w:eastAsia="Calibri" w:hAnsiTheme="majorBidi" w:cstheme="majorBidi"/>
        </w:rPr>
        <w:t>P</w:t>
      </w:r>
      <w:r w:rsidRPr="00C20D87">
        <w:rPr>
          <w:rFonts w:asciiTheme="majorBidi" w:eastAsia="Calibri" w:hAnsiTheme="majorBidi" w:cstheme="majorBidi"/>
        </w:rPr>
        <w:t xml:space="preserve">rovide such further information as the Committee may request in order to assist it to review the progress by the Party concerned in implementing the above </w:t>
      </w:r>
      <w:proofErr w:type="gramStart"/>
      <w:r w:rsidRPr="00C20D87">
        <w:rPr>
          <w:rFonts w:asciiTheme="majorBidi" w:eastAsia="Calibri" w:hAnsiTheme="majorBidi" w:cstheme="majorBidi"/>
        </w:rPr>
        <w:t>recommendation</w:t>
      </w:r>
      <w:r>
        <w:rPr>
          <w:rFonts w:asciiTheme="majorBidi" w:eastAsia="Calibri" w:hAnsiTheme="majorBidi" w:cstheme="majorBidi"/>
        </w:rPr>
        <w:t>s</w:t>
      </w:r>
      <w:r w:rsidRPr="00C20D87">
        <w:rPr>
          <w:rFonts w:asciiTheme="majorBidi" w:eastAsia="Calibri" w:hAnsiTheme="majorBidi" w:cstheme="majorBidi"/>
        </w:rPr>
        <w:t>;</w:t>
      </w:r>
      <w:proofErr w:type="gramEnd"/>
      <w:r w:rsidRPr="00C20D87">
        <w:rPr>
          <w:rFonts w:asciiTheme="majorBidi" w:eastAsia="Calibri" w:hAnsiTheme="majorBidi" w:cstheme="majorBidi"/>
        </w:rPr>
        <w:t xml:space="preserve"> </w:t>
      </w:r>
    </w:p>
    <w:p w14:paraId="4D845905" w14:textId="2A257AB1" w:rsidR="002378C9" w:rsidRPr="00C20D87" w:rsidRDefault="002378C9" w:rsidP="002378C9">
      <w:pPr>
        <w:pStyle w:val="SingleTxtG"/>
        <w:tabs>
          <w:tab w:val="left" w:pos="1701"/>
        </w:tabs>
        <w:ind w:firstLine="567"/>
        <w:rPr>
          <w:rFonts w:asciiTheme="majorBidi" w:hAnsiTheme="majorBidi" w:cstheme="majorBidi"/>
        </w:rPr>
      </w:pPr>
      <w:r w:rsidRPr="00C20D87">
        <w:rPr>
          <w:rFonts w:asciiTheme="majorBidi" w:eastAsia="Calibri" w:hAnsiTheme="majorBidi" w:cstheme="majorBidi"/>
        </w:rPr>
        <w:t>(d)</w:t>
      </w:r>
      <w:r w:rsidRPr="00C20D87">
        <w:rPr>
          <w:rFonts w:asciiTheme="majorBidi" w:eastAsia="Calibri" w:hAnsiTheme="majorBidi" w:cstheme="majorBidi"/>
        </w:rPr>
        <w:tab/>
      </w:r>
      <w:r>
        <w:rPr>
          <w:rFonts w:asciiTheme="majorBidi" w:eastAsia="Calibri" w:hAnsiTheme="majorBidi" w:cstheme="majorBidi"/>
        </w:rPr>
        <w:t>P</w:t>
      </w:r>
      <w:r w:rsidRPr="00C20D87">
        <w:rPr>
          <w:rFonts w:asciiTheme="majorBidi" w:eastAsia="Calibri" w:hAnsiTheme="majorBidi" w:cstheme="majorBidi"/>
        </w:rPr>
        <w:t>articipate (either in person or by virtual means) in the meetings of the Committee at which the progress of the Party concerned in implementing the above recommendation</w:t>
      </w:r>
      <w:r>
        <w:rPr>
          <w:rFonts w:asciiTheme="majorBidi" w:eastAsia="Calibri" w:hAnsiTheme="majorBidi" w:cstheme="majorBidi"/>
        </w:rPr>
        <w:t>s</w:t>
      </w:r>
      <w:r w:rsidRPr="00C20D87">
        <w:rPr>
          <w:rFonts w:asciiTheme="majorBidi" w:eastAsia="Calibri" w:hAnsiTheme="majorBidi" w:cstheme="majorBidi"/>
        </w:rPr>
        <w:t xml:space="preserve"> is to be </w:t>
      </w:r>
      <w:proofErr w:type="gramStart"/>
      <w:r w:rsidRPr="00C20D87">
        <w:rPr>
          <w:rFonts w:asciiTheme="majorBidi" w:eastAsia="Calibri" w:hAnsiTheme="majorBidi" w:cstheme="majorBidi"/>
        </w:rPr>
        <w:t>considered</w:t>
      </w:r>
      <w:r>
        <w:rPr>
          <w:rFonts w:asciiTheme="majorBidi" w:eastAsia="Calibri" w:hAnsiTheme="majorBidi" w:cstheme="majorBidi"/>
        </w:rPr>
        <w:t>;</w:t>
      </w:r>
      <w:proofErr w:type="gramEnd"/>
    </w:p>
    <w:p w14:paraId="6957F386" w14:textId="47B54949" w:rsidR="002378C9" w:rsidRPr="00C20D87" w:rsidRDefault="002378C9" w:rsidP="002378C9">
      <w:pPr>
        <w:pStyle w:val="SingleTxtG"/>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sidRPr="00C20D87">
        <w:rPr>
          <w:rFonts w:asciiTheme="majorBidi" w:hAnsiTheme="majorBidi" w:cstheme="majorBidi"/>
        </w:rPr>
        <w:t>5.</w:t>
      </w:r>
      <w:r w:rsidRPr="00C20D87">
        <w:rPr>
          <w:rFonts w:asciiTheme="majorBidi" w:hAnsiTheme="majorBidi" w:cstheme="majorBidi"/>
        </w:rPr>
        <w:tab/>
      </w:r>
      <w:r w:rsidRPr="00C20D87">
        <w:rPr>
          <w:rFonts w:asciiTheme="majorBidi" w:hAnsiTheme="majorBidi" w:cstheme="majorBidi"/>
          <w:i/>
          <w:iCs/>
        </w:rPr>
        <w:t>Decides</w:t>
      </w:r>
      <w:r w:rsidRPr="00C20D87">
        <w:rPr>
          <w:rFonts w:asciiTheme="majorBidi" w:hAnsiTheme="majorBidi" w:cstheme="majorBidi"/>
        </w:rPr>
        <w:t xml:space="preserve"> to issue a caution to the Party concerned, to become effective on 1</w:t>
      </w:r>
      <w:r w:rsidR="00F7748B">
        <w:rPr>
          <w:rFonts w:asciiTheme="majorBidi" w:hAnsiTheme="majorBidi" w:cstheme="majorBidi"/>
        </w:rPr>
        <w:t> </w:t>
      </w:r>
      <w:r w:rsidRPr="00C20D87">
        <w:rPr>
          <w:rFonts w:asciiTheme="majorBidi" w:hAnsiTheme="majorBidi" w:cstheme="majorBidi"/>
        </w:rPr>
        <w:t xml:space="preserve">January 2024, unless the Party concerned has fully satisfied the conditions set out in paragraph </w:t>
      </w:r>
      <w:r>
        <w:rPr>
          <w:rFonts w:asciiTheme="majorBidi" w:hAnsiTheme="majorBidi" w:cstheme="majorBidi"/>
        </w:rPr>
        <w:t>2</w:t>
      </w:r>
      <w:r w:rsidRPr="00C20D87">
        <w:rPr>
          <w:rFonts w:asciiTheme="majorBidi" w:hAnsiTheme="majorBidi" w:cstheme="majorBidi"/>
        </w:rPr>
        <w:t xml:space="preserve"> (a) and (b) above and has notified the secretariat of this fact by 1 October 2023</w:t>
      </w:r>
      <w:r>
        <w:rPr>
          <w:rFonts w:asciiTheme="majorBidi" w:hAnsiTheme="majorBidi" w:cstheme="majorBidi"/>
        </w:rPr>
        <w:t>;</w:t>
      </w:r>
    </w:p>
    <w:p w14:paraId="6E264C4B" w14:textId="5A192571" w:rsidR="002378C9" w:rsidRPr="00C20D87" w:rsidRDefault="002378C9" w:rsidP="002378C9">
      <w:pPr>
        <w:pStyle w:val="SingleTxtG"/>
        <w:spacing w:after="240"/>
        <w:rPr>
          <w:rFonts w:asciiTheme="majorBidi" w:hAnsiTheme="majorBidi" w:cstheme="majorBidi"/>
        </w:rPr>
      </w:pPr>
      <w:r>
        <w:rPr>
          <w:rFonts w:asciiTheme="majorBidi" w:hAnsiTheme="majorBidi" w:cstheme="majorBidi"/>
        </w:rPr>
        <w:tab/>
      </w:r>
      <w:r>
        <w:rPr>
          <w:rFonts w:asciiTheme="majorBidi" w:hAnsiTheme="majorBidi" w:cstheme="majorBidi"/>
        </w:rPr>
        <w:tab/>
      </w:r>
      <w:r w:rsidRPr="00C40735">
        <w:rPr>
          <w:rFonts w:asciiTheme="majorBidi" w:hAnsiTheme="majorBidi" w:cstheme="majorBidi"/>
        </w:rPr>
        <w:t>6.</w:t>
      </w:r>
      <w:r>
        <w:rPr>
          <w:rFonts w:asciiTheme="majorBidi" w:hAnsiTheme="majorBidi" w:cstheme="majorBidi"/>
          <w:i/>
          <w:iCs/>
        </w:rPr>
        <w:tab/>
      </w:r>
      <w:r w:rsidRPr="00C20D87">
        <w:rPr>
          <w:rFonts w:asciiTheme="majorBidi" w:hAnsiTheme="majorBidi" w:cstheme="majorBidi"/>
          <w:i/>
          <w:iCs/>
        </w:rPr>
        <w:t>Requests</w:t>
      </w:r>
      <w:r w:rsidRPr="00C20D87">
        <w:rPr>
          <w:rFonts w:asciiTheme="majorBidi" w:hAnsiTheme="majorBidi" w:cstheme="majorBidi"/>
        </w:rPr>
        <w:t xml:space="preserve"> the Committee to establish the successful fulfilment of paragraph </w:t>
      </w:r>
      <w:r>
        <w:rPr>
          <w:rFonts w:asciiTheme="majorBidi" w:hAnsiTheme="majorBidi" w:cstheme="majorBidi"/>
        </w:rPr>
        <w:t>2</w:t>
      </w:r>
      <w:r w:rsidRPr="00C20D87">
        <w:rPr>
          <w:rFonts w:asciiTheme="majorBidi" w:hAnsiTheme="majorBidi" w:cstheme="majorBidi"/>
        </w:rPr>
        <w:t xml:space="preserve"> (a) and (b)</w:t>
      </w:r>
      <w:r>
        <w:rPr>
          <w:rFonts w:asciiTheme="majorBidi" w:hAnsiTheme="majorBidi" w:cstheme="majorBidi"/>
        </w:rPr>
        <w:t xml:space="preserve"> above</w:t>
      </w:r>
      <w:r w:rsidRPr="00C20D87">
        <w:rPr>
          <w:rFonts w:asciiTheme="majorBidi" w:hAnsiTheme="majorBidi" w:cstheme="majorBidi"/>
        </w:rPr>
        <w:t xml:space="preserve"> for the purposes of paragraph </w:t>
      </w:r>
      <w:r>
        <w:rPr>
          <w:rFonts w:asciiTheme="majorBidi" w:hAnsiTheme="majorBidi" w:cstheme="majorBidi"/>
        </w:rPr>
        <w:t>5</w:t>
      </w:r>
      <w:r w:rsidRPr="00C20D87">
        <w:rPr>
          <w:rFonts w:asciiTheme="majorBidi" w:hAnsiTheme="majorBidi" w:cstheme="majorBidi"/>
        </w:rPr>
        <w:t xml:space="preserve"> </w:t>
      </w:r>
      <w:proofErr w:type="gramStart"/>
      <w:r w:rsidRPr="00C20D87">
        <w:rPr>
          <w:rFonts w:asciiTheme="majorBidi" w:hAnsiTheme="majorBidi" w:cstheme="majorBidi"/>
        </w:rPr>
        <w:t>above</w:t>
      </w:r>
      <w:r>
        <w:rPr>
          <w:rFonts w:asciiTheme="majorBidi" w:hAnsiTheme="majorBidi" w:cstheme="majorBidi"/>
        </w:rPr>
        <w:t>;</w:t>
      </w:r>
      <w:proofErr w:type="gramEnd"/>
    </w:p>
    <w:p w14:paraId="279BCB39" w14:textId="2FBE2CDA" w:rsidR="001C6663" w:rsidRDefault="002378C9" w:rsidP="002378C9">
      <w:pPr>
        <w:pStyle w:val="SingleTxtG"/>
        <w:rPr>
          <w:rFonts w:asciiTheme="majorBidi" w:hAnsiTheme="majorBidi" w:cstheme="majorBidi"/>
        </w:rPr>
      </w:pPr>
      <w:r>
        <w:rPr>
          <w:rFonts w:asciiTheme="majorBidi" w:hAnsiTheme="majorBidi" w:cstheme="majorBidi"/>
          <w:iCs/>
        </w:rPr>
        <w:tab/>
      </w:r>
      <w:r>
        <w:rPr>
          <w:rFonts w:asciiTheme="majorBidi" w:hAnsiTheme="majorBidi" w:cstheme="majorBidi"/>
          <w:iCs/>
        </w:rPr>
        <w:tab/>
        <w:t>7.</w:t>
      </w:r>
      <w:r>
        <w:rPr>
          <w:rFonts w:asciiTheme="majorBidi" w:hAnsiTheme="majorBidi" w:cstheme="majorBidi"/>
          <w:iCs/>
        </w:rPr>
        <w:tab/>
      </w:r>
      <w:r w:rsidRPr="00C20D87">
        <w:rPr>
          <w:rFonts w:asciiTheme="majorBidi" w:hAnsiTheme="majorBidi" w:cstheme="majorBidi"/>
          <w:i/>
        </w:rPr>
        <w:t>Undertakes</w:t>
      </w:r>
      <w:r w:rsidRPr="00C20D87">
        <w:rPr>
          <w:rFonts w:asciiTheme="majorBidi" w:hAnsiTheme="majorBidi" w:cstheme="majorBidi"/>
        </w:rPr>
        <w:t xml:space="preserve"> to review the situation at its eighth session.</w:t>
      </w:r>
    </w:p>
    <w:p w14:paraId="2DCB768C" w14:textId="426B73A6" w:rsidR="00D65159" w:rsidRDefault="002378C9" w:rsidP="00D65159">
      <w:pPr>
        <w:spacing w:before="240"/>
        <w:jc w:val="center"/>
        <w:rPr>
          <w:u w:val="single"/>
        </w:rPr>
      </w:pPr>
      <w:r>
        <w:rPr>
          <w:u w:val="single"/>
        </w:rPr>
        <w:tab/>
      </w:r>
      <w:r>
        <w:rPr>
          <w:u w:val="single"/>
        </w:rPr>
        <w:tab/>
      </w:r>
      <w:r>
        <w:rPr>
          <w:u w:val="single"/>
        </w:rPr>
        <w:tab/>
      </w:r>
    </w:p>
    <w:sectPr w:rsidR="00D65159" w:rsidSect="00EF588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381E" w14:textId="77777777" w:rsidR="00C940F4" w:rsidRDefault="00C940F4"/>
  </w:endnote>
  <w:endnote w:type="continuationSeparator" w:id="0">
    <w:p w14:paraId="541A79F3" w14:textId="77777777" w:rsidR="00C940F4" w:rsidRDefault="00C940F4"/>
  </w:endnote>
  <w:endnote w:type="continuationNotice" w:id="1">
    <w:p w14:paraId="279A40A8" w14:textId="77777777" w:rsidR="00C940F4" w:rsidRDefault="00C94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09CF9" w14:textId="153EE2FA" w:rsidR="002378C9" w:rsidRPr="002378C9" w:rsidRDefault="002378C9" w:rsidP="002378C9">
    <w:pPr>
      <w:pStyle w:val="Footer"/>
      <w:tabs>
        <w:tab w:val="right" w:pos="9638"/>
      </w:tabs>
      <w:rPr>
        <w:sz w:val="18"/>
      </w:rPr>
    </w:pPr>
    <w:r w:rsidRPr="002378C9">
      <w:rPr>
        <w:b/>
        <w:sz w:val="18"/>
      </w:rPr>
      <w:fldChar w:fldCharType="begin"/>
    </w:r>
    <w:r w:rsidRPr="002378C9">
      <w:rPr>
        <w:b/>
        <w:sz w:val="18"/>
      </w:rPr>
      <w:instrText xml:space="preserve"> PAGE  \* MERGEFORMAT </w:instrText>
    </w:r>
    <w:r w:rsidRPr="002378C9">
      <w:rPr>
        <w:b/>
        <w:sz w:val="18"/>
      </w:rPr>
      <w:fldChar w:fldCharType="separate"/>
    </w:r>
    <w:r w:rsidRPr="002378C9">
      <w:rPr>
        <w:b/>
        <w:noProof/>
        <w:sz w:val="18"/>
      </w:rPr>
      <w:t>2</w:t>
    </w:r>
    <w:r w:rsidRPr="002378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30C5" w14:textId="3064F497" w:rsidR="002378C9" w:rsidRPr="002378C9" w:rsidRDefault="002378C9" w:rsidP="002378C9">
    <w:pPr>
      <w:pStyle w:val="Footer"/>
      <w:tabs>
        <w:tab w:val="right" w:pos="9638"/>
      </w:tabs>
      <w:rPr>
        <w:b/>
        <w:sz w:val="18"/>
      </w:rPr>
    </w:pPr>
    <w:r>
      <w:tab/>
    </w:r>
    <w:r w:rsidRPr="002378C9">
      <w:rPr>
        <w:b/>
        <w:sz w:val="18"/>
      </w:rPr>
      <w:fldChar w:fldCharType="begin"/>
    </w:r>
    <w:r w:rsidRPr="002378C9">
      <w:rPr>
        <w:b/>
        <w:sz w:val="18"/>
      </w:rPr>
      <w:instrText xml:space="preserve"> PAGE  \* MERGEFORMAT </w:instrText>
    </w:r>
    <w:r w:rsidRPr="002378C9">
      <w:rPr>
        <w:b/>
        <w:sz w:val="18"/>
      </w:rPr>
      <w:fldChar w:fldCharType="separate"/>
    </w:r>
    <w:r w:rsidRPr="002378C9">
      <w:rPr>
        <w:b/>
        <w:noProof/>
        <w:sz w:val="18"/>
      </w:rPr>
      <w:t>3</w:t>
    </w:r>
    <w:r w:rsidRPr="002378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D2B" w14:textId="6BA3A471" w:rsidR="0054796C" w:rsidRDefault="0054796C" w:rsidP="0054796C">
    <w:pPr>
      <w:pStyle w:val="Footer"/>
    </w:pPr>
    <w:r w:rsidRPr="0027112F">
      <w:rPr>
        <w:noProof/>
        <w:lang w:val="en-US"/>
      </w:rPr>
      <w:drawing>
        <wp:anchor distT="0" distB="0" distL="114300" distR="114300" simplePos="0" relativeHeight="251659264" behindDoc="0" locked="1" layoutInCell="1" allowOverlap="1" wp14:anchorId="47A90A88" wp14:editId="3B05E15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E88652" w14:textId="73069091" w:rsidR="0054796C" w:rsidRPr="0054796C" w:rsidRDefault="0054796C" w:rsidP="0054796C">
    <w:pPr>
      <w:pStyle w:val="Footer"/>
      <w:ind w:right="1134"/>
      <w:rPr>
        <w:sz w:val="20"/>
      </w:rPr>
    </w:pPr>
    <w:r>
      <w:rPr>
        <w:sz w:val="20"/>
      </w:rPr>
      <w:t>GE.21-10879(E)</w:t>
    </w:r>
    <w:r>
      <w:rPr>
        <w:noProof/>
        <w:sz w:val="20"/>
      </w:rPr>
      <w:drawing>
        <wp:anchor distT="0" distB="0" distL="114300" distR="114300" simplePos="0" relativeHeight="251660288" behindDoc="0" locked="0" layoutInCell="1" allowOverlap="1" wp14:anchorId="47636FE7" wp14:editId="1B0C79F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2000" w14:textId="77777777" w:rsidR="00C940F4" w:rsidRPr="000B175B" w:rsidRDefault="00C940F4" w:rsidP="000B175B">
      <w:pPr>
        <w:tabs>
          <w:tab w:val="right" w:pos="2155"/>
        </w:tabs>
        <w:spacing w:after="80"/>
        <w:ind w:left="680"/>
        <w:rPr>
          <w:u w:val="single"/>
        </w:rPr>
      </w:pPr>
      <w:r>
        <w:rPr>
          <w:u w:val="single"/>
        </w:rPr>
        <w:tab/>
      </w:r>
    </w:p>
  </w:footnote>
  <w:footnote w:type="continuationSeparator" w:id="0">
    <w:p w14:paraId="5EFE8DAA" w14:textId="77777777" w:rsidR="00C940F4" w:rsidRPr="00FC68B7" w:rsidRDefault="00C940F4" w:rsidP="00FC68B7">
      <w:pPr>
        <w:tabs>
          <w:tab w:val="left" w:pos="2155"/>
        </w:tabs>
        <w:spacing w:after="80"/>
        <w:ind w:left="680"/>
        <w:rPr>
          <w:u w:val="single"/>
        </w:rPr>
      </w:pPr>
      <w:r>
        <w:rPr>
          <w:u w:val="single"/>
        </w:rPr>
        <w:tab/>
      </w:r>
    </w:p>
  </w:footnote>
  <w:footnote w:type="continuationNotice" w:id="1">
    <w:p w14:paraId="624E791C" w14:textId="77777777" w:rsidR="00C940F4" w:rsidRDefault="00C940F4"/>
  </w:footnote>
  <w:footnote w:id="2">
    <w:p w14:paraId="02308237" w14:textId="0DE0C616" w:rsidR="002378C9" w:rsidRPr="00A268FE" w:rsidRDefault="002378C9" w:rsidP="002378C9">
      <w:pPr>
        <w:pStyle w:val="FootnoteText"/>
        <w:rPr>
          <w:lang w:val="en-US"/>
        </w:rPr>
      </w:pPr>
      <w:r>
        <w:tab/>
      </w:r>
      <w:r w:rsidRPr="00A268FE">
        <w:rPr>
          <w:rStyle w:val="FootnoteReference"/>
          <w:szCs w:val="18"/>
        </w:rPr>
        <w:footnoteRef/>
      </w:r>
      <w:r>
        <w:tab/>
      </w:r>
      <w:r w:rsidRPr="002378C9">
        <w:t>ECE</w:t>
      </w:r>
      <w:r w:rsidRPr="00A268FE">
        <w:t>/</w:t>
      </w:r>
      <w:proofErr w:type="gramStart"/>
      <w:r w:rsidRPr="00A268FE">
        <w:t>MP.PP</w:t>
      </w:r>
      <w:proofErr w:type="gramEnd"/>
      <w:r w:rsidRPr="00A268FE">
        <w:t>/2/Add.8.</w:t>
      </w:r>
    </w:p>
  </w:footnote>
  <w:footnote w:id="3">
    <w:p w14:paraId="1A002C95" w14:textId="4C2BE494" w:rsidR="002378C9" w:rsidRPr="00143244" w:rsidRDefault="002378C9" w:rsidP="002378C9">
      <w:pPr>
        <w:pStyle w:val="FootnoteText"/>
      </w:pPr>
      <w:r>
        <w:tab/>
      </w:r>
      <w:r>
        <w:rPr>
          <w:rStyle w:val="FootnoteReference"/>
        </w:rPr>
        <w:footnoteRef/>
      </w:r>
      <w:r>
        <w:tab/>
      </w:r>
      <w:r w:rsidRPr="002378C9">
        <w:t>ECE</w:t>
      </w:r>
      <w:r w:rsidRPr="003C2C47">
        <w:t>/</w:t>
      </w:r>
      <w:proofErr w:type="gramStart"/>
      <w:r w:rsidRPr="003C2C47">
        <w:t>MP.PP</w:t>
      </w:r>
      <w:proofErr w:type="gramEnd"/>
      <w:r w:rsidRPr="003C2C47">
        <w:t>/2017/</w:t>
      </w:r>
      <w:r>
        <w:t>2/</w:t>
      </w:r>
      <w:r w:rsidRPr="003C2C47">
        <w:t>Add.1</w:t>
      </w:r>
      <w:r>
        <w:t>.</w:t>
      </w:r>
    </w:p>
  </w:footnote>
  <w:footnote w:id="4">
    <w:p w14:paraId="13BB173E" w14:textId="069D3B22" w:rsidR="002378C9" w:rsidRPr="00A268FE" w:rsidRDefault="002378C9" w:rsidP="002378C9">
      <w:pPr>
        <w:pStyle w:val="FootnoteText"/>
        <w:rPr>
          <w:lang w:val="en-US"/>
        </w:rPr>
      </w:pPr>
      <w:r>
        <w:tab/>
      </w:r>
      <w:r w:rsidRPr="00A268FE">
        <w:rPr>
          <w:rStyle w:val="FootnoteReference"/>
          <w:szCs w:val="18"/>
        </w:rPr>
        <w:footnoteRef/>
      </w:r>
      <w:r>
        <w:tab/>
      </w:r>
      <w:r w:rsidRPr="00A268FE">
        <w:t>ECE/</w:t>
      </w:r>
      <w:proofErr w:type="gramStart"/>
      <w:r w:rsidRPr="00A268FE">
        <w:t>MP.PP</w:t>
      </w:r>
      <w:proofErr w:type="gramEnd"/>
      <w:r w:rsidRPr="00A268FE">
        <w:t>/2021/5</w:t>
      </w:r>
      <w:r>
        <w:t>8</w:t>
      </w:r>
      <w:r w:rsidRPr="00A268FE">
        <w:t>,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B636" w14:textId="3E064BA0" w:rsidR="002378C9" w:rsidRPr="002378C9" w:rsidRDefault="006C5B11">
    <w:pPr>
      <w:pStyle w:val="Header"/>
    </w:pPr>
    <w:r>
      <w:t>ECE/</w:t>
    </w:r>
    <w:proofErr w:type="gramStart"/>
    <w:r>
      <w:t>MP.PP</w:t>
    </w:r>
    <w:proofErr w:type="gramEnd"/>
    <w:r>
      <w:t>/2021/40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3E0B" w14:textId="63B18FCA" w:rsidR="002378C9" w:rsidRPr="002378C9" w:rsidRDefault="006C5B11" w:rsidP="002378C9">
    <w:pPr>
      <w:pStyle w:val="Header"/>
      <w:jc w:val="right"/>
    </w:pPr>
    <w:r>
      <w:t>ECE/</w:t>
    </w:r>
    <w:proofErr w:type="gramStart"/>
    <w:r>
      <w:t>MP.PP</w:t>
    </w:r>
    <w:proofErr w:type="gramEnd"/>
    <w:r>
      <w:t>/2021/40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E3381"/>
    <w:multiLevelType w:val="hybridMultilevel"/>
    <w:tmpl w:val="2ADCAFC2"/>
    <w:lvl w:ilvl="0" w:tplc="4EF445D4">
      <w:start w:val="2"/>
      <w:numFmt w:val="decimal"/>
      <w:lvlText w:val="%1."/>
      <w:lvlJc w:val="left"/>
      <w:pPr>
        <w:ind w:left="1791" w:hanging="531"/>
      </w:pPr>
      <w:rPr>
        <w:rFonts w:ascii="Times New Roman" w:eastAsia="Times New Roman" w:hAnsi="Times New Roman" w:cs="Times New Roman" w:hint="default"/>
        <w:b w:val="0"/>
        <w:bCs w:val="0"/>
        <w:i w:val="0"/>
        <w:iCs w:val="0"/>
        <w:spacing w:val="0"/>
        <w:w w:val="99"/>
        <w:sz w:val="20"/>
        <w:szCs w:val="20"/>
        <w:lang w:val="en-US" w:eastAsia="en-US" w:bidi="ar-SA"/>
      </w:rPr>
    </w:lvl>
    <w:lvl w:ilvl="1" w:tplc="52FE6760">
      <w:start w:val="1"/>
      <w:numFmt w:val="lowerLetter"/>
      <w:lvlText w:val="(%2)"/>
      <w:lvlJc w:val="left"/>
      <w:pPr>
        <w:ind w:left="2268" w:hanging="567"/>
      </w:pPr>
      <w:rPr>
        <w:rFonts w:ascii="Times New Roman" w:eastAsia="Times New Roman" w:hAnsi="Times New Roman" w:cs="Times New Roman" w:hint="default"/>
        <w:b w:val="0"/>
        <w:bCs w:val="0"/>
        <w:i w:val="0"/>
        <w:iCs w:val="0"/>
        <w:w w:val="99"/>
        <w:sz w:val="20"/>
        <w:szCs w:val="20"/>
        <w:lang w:val="en-US" w:eastAsia="en-US" w:bidi="ar-SA"/>
      </w:rPr>
    </w:lvl>
    <w:lvl w:ilvl="2" w:tplc="37DA0D2A">
      <w:numFmt w:val="bullet"/>
      <w:lvlText w:val="•"/>
      <w:lvlJc w:val="left"/>
      <w:pPr>
        <w:ind w:left="1828" w:hanging="567"/>
      </w:pPr>
      <w:rPr>
        <w:rFonts w:hint="default"/>
        <w:lang w:val="en-US" w:eastAsia="en-US" w:bidi="ar-SA"/>
      </w:rPr>
    </w:lvl>
    <w:lvl w:ilvl="3" w:tplc="7FC297C2">
      <w:numFmt w:val="bullet"/>
      <w:lvlText w:val="•"/>
      <w:lvlJc w:val="left"/>
      <w:pPr>
        <w:ind w:left="2782" w:hanging="567"/>
      </w:pPr>
      <w:rPr>
        <w:rFonts w:hint="default"/>
        <w:lang w:val="en-US" w:eastAsia="en-US" w:bidi="ar-SA"/>
      </w:rPr>
    </w:lvl>
    <w:lvl w:ilvl="4" w:tplc="8B56F094">
      <w:numFmt w:val="bullet"/>
      <w:lvlText w:val="•"/>
      <w:lvlJc w:val="left"/>
      <w:pPr>
        <w:ind w:left="3736" w:hanging="567"/>
      </w:pPr>
      <w:rPr>
        <w:rFonts w:hint="default"/>
        <w:lang w:val="en-US" w:eastAsia="en-US" w:bidi="ar-SA"/>
      </w:rPr>
    </w:lvl>
    <w:lvl w:ilvl="5" w:tplc="EEB4097A">
      <w:numFmt w:val="bullet"/>
      <w:lvlText w:val="•"/>
      <w:lvlJc w:val="left"/>
      <w:pPr>
        <w:ind w:left="4690" w:hanging="567"/>
      </w:pPr>
      <w:rPr>
        <w:rFonts w:hint="default"/>
        <w:lang w:val="en-US" w:eastAsia="en-US" w:bidi="ar-SA"/>
      </w:rPr>
    </w:lvl>
    <w:lvl w:ilvl="6" w:tplc="E73200B8">
      <w:numFmt w:val="bullet"/>
      <w:lvlText w:val="•"/>
      <w:lvlJc w:val="left"/>
      <w:pPr>
        <w:ind w:left="5644" w:hanging="567"/>
      </w:pPr>
      <w:rPr>
        <w:rFonts w:hint="default"/>
        <w:lang w:val="en-US" w:eastAsia="en-US" w:bidi="ar-SA"/>
      </w:rPr>
    </w:lvl>
    <w:lvl w:ilvl="7" w:tplc="E2DE21D6">
      <w:numFmt w:val="bullet"/>
      <w:lvlText w:val="•"/>
      <w:lvlJc w:val="left"/>
      <w:pPr>
        <w:ind w:left="6598" w:hanging="567"/>
      </w:pPr>
      <w:rPr>
        <w:rFonts w:hint="default"/>
        <w:lang w:val="en-US" w:eastAsia="en-US" w:bidi="ar-SA"/>
      </w:rPr>
    </w:lvl>
    <w:lvl w:ilvl="8" w:tplc="71D8CA66">
      <w:numFmt w:val="bullet"/>
      <w:lvlText w:val="•"/>
      <w:lvlJc w:val="left"/>
      <w:pPr>
        <w:ind w:left="7552" w:hanging="567"/>
      </w:pPr>
      <w:rPr>
        <w:rFonts w:hint="default"/>
        <w:lang w:val="en-US" w:eastAsia="en-US" w:bidi="ar-SA"/>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B40B11"/>
    <w:multiLevelType w:val="hybridMultilevel"/>
    <w:tmpl w:val="6C8E1EE4"/>
    <w:lvl w:ilvl="0" w:tplc="83083C52">
      <w:start w:val="1"/>
      <w:numFmt w:val="lowerLetter"/>
      <w:lvlText w:val="(%1)"/>
      <w:lvlJc w:val="left"/>
      <w:pPr>
        <w:ind w:left="2166" w:hanging="465"/>
      </w:pPr>
      <w:rPr>
        <w:rFonts w:eastAsia="Calibri"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5E732D6A"/>
    <w:multiLevelType w:val="hybridMultilevel"/>
    <w:tmpl w:val="3CAAAD8C"/>
    <w:lvl w:ilvl="0" w:tplc="CEA648AC">
      <w:start w:val="1"/>
      <w:numFmt w:val="decimal"/>
      <w:lvlText w:val="%1."/>
      <w:lvlJc w:val="left"/>
      <w:pPr>
        <w:tabs>
          <w:tab w:val="num" w:pos="1710"/>
        </w:tabs>
        <w:ind w:left="1710" w:hanging="576"/>
      </w:pPr>
      <w:rPr>
        <w:color w:val="auto"/>
        <w:vertAlign w:val="baseline"/>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20" w15:restartNumberingAfterBreak="0">
    <w:nsid w:val="609A40E0"/>
    <w:multiLevelType w:val="hybridMultilevel"/>
    <w:tmpl w:val="B11AB6C0"/>
    <w:lvl w:ilvl="0" w:tplc="66344D94">
      <w:start w:val="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21"/>
  </w:num>
  <w:num w:numId="18">
    <w:abstractNumId w:val="22"/>
  </w:num>
  <w:num w:numId="19">
    <w:abstractNumId w:val="12"/>
  </w:num>
  <w:num w:numId="20">
    <w:abstractNumId w:val="19"/>
  </w:num>
  <w:num w:numId="21">
    <w:abstractNumId w:val="18"/>
  </w:num>
  <w:num w:numId="22">
    <w:abstractNumId w:val="11"/>
  </w:num>
  <w:num w:numId="23">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C9"/>
    <w:rsid w:val="00002A7D"/>
    <w:rsid w:val="000038A8"/>
    <w:rsid w:val="00006790"/>
    <w:rsid w:val="00027624"/>
    <w:rsid w:val="00050C30"/>
    <w:rsid w:val="00050F6B"/>
    <w:rsid w:val="000678CD"/>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78C9"/>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15B0"/>
    <w:rsid w:val="003D4B23"/>
    <w:rsid w:val="003E278A"/>
    <w:rsid w:val="003E62A0"/>
    <w:rsid w:val="0040110C"/>
    <w:rsid w:val="00413520"/>
    <w:rsid w:val="00414668"/>
    <w:rsid w:val="00420AA3"/>
    <w:rsid w:val="004325CB"/>
    <w:rsid w:val="00440A07"/>
    <w:rsid w:val="00462880"/>
    <w:rsid w:val="00476F24"/>
    <w:rsid w:val="004B4725"/>
    <w:rsid w:val="004C55B0"/>
    <w:rsid w:val="004D256C"/>
    <w:rsid w:val="004F6BA0"/>
    <w:rsid w:val="00503BEA"/>
    <w:rsid w:val="005171F3"/>
    <w:rsid w:val="00525144"/>
    <w:rsid w:val="00533616"/>
    <w:rsid w:val="00535ABA"/>
    <w:rsid w:val="0053768B"/>
    <w:rsid w:val="005420F2"/>
    <w:rsid w:val="0054285C"/>
    <w:rsid w:val="0054796C"/>
    <w:rsid w:val="00584173"/>
    <w:rsid w:val="00595520"/>
    <w:rsid w:val="005A44B9"/>
    <w:rsid w:val="005B1BA0"/>
    <w:rsid w:val="005B3DB3"/>
    <w:rsid w:val="005D15CA"/>
    <w:rsid w:val="005F08DF"/>
    <w:rsid w:val="005F3066"/>
    <w:rsid w:val="005F3E61"/>
    <w:rsid w:val="00604DDD"/>
    <w:rsid w:val="006115CC"/>
    <w:rsid w:val="00611FC4"/>
    <w:rsid w:val="006176FB"/>
    <w:rsid w:val="00620015"/>
    <w:rsid w:val="00630FCB"/>
    <w:rsid w:val="00640B26"/>
    <w:rsid w:val="0065766B"/>
    <w:rsid w:val="0066654F"/>
    <w:rsid w:val="006770B2"/>
    <w:rsid w:val="00686A48"/>
    <w:rsid w:val="006940E1"/>
    <w:rsid w:val="006A3C72"/>
    <w:rsid w:val="006A7392"/>
    <w:rsid w:val="006B03A1"/>
    <w:rsid w:val="006B67D9"/>
    <w:rsid w:val="006C5535"/>
    <w:rsid w:val="006C5B11"/>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42D5"/>
    <w:rsid w:val="00C37459"/>
    <w:rsid w:val="00C463DD"/>
    <w:rsid w:val="00C47173"/>
    <w:rsid w:val="00C745C3"/>
    <w:rsid w:val="00C940F4"/>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5159"/>
    <w:rsid w:val="00D704E5"/>
    <w:rsid w:val="00D72727"/>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D18DC"/>
    <w:rsid w:val="00ED6201"/>
    <w:rsid w:val="00ED7A2A"/>
    <w:rsid w:val="00EF1D7F"/>
    <w:rsid w:val="00EF5882"/>
    <w:rsid w:val="00F0137E"/>
    <w:rsid w:val="00F21786"/>
    <w:rsid w:val="00F3742B"/>
    <w:rsid w:val="00F41FDB"/>
    <w:rsid w:val="00F56D63"/>
    <w:rsid w:val="00F609A9"/>
    <w:rsid w:val="00F7748B"/>
    <w:rsid w:val="00F80C99"/>
    <w:rsid w:val="00F867EC"/>
    <w:rsid w:val="00F8698A"/>
    <w:rsid w:val="00F91B2B"/>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53BDD2D"/>
  <w15:docId w15:val="{ACA6F4EF-143F-436D-AF52-204FEEE2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paragraph" w:styleId="ListParagraph">
    <w:name w:val="List Paragraph"/>
    <w:basedOn w:val="Normal"/>
    <w:uiPriority w:val="34"/>
    <w:qFormat/>
    <w:rsid w:val="002378C9"/>
    <w:pPr>
      <w:suppressAutoHyphens w:val="0"/>
      <w:spacing w:line="240" w:lineRule="auto"/>
      <w:ind w:left="720"/>
      <w:contextualSpacing/>
    </w:pPr>
    <w:rPr>
      <w:rFonts w:asciiTheme="minorHAnsi" w:eastAsiaTheme="minorHAnsi" w:hAnsiTheme="minorHAnsi" w:cstheme="minorBidi"/>
      <w:sz w:val="24"/>
      <w:szCs w:val="24"/>
      <w:lang w:val="it-IT" w:eastAsia="en-US"/>
    </w:rPr>
  </w:style>
  <w:style w:type="character" w:customStyle="1" w:styleId="SingleTxtGChar">
    <w:name w:val="_ Single Txt_G Char"/>
    <w:link w:val="SingleTxtG"/>
    <w:qFormat/>
    <w:rsid w:val="002378C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2D19-72B3-4506-88EC-104D7AB7F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DD3A7-D24A-4210-88B4-CAE1CD27056D}">
  <ds:schemaRefs>
    <ds:schemaRef ds:uri="http://schemas.microsoft.com/sharepoint/v3/contenttype/forms"/>
  </ds:schemaRefs>
</ds:datastoreItem>
</file>

<file path=customXml/itemProps3.xml><?xml version="1.0" encoding="utf-8"?>
<ds:datastoreItem xmlns:ds="http://schemas.openxmlformats.org/officeDocument/2006/customXml" ds:itemID="{47C2CBCD-3C45-41B5-A200-60894B4572FD}">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4076</Characters>
  <Application>Microsoft Office Word</Application>
  <DocSecurity>0</DocSecurity>
  <Lines>83</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ECE/MP.PP/2021/40</dc:title>
  <dc:subject>2110879</dc:subject>
  <dc:creator>Sadaf Shamsie</dc:creator>
  <cp:keywords/>
  <dc:description/>
  <cp:lastModifiedBy>Don MARTIN</cp:lastModifiedBy>
  <cp:revision>2</cp:revision>
  <cp:lastPrinted>2009-02-18T09:36:00Z</cp:lastPrinted>
  <dcterms:created xsi:type="dcterms:W3CDTF">2021-08-09T09:11:00Z</dcterms:created>
  <dcterms:modified xsi:type="dcterms:W3CDTF">2021-08-09T09:11:00Z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