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84E6FF" w14:textId="77777777" w:rsidTr="00B20551">
        <w:trPr>
          <w:cantSplit/>
          <w:trHeight w:hRule="exact" w:val="851"/>
        </w:trPr>
        <w:tc>
          <w:tcPr>
            <w:tcW w:w="1276" w:type="dxa"/>
            <w:tcBorders>
              <w:bottom w:val="single" w:sz="4" w:space="0" w:color="auto"/>
            </w:tcBorders>
            <w:vAlign w:val="bottom"/>
          </w:tcPr>
          <w:p w14:paraId="26286C36" w14:textId="77777777" w:rsidR="009E6CB7" w:rsidRDefault="009E6CB7" w:rsidP="00B20551">
            <w:pPr>
              <w:spacing w:after="80"/>
            </w:pPr>
          </w:p>
        </w:tc>
        <w:tc>
          <w:tcPr>
            <w:tcW w:w="2268" w:type="dxa"/>
            <w:tcBorders>
              <w:bottom w:val="single" w:sz="4" w:space="0" w:color="auto"/>
            </w:tcBorders>
            <w:vAlign w:val="bottom"/>
          </w:tcPr>
          <w:p w14:paraId="77CC09A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99AB0FE" w14:textId="16451FB0" w:rsidR="009E6CB7" w:rsidRPr="00D47EEA" w:rsidRDefault="00042632" w:rsidP="00042632">
            <w:pPr>
              <w:jc w:val="right"/>
            </w:pPr>
            <w:r w:rsidRPr="00042632">
              <w:rPr>
                <w:sz w:val="40"/>
              </w:rPr>
              <w:t>ECE</w:t>
            </w:r>
            <w:r>
              <w:t>/MP.PP/2021/32</w:t>
            </w:r>
          </w:p>
        </w:tc>
      </w:tr>
      <w:tr w:rsidR="009E6CB7" w14:paraId="294C727F" w14:textId="77777777" w:rsidTr="00B20551">
        <w:trPr>
          <w:cantSplit/>
          <w:trHeight w:hRule="exact" w:val="2835"/>
        </w:trPr>
        <w:tc>
          <w:tcPr>
            <w:tcW w:w="1276" w:type="dxa"/>
            <w:tcBorders>
              <w:top w:val="single" w:sz="4" w:space="0" w:color="auto"/>
              <w:bottom w:val="single" w:sz="12" w:space="0" w:color="auto"/>
            </w:tcBorders>
          </w:tcPr>
          <w:p w14:paraId="7B9EC5F6" w14:textId="77777777" w:rsidR="009E6CB7" w:rsidRDefault="00686A48" w:rsidP="00B20551">
            <w:pPr>
              <w:spacing w:before="120"/>
            </w:pPr>
            <w:r>
              <w:rPr>
                <w:noProof/>
                <w:lang w:val="fr-CH" w:eastAsia="fr-CH"/>
              </w:rPr>
              <w:drawing>
                <wp:inline distT="0" distB="0" distL="0" distR="0" wp14:anchorId="1793FE96" wp14:editId="239A90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D5BF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AA255BC" w14:textId="77777777" w:rsidR="009E6CB7" w:rsidRDefault="00042632" w:rsidP="00042632">
            <w:pPr>
              <w:spacing w:before="240" w:line="240" w:lineRule="exact"/>
            </w:pPr>
            <w:r>
              <w:t>Distr.: General</w:t>
            </w:r>
          </w:p>
          <w:p w14:paraId="4D33950D" w14:textId="55A27341" w:rsidR="00042632" w:rsidRDefault="001670A1" w:rsidP="00042632">
            <w:pPr>
              <w:spacing w:line="240" w:lineRule="exact"/>
            </w:pPr>
            <w:r>
              <w:t>9</w:t>
            </w:r>
            <w:r w:rsidR="00042632">
              <w:t xml:space="preserve"> August 2021</w:t>
            </w:r>
          </w:p>
          <w:p w14:paraId="7D76F410" w14:textId="77777777" w:rsidR="00042632" w:rsidRDefault="00042632" w:rsidP="00042632">
            <w:pPr>
              <w:spacing w:line="240" w:lineRule="exact"/>
            </w:pPr>
          </w:p>
          <w:p w14:paraId="225EC8DC" w14:textId="577DF6C2" w:rsidR="00042632" w:rsidRDefault="00042632" w:rsidP="00042632">
            <w:pPr>
              <w:spacing w:line="240" w:lineRule="exact"/>
            </w:pPr>
            <w:r>
              <w:t>Original: English</w:t>
            </w:r>
          </w:p>
        </w:tc>
      </w:tr>
    </w:tbl>
    <w:p w14:paraId="2457B164" w14:textId="77777777" w:rsidR="00042632" w:rsidRPr="00036740" w:rsidRDefault="00042632" w:rsidP="00042632">
      <w:pPr>
        <w:spacing w:before="120"/>
        <w:rPr>
          <w:b/>
          <w:sz w:val="28"/>
          <w:szCs w:val="28"/>
        </w:rPr>
      </w:pPr>
      <w:r w:rsidRPr="00036740">
        <w:rPr>
          <w:b/>
          <w:sz w:val="28"/>
          <w:szCs w:val="28"/>
        </w:rPr>
        <w:t>Economic Commission for Europe</w:t>
      </w:r>
    </w:p>
    <w:p w14:paraId="533D0040" w14:textId="77777777" w:rsidR="00042632" w:rsidRPr="00036740" w:rsidRDefault="00042632" w:rsidP="00042632">
      <w:pPr>
        <w:spacing w:before="120"/>
        <w:rPr>
          <w:sz w:val="28"/>
          <w:szCs w:val="28"/>
        </w:rPr>
      </w:pPr>
      <w:r w:rsidRPr="00036740">
        <w:rPr>
          <w:sz w:val="28"/>
          <w:szCs w:val="28"/>
        </w:rPr>
        <w:t xml:space="preserve">Meeting of the Parties to the Convention on </w:t>
      </w:r>
      <w:r w:rsidRPr="00036740">
        <w:rPr>
          <w:sz w:val="28"/>
          <w:szCs w:val="28"/>
        </w:rPr>
        <w:br/>
        <w:t xml:space="preserve">Access to Information, Public Participation </w:t>
      </w:r>
      <w:r w:rsidRPr="00036740">
        <w:rPr>
          <w:sz w:val="28"/>
          <w:szCs w:val="28"/>
        </w:rPr>
        <w:br/>
        <w:t xml:space="preserve">in Decision-making and Access to Justice </w:t>
      </w:r>
      <w:r w:rsidRPr="00036740">
        <w:rPr>
          <w:sz w:val="28"/>
          <w:szCs w:val="28"/>
        </w:rPr>
        <w:br/>
        <w:t>in Environmental Matters</w:t>
      </w:r>
    </w:p>
    <w:p w14:paraId="663F768F" w14:textId="77777777" w:rsidR="00042632" w:rsidRPr="00036740" w:rsidRDefault="00042632" w:rsidP="00042632">
      <w:pPr>
        <w:spacing w:before="120"/>
        <w:rPr>
          <w:b/>
          <w:bCs/>
        </w:rPr>
      </w:pPr>
      <w:r>
        <w:rPr>
          <w:b/>
          <w:bCs/>
        </w:rPr>
        <w:t>Seventh</w:t>
      </w:r>
      <w:r w:rsidRPr="00036740">
        <w:rPr>
          <w:b/>
          <w:bCs/>
        </w:rPr>
        <w:t xml:space="preserve"> session</w:t>
      </w:r>
    </w:p>
    <w:p w14:paraId="2BB42797" w14:textId="1EC59E51" w:rsidR="00042632" w:rsidRPr="00036740" w:rsidRDefault="00042632" w:rsidP="00042632">
      <w:r>
        <w:t>Geneva</w:t>
      </w:r>
      <w:r w:rsidRPr="00036740">
        <w:t>, 1</w:t>
      </w:r>
      <w:r>
        <w:t>8–20</w:t>
      </w:r>
      <w:r w:rsidRPr="00036740">
        <w:t xml:space="preserve"> </w:t>
      </w:r>
      <w:r>
        <w:t xml:space="preserve">October </w:t>
      </w:r>
      <w:r w:rsidRPr="00036740">
        <w:t>20</w:t>
      </w:r>
      <w:r>
        <w:t>2</w:t>
      </w:r>
      <w:r w:rsidRPr="00036740">
        <w:t>1</w:t>
      </w:r>
    </w:p>
    <w:p w14:paraId="395F84F4" w14:textId="77777777" w:rsidR="00042632" w:rsidRDefault="00042632" w:rsidP="00042632">
      <w:r w:rsidRPr="00036740">
        <w:t xml:space="preserve">Item </w:t>
      </w:r>
      <w:r>
        <w:t>7 (b)</w:t>
      </w:r>
      <w:r w:rsidRPr="00036740">
        <w:t xml:space="preserve"> of the provisional agenda</w:t>
      </w:r>
    </w:p>
    <w:p w14:paraId="207C47DB" w14:textId="77777777" w:rsidR="00042632" w:rsidRDefault="00042632" w:rsidP="00042632">
      <w:pPr>
        <w:rPr>
          <w:b/>
        </w:rPr>
      </w:pPr>
      <w:r>
        <w:rPr>
          <w:b/>
        </w:rPr>
        <w:t xml:space="preserve">Procedures and mechanisms facilitating the implementation </w:t>
      </w:r>
      <w:r>
        <w:rPr>
          <w:b/>
        </w:rPr>
        <w:br/>
        <w:t>of the Convention: compliance mechanism</w:t>
      </w:r>
    </w:p>
    <w:p w14:paraId="5ADD4D69" w14:textId="77777777" w:rsidR="00042632" w:rsidRDefault="00042632" w:rsidP="00042632">
      <w:pPr>
        <w:pStyle w:val="HChG"/>
      </w:pPr>
      <w:r>
        <w:tab/>
      </w:r>
      <w:r>
        <w:tab/>
      </w:r>
      <w:r w:rsidRPr="004334C7">
        <w:t xml:space="preserve">Draft decision </w:t>
      </w:r>
      <w:r w:rsidRPr="00851539">
        <w:t>VI</w:t>
      </w:r>
      <w:r>
        <w:t>I</w:t>
      </w:r>
      <w:r w:rsidRPr="00851539">
        <w:t>/8</w:t>
      </w:r>
      <w:r>
        <w:t>i</w:t>
      </w:r>
      <w:r w:rsidRPr="00851539">
        <w:t xml:space="preserve"> concerning</w:t>
      </w:r>
      <w:r w:rsidRPr="004334C7">
        <w:t xml:space="preserve"> compliance by </w:t>
      </w:r>
      <w:r>
        <w:t xml:space="preserve">Ireland </w:t>
      </w:r>
      <w:r w:rsidRPr="004334C7">
        <w:t>with its obligations under the Convention</w:t>
      </w:r>
    </w:p>
    <w:p w14:paraId="76EF9F77" w14:textId="77777777" w:rsidR="00042632" w:rsidRDefault="00042632" w:rsidP="00042632">
      <w:pPr>
        <w:pStyle w:val="H1G"/>
        <w:tabs>
          <w:tab w:val="left" w:pos="1701"/>
        </w:tabs>
        <w:rPr>
          <w:i/>
          <w:iCs/>
          <w:sz w:val="20"/>
        </w:rPr>
      </w:pPr>
      <w:r>
        <w:tab/>
      </w:r>
      <w:r>
        <w:tab/>
      </w:r>
      <w:r w:rsidRPr="00A77D15">
        <w:t>Prepared</w:t>
      </w:r>
      <w:r>
        <w:t xml:space="preserve"> by the Bureau</w:t>
      </w:r>
      <w:r w:rsidDel="006A2255">
        <w:t xml:space="preserve"> </w:t>
      </w:r>
    </w:p>
    <w:p w14:paraId="61C58EC4" w14:textId="788E43E2" w:rsidR="00042632" w:rsidRPr="00D11861" w:rsidRDefault="00042632" w:rsidP="00146AAE">
      <w:pPr>
        <w:pStyle w:val="SingleTxtG"/>
        <w:tabs>
          <w:tab w:val="left" w:pos="1701"/>
        </w:tabs>
        <w:rPr>
          <w:i/>
        </w:rPr>
      </w:pPr>
      <w:r>
        <w:tab/>
      </w:r>
      <w:r>
        <w:tab/>
      </w:r>
      <w:r w:rsidRPr="00D11861">
        <w:rPr>
          <w:i/>
        </w:rPr>
        <w:t xml:space="preserve">The Meeting of the Parties, </w:t>
      </w:r>
    </w:p>
    <w:p w14:paraId="7302DCD3" w14:textId="04CF3EC0" w:rsidR="00042632" w:rsidRPr="007A2A76" w:rsidRDefault="00042632" w:rsidP="00042632">
      <w:pPr>
        <w:pStyle w:val="SingleTxtG"/>
      </w:pPr>
      <w:r>
        <w:rPr>
          <w:i/>
          <w:iCs/>
        </w:rPr>
        <w:tab/>
      </w:r>
      <w:r>
        <w:rPr>
          <w:i/>
          <w:iCs/>
        </w:rPr>
        <w:tab/>
      </w:r>
      <w:r w:rsidRPr="007A2A76">
        <w:rPr>
          <w:i/>
          <w:iCs/>
        </w:rPr>
        <w:t xml:space="preserve">Acting </w:t>
      </w:r>
      <w:r w:rsidRPr="007A2A76">
        <w:t>under paragraph 37 of the annex to its decision I/7 on the review of compliance,</w:t>
      </w:r>
      <w:r w:rsidRPr="007A2A76">
        <w:rPr>
          <w:rStyle w:val="FootnoteReference"/>
        </w:rPr>
        <w:footnoteReference w:id="2"/>
      </w:r>
      <w:r w:rsidRPr="007A2A76">
        <w:t xml:space="preserve"> </w:t>
      </w:r>
    </w:p>
    <w:p w14:paraId="4FDE92DF" w14:textId="16E35FF3" w:rsidR="00042632" w:rsidRPr="007A2A76" w:rsidRDefault="00042632" w:rsidP="00042632">
      <w:pPr>
        <w:pStyle w:val="SingleTxtG"/>
      </w:pPr>
      <w:r>
        <w:tab/>
      </w:r>
      <w:r w:rsidRPr="007A2A76">
        <w:tab/>
      </w:r>
      <w:r w:rsidRPr="007A2A76">
        <w:rPr>
          <w:i/>
          <w:iCs/>
        </w:rPr>
        <w:t xml:space="preserve">Taking note </w:t>
      </w:r>
      <w:r w:rsidRPr="007A2A76">
        <w:t xml:space="preserve">of the findings of the Compliance Committee under the Convention on Access to Information, Public Participation in Decision-making and Access to Justice in Environmental Matters on communication </w:t>
      </w:r>
      <w:r w:rsidRPr="007A2A76">
        <w:rPr>
          <w:bCs/>
        </w:rPr>
        <w:t>ACCC/C/201</w:t>
      </w:r>
      <w:r>
        <w:rPr>
          <w:bCs/>
        </w:rPr>
        <w:t>3</w:t>
      </w:r>
      <w:r w:rsidRPr="007A2A76">
        <w:rPr>
          <w:bCs/>
        </w:rPr>
        <w:t>/10</w:t>
      </w:r>
      <w:r>
        <w:rPr>
          <w:bCs/>
        </w:rPr>
        <w:t>7</w:t>
      </w:r>
      <w:r w:rsidRPr="007A2A76">
        <w:rPr>
          <w:bCs/>
        </w:rPr>
        <w:t xml:space="preserve"> </w:t>
      </w:r>
      <w:r w:rsidRPr="007A2A76">
        <w:t xml:space="preserve">concerning compliance by </w:t>
      </w:r>
      <w:r>
        <w:t>Ireland</w:t>
      </w:r>
      <w:r w:rsidRPr="007A2A76">
        <w:t xml:space="preserve"> with respect to public participation in the decision-making </w:t>
      </w:r>
      <w:r>
        <w:t>to extend the duration of a quarry</w:t>
      </w:r>
      <w:r w:rsidRPr="007A2A76">
        <w:t>,</w:t>
      </w:r>
      <w:r w:rsidR="00FA3426">
        <w:rPr>
          <w:rStyle w:val="FootnoteReference"/>
        </w:rPr>
        <w:footnoteReference w:id="3"/>
      </w:r>
      <w:r w:rsidRPr="007A2A76">
        <w:t xml:space="preserve"> the Committee’s report on</w:t>
      </w:r>
      <w:r>
        <w:t xml:space="preserve"> the</w:t>
      </w:r>
      <w:r w:rsidRPr="007A2A76">
        <w:t xml:space="preserve"> progress </w:t>
      </w:r>
      <w:r>
        <w:t xml:space="preserve">made </w:t>
      </w:r>
      <w:r w:rsidRPr="007A2A76">
        <w:t xml:space="preserve">by </w:t>
      </w:r>
      <w:r>
        <w:t>Ireland</w:t>
      </w:r>
      <w:r w:rsidRPr="007A2A76">
        <w:t xml:space="preserve"> </w:t>
      </w:r>
      <w:r>
        <w:t>in</w:t>
      </w:r>
      <w:r w:rsidRPr="007A2A76">
        <w:t xml:space="preserve"> implement</w:t>
      </w:r>
      <w:r>
        <w:t>ing</w:t>
      </w:r>
      <w:r w:rsidRPr="007A2A76">
        <w:t xml:space="preserve"> the recommendations contained in </w:t>
      </w:r>
      <w:r>
        <w:t xml:space="preserve">its findings on communication </w:t>
      </w:r>
      <w:r w:rsidRPr="007A2A76">
        <w:rPr>
          <w:bCs/>
        </w:rPr>
        <w:t>ACCC/C/201</w:t>
      </w:r>
      <w:r>
        <w:rPr>
          <w:bCs/>
        </w:rPr>
        <w:t>3</w:t>
      </w:r>
      <w:r w:rsidRPr="007A2A76">
        <w:rPr>
          <w:bCs/>
        </w:rPr>
        <w:t>/10</w:t>
      </w:r>
      <w:r>
        <w:rPr>
          <w:bCs/>
        </w:rPr>
        <w:t>7,</w:t>
      </w:r>
      <w:r w:rsidRPr="007A2A76">
        <w:rPr>
          <w:rStyle w:val="FootnoteReference"/>
        </w:rPr>
        <w:footnoteReference w:id="4"/>
      </w:r>
      <w:r w:rsidRPr="007A2A76">
        <w:t xml:space="preserve"> the findings of the Committee on communication </w:t>
      </w:r>
      <w:r w:rsidRPr="007A2A76">
        <w:rPr>
          <w:bCs/>
        </w:rPr>
        <w:t>ACCC/C/201</w:t>
      </w:r>
      <w:r>
        <w:rPr>
          <w:bCs/>
        </w:rPr>
        <w:t>6</w:t>
      </w:r>
      <w:r w:rsidRPr="007A2A76">
        <w:rPr>
          <w:bCs/>
        </w:rPr>
        <w:t>/</w:t>
      </w:r>
      <w:r>
        <w:rPr>
          <w:bCs/>
        </w:rPr>
        <w:t xml:space="preserve">141 </w:t>
      </w:r>
      <w:r w:rsidRPr="007A2A76">
        <w:t xml:space="preserve">concerning compliance by </w:t>
      </w:r>
      <w:r>
        <w:t>Ireland</w:t>
      </w:r>
      <w:r w:rsidRPr="007A2A76">
        <w:t xml:space="preserve"> with respect </w:t>
      </w:r>
      <w:r>
        <w:t xml:space="preserve">to </w:t>
      </w:r>
      <w:r w:rsidRPr="007A2A76">
        <w:t>access to environmental information</w:t>
      </w:r>
      <w:r>
        <w:t xml:space="preserve"> and review mechanisms thereof</w:t>
      </w:r>
      <w:r w:rsidRPr="007A2A76">
        <w:t>;</w:t>
      </w:r>
      <w:r w:rsidRPr="007A2A76">
        <w:rPr>
          <w:rStyle w:val="FootnoteReference"/>
          <w:bCs/>
        </w:rPr>
        <w:footnoteReference w:id="5"/>
      </w:r>
      <w:r>
        <w:t xml:space="preserve"> </w:t>
      </w:r>
      <w:r w:rsidRPr="007A2A76">
        <w:t>the Committee’s report on</w:t>
      </w:r>
      <w:r>
        <w:t xml:space="preserve"> the</w:t>
      </w:r>
      <w:r w:rsidRPr="007A2A76">
        <w:t xml:space="preserve"> progress </w:t>
      </w:r>
      <w:r>
        <w:t xml:space="preserve">made </w:t>
      </w:r>
      <w:r w:rsidRPr="007A2A76">
        <w:t xml:space="preserve">by </w:t>
      </w:r>
      <w:r>
        <w:t>Ireland</w:t>
      </w:r>
      <w:r w:rsidRPr="007A2A76">
        <w:t xml:space="preserve"> </w:t>
      </w:r>
      <w:r>
        <w:t>in</w:t>
      </w:r>
      <w:r w:rsidRPr="007A2A76">
        <w:t xml:space="preserve"> implement</w:t>
      </w:r>
      <w:r>
        <w:t>ing</w:t>
      </w:r>
      <w:r w:rsidRPr="007A2A76">
        <w:t xml:space="preserve"> the recommendations contained in </w:t>
      </w:r>
      <w:r>
        <w:t>its</w:t>
      </w:r>
      <w:r w:rsidRPr="007A2A76">
        <w:t xml:space="preserve"> findings</w:t>
      </w:r>
      <w:r>
        <w:t xml:space="preserve"> on </w:t>
      </w:r>
      <w:r w:rsidRPr="007A2A76">
        <w:t xml:space="preserve">communication </w:t>
      </w:r>
      <w:r w:rsidRPr="007A2A76">
        <w:rPr>
          <w:bCs/>
        </w:rPr>
        <w:t>ACCC/C/201</w:t>
      </w:r>
      <w:r>
        <w:rPr>
          <w:bCs/>
        </w:rPr>
        <w:t>6</w:t>
      </w:r>
      <w:r w:rsidRPr="007A2A76">
        <w:rPr>
          <w:bCs/>
        </w:rPr>
        <w:t>/</w:t>
      </w:r>
      <w:r>
        <w:rPr>
          <w:bCs/>
        </w:rPr>
        <w:t>141,</w:t>
      </w:r>
      <w:r w:rsidRPr="007A2A76">
        <w:rPr>
          <w:rStyle w:val="FootnoteReference"/>
        </w:rPr>
        <w:footnoteReference w:id="6"/>
      </w:r>
      <w:r>
        <w:t xml:space="preserve"> and also </w:t>
      </w:r>
      <w:r w:rsidRPr="007A2A76">
        <w:t xml:space="preserve">the findings of the Committee on communication </w:t>
      </w:r>
      <w:r w:rsidRPr="007A2A76">
        <w:rPr>
          <w:bCs/>
        </w:rPr>
        <w:t>ACCC/C/201</w:t>
      </w:r>
      <w:r>
        <w:rPr>
          <w:bCs/>
        </w:rPr>
        <w:t>4</w:t>
      </w:r>
      <w:r w:rsidRPr="007A2A76">
        <w:rPr>
          <w:bCs/>
        </w:rPr>
        <w:t>/</w:t>
      </w:r>
      <w:r>
        <w:rPr>
          <w:bCs/>
        </w:rPr>
        <w:t xml:space="preserve">112 </w:t>
      </w:r>
      <w:r w:rsidRPr="007A2A76">
        <w:t xml:space="preserve">concerning compliance by </w:t>
      </w:r>
      <w:r>
        <w:t>Ireland</w:t>
      </w:r>
      <w:r w:rsidRPr="007A2A76">
        <w:t xml:space="preserve"> with respect to </w:t>
      </w:r>
      <w:r>
        <w:t>the implementation of its national plan for renewable energy,</w:t>
      </w:r>
      <w:r w:rsidRPr="007A2A76">
        <w:rPr>
          <w:rStyle w:val="FootnoteReference"/>
          <w:bCs/>
        </w:rPr>
        <w:footnoteReference w:id="7"/>
      </w:r>
    </w:p>
    <w:p w14:paraId="28B5578B" w14:textId="28BCFB36" w:rsidR="00042632" w:rsidRPr="007A2A76" w:rsidRDefault="00042632" w:rsidP="00042632">
      <w:pPr>
        <w:pStyle w:val="SingleTxtG"/>
      </w:pPr>
      <w:r w:rsidRPr="007A2A76">
        <w:rPr>
          <w:i/>
          <w:iCs/>
        </w:rPr>
        <w:tab/>
      </w:r>
      <w:r>
        <w:rPr>
          <w:i/>
          <w:iCs/>
        </w:rPr>
        <w:tab/>
      </w:r>
      <w:r w:rsidRPr="007A2A76">
        <w:rPr>
          <w:i/>
        </w:rPr>
        <w:t>Encouraged</w:t>
      </w:r>
      <w:r w:rsidRPr="007A2A76">
        <w:t xml:space="preserve"> by the willingness of </w:t>
      </w:r>
      <w:r>
        <w:t>Ireland</w:t>
      </w:r>
      <w:r w:rsidRPr="007A2A76">
        <w:t xml:space="preserve"> to discuss in a constructive manner with the Committee the compliance issues in question, </w:t>
      </w:r>
    </w:p>
    <w:p w14:paraId="4FEC43DD" w14:textId="637BE3E9" w:rsidR="00042632" w:rsidRDefault="00042632" w:rsidP="00146AAE">
      <w:pPr>
        <w:pStyle w:val="SingleTxtG"/>
        <w:tabs>
          <w:tab w:val="left" w:pos="1134"/>
          <w:tab w:val="left" w:pos="1701"/>
        </w:tabs>
      </w:pPr>
      <w:r>
        <w:rPr>
          <w:i/>
        </w:rPr>
        <w:lastRenderedPageBreak/>
        <w:tab/>
      </w:r>
      <w:r w:rsidRPr="000D22C7">
        <w:rPr>
          <w:iCs/>
        </w:rPr>
        <w:tab/>
      </w:r>
      <w:r>
        <w:t>1.</w:t>
      </w:r>
      <w:r>
        <w:tab/>
      </w:r>
      <w:r w:rsidRPr="007A2A76" w:rsidDel="00A65485">
        <w:rPr>
          <w:i/>
        </w:rPr>
        <w:t>Endorses</w:t>
      </w:r>
      <w:r w:rsidRPr="007A2A76" w:rsidDel="00A65485">
        <w:t xml:space="preserve"> the finding</w:t>
      </w:r>
      <w:r w:rsidRPr="007A2A76">
        <w:t>s</w:t>
      </w:r>
      <w:r w:rsidRPr="007A2A76" w:rsidDel="00A65485">
        <w:t xml:space="preserve"> of the Committee </w:t>
      </w:r>
      <w:r w:rsidRPr="007A2A76">
        <w:t>with respect to communication ACCC/C/201</w:t>
      </w:r>
      <w:r>
        <w:t>3</w:t>
      </w:r>
      <w:r w:rsidRPr="007A2A76">
        <w:t>/10</w:t>
      </w:r>
      <w:r>
        <w:t>7</w:t>
      </w:r>
      <w:r w:rsidRPr="007A2A76">
        <w:t xml:space="preserve"> that</w:t>
      </w:r>
      <w:r>
        <w:t>:</w:t>
      </w:r>
      <w:r w:rsidRPr="007A2A76">
        <w:t xml:space="preserve"> </w:t>
      </w:r>
    </w:p>
    <w:p w14:paraId="35F4635B" w14:textId="77777777" w:rsidR="00042632" w:rsidRPr="00221A50" w:rsidRDefault="00042632" w:rsidP="00042632">
      <w:pPr>
        <w:pStyle w:val="SingleTxtG"/>
        <w:ind w:firstLine="567"/>
      </w:pPr>
      <w:r>
        <w:rPr>
          <w:iCs/>
        </w:rPr>
        <w:t>(a)</w:t>
      </w:r>
      <w:r>
        <w:rPr>
          <w:iCs/>
        </w:rPr>
        <w:tab/>
      </w:r>
      <w:r w:rsidRPr="00221A50">
        <w:t xml:space="preserve">By failing to provide opportunities for the public to participate in the decision-making on the 2013 permits to extend the duration of </w:t>
      </w:r>
      <w:proofErr w:type="spellStart"/>
      <w:r w:rsidRPr="00221A50">
        <w:t>Trammon</w:t>
      </w:r>
      <w:proofErr w:type="spellEnd"/>
      <w:r w:rsidRPr="00221A50">
        <w:t xml:space="preserve"> quarry, the Party concerned failed to comply with article 6 (10) of the Convention; </w:t>
      </w:r>
    </w:p>
    <w:p w14:paraId="7B946D60" w14:textId="77777777" w:rsidR="00042632" w:rsidRPr="00221A50" w:rsidRDefault="00042632" w:rsidP="00042632">
      <w:pPr>
        <w:pStyle w:val="SingleTxtG"/>
        <w:ind w:firstLine="567"/>
      </w:pPr>
      <w:r w:rsidRPr="00221A50">
        <w:t>(b)</w:t>
      </w:r>
      <w:r w:rsidRPr="00221A50">
        <w:tab/>
        <w:t>By providing mechanisms through which permits for activities subject to article 6 of the Convention may be extended for a period of up to five years without any opportunity for the public to participate in the decision to grant the extension, section 42 (1) (a) (i) and (ii) of the Planning and Development Act 2000 do not meet the requirements of article 6 (10) and thus the Party concerned fails to comply with article 6 (10) of the Convention;</w:t>
      </w:r>
    </w:p>
    <w:p w14:paraId="0834FB7B" w14:textId="22E35363" w:rsidR="00042632" w:rsidRPr="00221A50" w:rsidRDefault="00042632" w:rsidP="00042632">
      <w:pPr>
        <w:pStyle w:val="SingleTxtG"/>
      </w:pPr>
      <w:r>
        <w:tab/>
      </w:r>
      <w:r w:rsidRPr="00221A50">
        <w:tab/>
      </w:r>
      <w:r w:rsidRPr="00221A50">
        <w:rPr>
          <w:iCs/>
        </w:rPr>
        <w:t>2.</w:t>
      </w:r>
      <w:r w:rsidRPr="00221A50">
        <w:rPr>
          <w:iCs/>
        </w:rPr>
        <w:tab/>
      </w:r>
      <w:r w:rsidRPr="00221A50" w:rsidDel="00A65485">
        <w:rPr>
          <w:i/>
        </w:rPr>
        <w:t>Endorses</w:t>
      </w:r>
      <w:r w:rsidRPr="00221A50" w:rsidDel="00A65485">
        <w:t xml:space="preserve"> the finding</w:t>
      </w:r>
      <w:r w:rsidRPr="00221A50">
        <w:t>s</w:t>
      </w:r>
      <w:r w:rsidRPr="00221A50" w:rsidDel="00A65485">
        <w:t xml:space="preserve"> of the Committee </w:t>
      </w:r>
      <w:r w:rsidRPr="00221A50">
        <w:t xml:space="preserve">with respect to communication ACCC/C/2016/141 that: </w:t>
      </w:r>
    </w:p>
    <w:p w14:paraId="6A44CD52" w14:textId="613E55C1" w:rsidR="00042632" w:rsidRPr="00221A50" w:rsidRDefault="00042632" w:rsidP="00042632">
      <w:pPr>
        <w:pStyle w:val="SingleTxtG"/>
        <w:ind w:firstLine="567"/>
      </w:pPr>
      <w:r w:rsidRPr="00221A50">
        <w:tab/>
        <w:t>(a)</w:t>
      </w:r>
      <w:r w:rsidRPr="00221A50">
        <w:tab/>
        <w:t xml:space="preserve">By failing to put in place measures to ensure that the Office of the Commissioner for Environmental Information and the courts decide appeals regarding environmental information requests in a timely manner, the Party concerned fails to comply with the requirement in article 9 (4) of the Convention to ensure timely procedures for the review of environmental information requests; </w:t>
      </w:r>
    </w:p>
    <w:p w14:paraId="6C85B068" w14:textId="2F6CC73F" w:rsidR="00042632" w:rsidRPr="00221A50" w:rsidRDefault="00042632" w:rsidP="00042632">
      <w:pPr>
        <w:pStyle w:val="SingleTxtG"/>
        <w:ind w:firstLine="567"/>
      </w:pPr>
      <w:r w:rsidRPr="00221A50">
        <w:tab/>
        <w:t>(b)</w:t>
      </w:r>
      <w:r w:rsidRPr="00221A50">
        <w:tab/>
        <w:t>By maintaining a system whereby courts may rule that information requests fall within the scope of the European Communities (</w:t>
      </w:r>
      <w:bookmarkStart w:id="0" w:name="_Hlk78883224"/>
      <w:r w:rsidRPr="00221A50">
        <w:t>Access to Information on the Environment</w:t>
      </w:r>
      <w:bookmarkEnd w:id="0"/>
      <w:r w:rsidRPr="00221A50">
        <w:t xml:space="preserve">) Regulations without issuing any directions for their adequate and effective resolution thereafter, the Party concerned fails to comply with the requirement in article 9 (4) of the Convention to ensure adequate and effective remedies for the review of environmental information requests; </w:t>
      </w:r>
    </w:p>
    <w:p w14:paraId="691B9791" w14:textId="45FE0D54" w:rsidR="00042632" w:rsidRPr="00221A50" w:rsidRDefault="00042632" w:rsidP="00042632">
      <w:pPr>
        <w:pStyle w:val="SingleTxtG"/>
      </w:pPr>
      <w:r>
        <w:rPr>
          <w:iCs/>
        </w:rPr>
        <w:tab/>
      </w:r>
      <w:r>
        <w:rPr>
          <w:iCs/>
        </w:rPr>
        <w:tab/>
        <w:t>3.</w:t>
      </w:r>
      <w:r>
        <w:rPr>
          <w:iCs/>
        </w:rPr>
        <w:tab/>
      </w:r>
      <w:r w:rsidRPr="00221A50" w:rsidDel="00A65485">
        <w:rPr>
          <w:i/>
        </w:rPr>
        <w:t>Endorses</w:t>
      </w:r>
      <w:r w:rsidRPr="00221A50" w:rsidDel="00A65485">
        <w:t xml:space="preserve"> the finding</w:t>
      </w:r>
      <w:r w:rsidRPr="00221A50">
        <w:t>s</w:t>
      </w:r>
      <w:r w:rsidRPr="00221A50" w:rsidDel="00A65485">
        <w:t xml:space="preserve"> of the Committee </w:t>
      </w:r>
      <w:r w:rsidRPr="00221A50">
        <w:t>with respect to communication ACCC/C/2014/112 that:</w:t>
      </w:r>
    </w:p>
    <w:p w14:paraId="62928804" w14:textId="3E5225C2" w:rsidR="00042632" w:rsidRPr="00221A50" w:rsidRDefault="00042632" w:rsidP="00042632">
      <w:pPr>
        <w:pStyle w:val="SingleTxtG"/>
        <w:ind w:firstLine="567"/>
      </w:pPr>
      <w:r w:rsidRPr="00221A50">
        <w:tab/>
        <w:t>(a)</w:t>
      </w:r>
      <w:r>
        <w:tab/>
      </w:r>
      <w:r w:rsidRPr="00221A50">
        <w:t>By refusing the disclosure of the cost-benefit study prepared for the renewable energy export programme on the basis that the study was not “environmental information”, the Party concerned failed to comply with article 4</w:t>
      </w:r>
      <w:r>
        <w:t xml:space="preserve"> </w:t>
      </w:r>
      <w:r w:rsidRPr="00221A50">
        <w:t>(1) in conjunction with article 2</w:t>
      </w:r>
      <w:r>
        <w:t xml:space="preserve"> </w:t>
      </w:r>
      <w:r w:rsidRPr="00221A50">
        <w:t>(3)</w:t>
      </w:r>
      <w:r>
        <w:t xml:space="preserve"> </w:t>
      </w:r>
      <w:r w:rsidRPr="00221A50">
        <w:t xml:space="preserve">(b) of the Convention; </w:t>
      </w:r>
    </w:p>
    <w:p w14:paraId="2A78E256" w14:textId="4A37D6EB" w:rsidR="00042632" w:rsidRDefault="00042632" w:rsidP="00042632">
      <w:pPr>
        <w:pStyle w:val="SingleTxtG"/>
        <w:ind w:firstLine="567"/>
      </w:pPr>
      <w:r>
        <w:tab/>
      </w:r>
      <w:r w:rsidRPr="00221A50">
        <w:t>(b)</w:t>
      </w:r>
      <w:r>
        <w:tab/>
      </w:r>
      <w:r w:rsidRPr="00221A50">
        <w:t>By not putting in place measures to ensure that the Office of the Commissioner for Environmental Information decides appeals regarding environmental information requests in a timely manner, the Party concerned fails to comply with the requirement of article 9</w:t>
      </w:r>
      <w:r>
        <w:t xml:space="preserve"> </w:t>
      </w:r>
      <w:r w:rsidRPr="00221A50">
        <w:t>(4) of the Convention to ensure</w:t>
      </w:r>
      <w:r w:rsidRPr="00AF5A6F">
        <w:t xml:space="preserve"> timely procedures for the review of environmental information requests</w:t>
      </w:r>
      <w:r>
        <w:t>;</w:t>
      </w:r>
      <w:r w:rsidRPr="00AF5A6F">
        <w:t xml:space="preserve"> </w:t>
      </w:r>
    </w:p>
    <w:p w14:paraId="7A8FD1C2" w14:textId="61905992" w:rsidR="00042632" w:rsidRDefault="00042632" w:rsidP="00042632">
      <w:pPr>
        <w:pStyle w:val="SingleTxtG"/>
      </w:pPr>
      <w:r>
        <w:tab/>
      </w:r>
      <w:r>
        <w:tab/>
        <w:t>4.</w:t>
      </w:r>
      <w:r>
        <w:tab/>
      </w:r>
      <w:r w:rsidRPr="00F83060">
        <w:rPr>
          <w:i/>
          <w:iCs/>
        </w:rPr>
        <w:t>Recommends</w:t>
      </w:r>
      <w:r>
        <w:t xml:space="preserve"> that the Party concerned take: </w:t>
      </w:r>
    </w:p>
    <w:p w14:paraId="7A6EFB7B" w14:textId="77777777" w:rsidR="00042632" w:rsidRDefault="00042632" w:rsidP="00042632">
      <w:pPr>
        <w:pStyle w:val="SingleTxtG"/>
        <w:ind w:firstLine="567"/>
      </w:pPr>
      <w:r>
        <w:t>(a)</w:t>
      </w:r>
      <w:r>
        <w:tab/>
        <w:t xml:space="preserve">With regard to section 42 (1) (a) (i) and (ii) of the Planning and Development Act 2000: </w:t>
      </w:r>
    </w:p>
    <w:p w14:paraId="0EB28F34" w14:textId="79C918B7" w:rsidR="00042632" w:rsidRDefault="00042632" w:rsidP="001246A8">
      <w:pPr>
        <w:pStyle w:val="SingleTxtG"/>
        <w:ind w:left="1701"/>
      </w:pPr>
      <w:r>
        <w:t>(i)</w:t>
      </w:r>
      <w:r>
        <w:tab/>
        <w:t xml:space="preserve">The necessary legislative measures to ensure that permits for activities subject to article 6 of the Convention cannot be extended, except for a minimal duration, without ensuring opportunities for the public to participate in the decision to grant that extension in accordance with article 6 (2)–(9) of the Convention; </w:t>
      </w:r>
    </w:p>
    <w:p w14:paraId="732C788F" w14:textId="32C62D27" w:rsidR="00042632" w:rsidRDefault="00042632" w:rsidP="001246A8">
      <w:pPr>
        <w:pStyle w:val="SingleTxtG"/>
        <w:ind w:left="1701"/>
      </w:pPr>
      <w:r>
        <w:t>(ii)</w:t>
      </w:r>
      <w:r>
        <w:tab/>
        <w:t>The necessary steps to ensure the prompt enactment of the measures to fulfil the recommendation in subparagraph (i) above;</w:t>
      </w:r>
    </w:p>
    <w:p w14:paraId="0C19E869" w14:textId="77777777" w:rsidR="00042632" w:rsidRDefault="00042632" w:rsidP="00042632">
      <w:pPr>
        <w:pStyle w:val="SingleTxtG"/>
        <w:ind w:firstLine="567"/>
      </w:pPr>
      <w:r>
        <w:t>(b)</w:t>
      </w:r>
      <w:r>
        <w:tab/>
        <w:t xml:space="preserve">The necessary legislative or regulatory measures to ensure that: </w:t>
      </w:r>
    </w:p>
    <w:p w14:paraId="58F5AB55" w14:textId="77BEF0A1" w:rsidR="00042632" w:rsidRDefault="00042632" w:rsidP="001246A8">
      <w:pPr>
        <w:pStyle w:val="SingleTxtG"/>
        <w:ind w:left="1701"/>
      </w:pPr>
      <w:r>
        <w:t>(i)</w:t>
      </w:r>
      <w:r>
        <w:tab/>
        <w:t xml:space="preserve">Appeals under the </w:t>
      </w:r>
      <w:r w:rsidRPr="00F0430E">
        <w:t>Access to Information on the Environment</w:t>
      </w:r>
      <w:r>
        <w:t xml:space="preserve"> Regulations to the Office of the Commissioner for Environmental Information</w:t>
      </w:r>
      <w:r w:rsidRPr="00AF5A6F">
        <w:t xml:space="preserve"> </w:t>
      </w:r>
      <w:r>
        <w:t xml:space="preserve">or the courts, whether commenced by the applicant or any other person, are required to be decided in a timely manner, for instance by setting a specified deadline; </w:t>
      </w:r>
    </w:p>
    <w:p w14:paraId="63BAB5A4" w14:textId="73224AEB" w:rsidR="00042632" w:rsidRPr="007A2A76" w:rsidRDefault="00042632" w:rsidP="001246A8">
      <w:pPr>
        <w:pStyle w:val="SingleTxtG"/>
        <w:ind w:left="1701"/>
      </w:pPr>
      <w:r>
        <w:t>(ii)</w:t>
      </w:r>
      <w:r>
        <w:tab/>
        <w:t xml:space="preserve">There are mandatory directions in place to ensure that, should a court rule that a public authority or an information request falls within the scope of the </w:t>
      </w:r>
      <w:r w:rsidRPr="00F0430E">
        <w:t xml:space="preserve">Access to </w:t>
      </w:r>
      <w:r w:rsidRPr="00F0430E">
        <w:lastRenderedPageBreak/>
        <w:t>Information on the Environment</w:t>
      </w:r>
      <w:r>
        <w:t xml:space="preserve"> Regulations, the underlying information request is thereafter resolved in an adequate and effective manner;</w:t>
      </w:r>
    </w:p>
    <w:p w14:paraId="0CD745A6" w14:textId="34C6D075" w:rsidR="00042632" w:rsidRDefault="00042632" w:rsidP="00042632">
      <w:pPr>
        <w:pStyle w:val="SingleTxtG"/>
        <w:ind w:firstLine="567"/>
      </w:pPr>
      <w:r>
        <w:tab/>
        <w:t>(c)</w:t>
      </w:r>
      <w:r>
        <w:tab/>
        <w:t xml:space="preserve">The necessary legislative, regulatory, administrative and practical measures to ensure that: </w:t>
      </w:r>
    </w:p>
    <w:p w14:paraId="3997A874" w14:textId="05A11216" w:rsidR="00042632" w:rsidRDefault="00042632" w:rsidP="00042632">
      <w:pPr>
        <w:pStyle w:val="SingleTxtG"/>
        <w:ind w:left="1710"/>
      </w:pPr>
      <w:r>
        <w:t>(i)</w:t>
      </w:r>
      <w:r>
        <w:tab/>
        <w:t xml:space="preserve">Access to cost-benefit studies used in environmental decision-making is not refused on the basis that it is not “environmental information” within the meaning of article 2 (3) (b) of the Convention; </w:t>
      </w:r>
    </w:p>
    <w:p w14:paraId="773EDA8B" w14:textId="6AEDA915" w:rsidR="00042632" w:rsidRDefault="00042632" w:rsidP="00042632">
      <w:pPr>
        <w:pStyle w:val="SingleTxtG"/>
        <w:ind w:left="1710"/>
      </w:pPr>
      <w:r>
        <w:t>(ii)</w:t>
      </w:r>
      <w:r>
        <w:tab/>
        <w:t xml:space="preserve">Appeals under the </w:t>
      </w:r>
      <w:r w:rsidRPr="00F0430E">
        <w:t>Access to Information on the Environment</w:t>
      </w:r>
      <w:r>
        <w:t xml:space="preserve"> Regulations to the Office of the Commissioner for Environmental Information are required to be decided in a timely manner, for instance by setting a specified deadline; </w:t>
      </w:r>
    </w:p>
    <w:p w14:paraId="41530D71" w14:textId="3E615F63" w:rsidR="00042632" w:rsidRPr="007A2A76" w:rsidRDefault="00042632" w:rsidP="00146AAE">
      <w:pPr>
        <w:pStyle w:val="SingleTxtG"/>
        <w:tabs>
          <w:tab w:val="left" w:pos="1701"/>
        </w:tabs>
      </w:pPr>
      <w:r>
        <w:tab/>
      </w:r>
      <w:r>
        <w:tab/>
        <w:t>5</w:t>
      </w:r>
      <w:r w:rsidRPr="007A2A76">
        <w:t>.</w:t>
      </w:r>
      <w:r w:rsidRPr="007A2A76">
        <w:tab/>
      </w:r>
      <w:r w:rsidRPr="007A2A76">
        <w:rPr>
          <w:i/>
        </w:rPr>
        <w:t>Requests</w:t>
      </w:r>
      <w:r w:rsidRPr="007A2A76">
        <w:t xml:space="preserve"> the Party concerned</w:t>
      </w:r>
      <w:r>
        <w:t xml:space="preserve"> to</w:t>
      </w:r>
      <w:r w:rsidRPr="007A2A76">
        <w:t>:</w:t>
      </w:r>
    </w:p>
    <w:p w14:paraId="2A378723" w14:textId="094FE718" w:rsidR="00042632" w:rsidRPr="007A2A76" w:rsidRDefault="00042632" w:rsidP="00042632">
      <w:pPr>
        <w:pStyle w:val="SingleTxtG"/>
        <w:ind w:firstLine="567"/>
        <w:rPr>
          <w:lang w:eastAsia="zh-CN"/>
        </w:rPr>
      </w:pPr>
      <w:r w:rsidRPr="007A2A76">
        <w:rPr>
          <w:rFonts w:eastAsia="Calibri"/>
          <w:lang w:eastAsia="zh-CN"/>
        </w:rPr>
        <w:t>(a)</w:t>
      </w:r>
      <w:r w:rsidRPr="007A2A76">
        <w:rPr>
          <w:rFonts w:eastAsia="Calibri"/>
          <w:lang w:eastAsia="zh-CN"/>
        </w:rPr>
        <w:tab/>
      </w:r>
      <w:r>
        <w:t>S</w:t>
      </w:r>
      <w:r w:rsidRPr="007A2A76">
        <w:t xml:space="preserve">ubmit a </w:t>
      </w:r>
      <w:r w:rsidRPr="007A2A76">
        <w:rPr>
          <w:lang w:eastAsia="zh-CN"/>
        </w:rPr>
        <w:t>plan of action</w:t>
      </w:r>
      <w:r w:rsidRPr="007A2A76">
        <w:t>, including a time schedule, to the Committee by 1</w:t>
      </w:r>
      <w:r w:rsidR="000D22C7">
        <w:t> </w:t>
      </w:r>
      <w:r w:rsidRPr="007A2A76">
        <w:t>July</w:t>
      </w:r>
      <w:r w:rsidR="000D22C7">
        <w:t> </w:t>
      </w:r>
      <w:r w:rsidRPr="007A2A76">
        <w:t>2022 regarding the implementation of the recommendations</w:t>
      </w:r>
      <w:r>
        <w:t xml:space="preserve"> in paragraph 4 above</w:t>
      </w:r>
      <w:r w:rsidRPr="007A2A76">
        <w:t>;</w:t>
      </w:r>
    </w:p>
    <w:p w14:paraId="2F481073" w14:textId="507B9A11" w:rsidR="00042632" w:rsidRPr="007A2A76" w:rsidRDefault="00042632" w:rsidP="00042632">
      <w:pPr>
        <w:pStyle w:val="SingleTxtG"/>
        <w:ind w:firstLine="567"/>
      </w:pPr>
      <w:r w:rsidRPr="007A2A76">
        <w:rPr>
          <w:rFonts w:eastAsia="Calibri"/>
        </w:rPr>
        <w:t>(b)</w:t>
      </w:r>
      <w:r w:rsidRPr="007A2A76">
        <w:rPr>
          <w:rFonts w:eastAsia="Calibri"/>
        </w:rPr>
        <w:tab/>
      </w:r>
      <w:r w:rsidRPr="00042632">
        <w:t>Provide</w:t>
      </w:r>
      <w:r w:rsidRPr="007A2A76">
        <w:rPr>
          <w:rFonts w:eastAsia="Calibri"/>
        </w:rPr>
        <w:t xml:space="preserve"> detailed progress reports to the Committee by 1 October 2023 and 1</w:t>
      </w:r>
      <w:r w:rsidR="000D22C7">
        <w:rPr>
          <w:rFonts w:eastAsia="Calibri"/>
        </w:rPr>
        <w:t> </w:t>
      </w:r>
      <w:r w:rsidRPr="007A2A76">
        <w:rPr>
          <w:rFonts w:eastAsia="Calibri"/>
        </w:rPr>
        <w:t xml:space="preserve">October 2024 on the measures taken and the results achieved in the implementation of the </w:t>
      </w:r>
      <w:r>
        <w:rPr>
          <w:rFonts w:eastAsia="Calibri"/>
        </w:rPr>
        <w:t xml:space="preserve">plan of action and the </w:t>
      </w:r>
      <w:r w:rsidRPr="007A2A76">
        <w:rPr>
          <w:rFonts w:eastAsia="Calibri"/>
        </w:rPr>
        <w:t>above recommendations;</w:t>
      </w:r>
    </w:p>
    <w:p w14:paraId="7AABD13C" w14:textId="35638BEE" w:rsidR="00042632" w:rsidRPr="007A2A76" w:rsidRDefault="00042632" w:rsidP="00042632">
      <w:pPr>
        <w:pStyle w:val="SingleTxtG"/>
        <w:ind w:firstLine="567"/>
      </w:pPr>
      <w:r w:rsidRPr="007A2A76">
        <w:rPr>
          <w:rFonts w:eastAsia="Calibri"/>
        </w:rPr>
        <w:t>(c)</w:t>
      </w:r>
      <w:r w:rsidRPr="007A2A76">
        <w:rPr>
          <w:rFonts w:eastAsia="Calibri"/>
        </w:rPr>
        <w:tab/>
      </w:r>
      <w:r>
        <w:rPr>
          <w:rFonts w:eastAsia="Calibri"/>
        </w:rPr>
        <w:t>P</w:t>
      </w:r>
      <w:r w:rsidRPr="007A2A76">
        <w:rPr>
          <w:rFonts w:eastAsia="Calibri"/>
        </w:rPr>
        <w:t xml:space="preserve">rovide such further information as the Committee may request in order to assist it to review the progress by the Party concerned in implementing the above recommendations; </w:t>
      </w:r>
    </w:p>
    <w:p w14:paraId="2C86D340" w14:textId="27B78651" w:rsidR="00042632" w:rsidRPr="007A2A76" w:rsidRDefault="00042632" w:rsidP="00042632">
      <w:pPr>
        <w:pStyle w:val="SingleTxtG"/>
        <w:ind w:firstLine="567"/>
      </w:pPr>
      <w:r w:rsidRPr="007A2A76">
        <w:rPr>
          <w:rFonts w:eastAsia="Calibri"/>
        </w:rPr>
        <w:t>(d)</w:t>
      </w:r>
      <w:r w:rsidRPr="007A2A76">
        <w:rPr>
          <w:rFonts w:eastAsia="Calibri"/>
        </w:rPr>
        <w:tab/>
      </w:r>
      <w:r>
        <w:rPr>
          <w:rFonts w:eastAsia="Calibri"/>
        </w:rPr>
        <w:t>P</w:t>
      </w:r>
      <w:r w:rsidRPr="007A2A76">
        <w:rPr>
          <w:rFonts w:eastAsia="Calibri"/>
        </w:rPr>
        <w:t xml:space="preserve">articipate (either in person or by virtual means) in the meetings of the Committee at </w:t>
      </w:r>
      <w:r w:rsidRPr="00042632">
        <w:t>which</w:t>
      </w:r>
      <w:r w:rsidRPr="007A2A76">
        <w:rPr>
          <w:rFonts w:eastAsia="Calibri"/>
        </w:rPr>
        <w:t xml:space="preserve"> the progress of the Party concerned in implementing the above recommendations is to be considered</w:t>
      </w:r>
      <w:r>
        <w:rPr>
          <w:rFonts w:eastAsia="Calibri"/>
        </w:rPr>
        <w:t>;</w:t>
      </w:r>
    </w:p>
    <w:p w14:paraId="4B62F9D1" w14:textId="0CB7A045" w:rsidR="00042632" w:rsidRDefault="00042632" w:rsidP="00042632">
      <w:pPr>
        <w:pStyle w:val="SingleTxtG"/>
      </w:pPr>
      <w:r>
        <w:tab/>
      </w:r>
      <w:r>
        <w:tab/>
        <w:t>6</w:t>
      </w:r>
      <w:r w:rsidRPr="007A2A76">
        <w:t>.</w:t>
      </w:r>
      <w:r w:rsidRPr="007A2A76">
        <w:tab/>
      </w:r>
      <w:r w:rsidRPr="007A2A76">
        <w:rPr>
          <w:i/>
        </w:rPr>
        <w:t>Undertakes</w:t>
      </w:r>
      <w:r w:rsidRPr="007A2A76">
        <w:t xml:space="preserve"> to review the situation at its eighth session.</w:t>
      </w:r>
    </w:p>
    <w:p w14:paraId="7B8C2179" w14:textId="49ED17D1" w:rsidR="00042632" w:rsidRPr="00042632" w:rsidRDefault="00042632" w:rsidP="00042632">
      <w:pPr>
        <w:spacing w:before="240"/>
        <w:jc w:val="center"/>
        <w:rPr>
          <w:u w:val="single"/>
        </w:rPr>
      </w:pPr>
      <w:r>
        <w:rPr>
          <w:u w:val="single"/>
        </w:rPr>
        <w:tab/>
      </w:r>
      <w:r>
        <w:rPr>
          <w:u w:val="single"/>
        </w:rPr>
        <w:tab/>
      </w:r>
      <w:r>
        <w:rPr>
          <w:u w:val="single"/>
        </w:rPr>
        <w:tab/>
      </w:r>
    </w:p>
    <w:sectPr w:rsidR="00042632" w:rsidRPr="00042632" w:rsidSect="00146AA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3C8A" w14:textId="77777777" w:rsidR="00BF1F1B" w:rsidRDefault="00BF1F1B"/>
  </w:endnote>
  <w:endnote w:type="continuationSeparator" w:id="0">
    <w:p w14:paraId="71544817" w14:textId="77777777" w:rsidR="00BF1F1B" w:rsidRDefault="00BF1F1B"/>
  </w:endnote>
  <w:endnote w:type="continuationNotice" w:id="1">
    <w:p w14:paraId="4E19E929" w14:textId="77777777" w:rsidR="00BF1F1B" w:rsidRDefault="00BF1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7CBB" w14:textId="66227886" w:rsidR="00042632" w:rsidRPr="00042632" w:rsidRDefault="00042632" w:rsidP="00042632">
    <w:pPr>
      <w:pStyle w:val="Footer"/>
      <w:tabs>
        <w:tab w:val="right" w:pos="9638"/>
      </w:tabs>
      <w:rPr>
        <w:sz w:val="18"/>
      </w:rPr>
    </w:pPr>
    <w:r w:rsidRPr="00042632">
      <w:rPr>
        <w:b/>
        <w:sz w:val="18"/>
      </w:rPr>
      <w:fldChar w:fldCharType="begin"/>
    </w:r>
    <w:r w:rsidRPr="00042632">
      <w:rPr>
        <w:b/>
        <w:sz w:val="18"/>
      </w:rPr>
      <w:instrText xml:space="preserve"> PAGE  \* MERGEFORMAT </w:instrText>
    </w:r>
    <w:r w:rsidRPr="00042632">
      <w:rPr>
        <w:b/>
        <w:sz w:val="18"/>
      </w:rPr>
      <w:fldChar w:fldCharType="separate"/>
    </w:r>
    <w:r w:rsidRPr="00042632">
      <w:rPr>
        <w:b/>
        <w:noProof/>
        <w:sz w:val="18"/>
      </w:rPr>
      <w:t>2</w:t>
    </w:r>
    <w:r w:rsidRPr="000426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04B" w14:textId="36B8E6E1" w:rsidR="00042632" w:rsidRPr="00042632" w:rsidRDefault="00042632" w:rsidP="00042632">
    <w:pPr>
      <w:pStyle w:val="Footer"/>
      <w:tabs>
        <w:tab w:val="right" w:pos="9638"/>
      </w:tabs>
      <w:rPr>
        <w:b/>
        <w:sz w:val="18"/>
      </w:rPr>
    </w:pPr>
    <w:r>
      <w:tab/>
    </w:r>
    <w:r w:rsidRPr="00042632">
      <w:rPr>
        <w:b/>
        <w:sz w:val="18"/>
      </w:rPr>
      <w:fldChar w:fldCharType="begin"/>
    </w:r>
    <w:r w:rsidRPr="00042632">
      <w:rPr>
        <w:b/>
        <w:sz w:val="18"/>
      </w:rPr>
      <w:instrText xml:space="preserve"> PAGE  \* MERGEFORMAT </w:instrText>
    </w:r>
    <w:r w:rsidRPr="00042632">
      <w:rPr>
        <w:b/>
        <w:sz w:val="18"/>
      </w:rPr>
      <w:fldChar w:fldCharType="separate"/>
    </w:r>
    <w:r w:rsidRPr="00042632">
      <w:rPr>
        <w:b/>
        <w:noProof/>
        <w:sz w:val="18"/>
      </w:rPr>
      <w:t>3</w:t>
    </w:r>
    <w:r w:rsidRPr="000426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5426" w14:textId="49BC689E" w:rsidR="001E3B6C" w:rsidRDefault="001E3B6C" w:rsidP="001E3B6C">
    <w:pPr>
      <w:pStyle w:val="Footer"/>
    </w:pPr>
    <w:r w:rsidRPr="0027112F">
      <w:rPr>
        <w:noProof/>
        <w:lang w:val="en-US"/>
      </w:rPr>
      <w:drawing>
        <wp:anchor distT="0" distB="0" distL="114300" distR="114300" simplePos="0" relativeHeight="251659264" behindDoc="0" locked="1" layoutInCell="1" allowOverlap="1" wp14:anchorId="35D94DD6" wp14:editId="6C8BC97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064A71" w14:textId="592B0749" w:rsidR="001E3B6C" w:rsidRPr="001E3B6C" w:rsidRDefault="001E3B6C" w:rsidP="001E3B6C">
    <w:pPr>
      <w:pStyle w:val="Footer"/>
      <w:ind w:right="1134"/>
      <w:rPr>
        <w:sz w:val="20"/>
      </w:rPr>
    </w:pPr>
    <w:r>
      <w:rPr>
        <w:sz w:val="20"/>
      </w:rPr>
      <w:t>GE.21-10907(E)</w:t>
    </w:r>
    <w:r>
      <w:rPr>
        <w:noProof/>
        <w:sz w:val="20"/>
      </w:rPr>
      <w:drawing>
        <wp:anchor distT="0" distB="0" distL="114300" distR="114300" simplePos="0" relativeHeight="251660288" behindDoc="0" locked="0" layoutInCell="1" allowOverlap="1" wp14:anchorId="1326221A" wp14:editId="7B1015D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5598" w14:textId="77777777" w:rsidR="00BF1F1B" w:rsidRPr="000B175B" w:rsidRDefault="00BF1F1B" w:rsidP="000B175B">
      <w:pPr>
        <w:tabs>
          <w:tab w:val="right" w:pos="2155"/>
        </w:tabs>
        <w:spacing w:after="80"/>
        <w:ind w:left="680"/>
        <w:rPr>
          <w:u w:val="single"/>
        </w:rPr>
      </w:pPr>
      <w:r>
        <w:rPr>
          <w:u w:val="single"/>
        </w:rPr>
        <w:tab/>
      </w:r>
    </w:p>
  </w:footnote>
  <w:footnote w:type="continuationSeparator" w:id="0">
    <w:p w14:paraId="7ACEE045" w14:textId="77777777" w:rsidR="00BF1F1B" w:rsidRPr="00FC68B7" w:rsidRDefault="00BF1F1B" w:rsidP="00FC68B7">
      <w:pPr>
        <w:tabs>
          <w:tab w:val="left" w:pos="2155"/>
        </w:tabs>
        <w:spacing w:after="80"/>
        <w:ind w:left="680"/>
        <w:rPr>
          <w:u w:val="single"/>
        </w:rPr>
      </w:pPr>
      <w:r>
        <w:rPr>
          <w:u w:val="single"/>
        </w:rPr>
        <w:tab/>
      </w:r>
    </w:p>
  </w:footnote>
  <w:footnote w:type="continuationNotice" w:id="1">
    <w:p w14:paraId="3215D1A3" w14:textId="77777777" w:rsidR="00BF1F1B" w:rsidRDefault="00BF1F1B"/>
  </w:footnote>
  <w:footnote w:id="2">
    <w:p w14:paraId="2F16B047" w14:textId="026CB14F" w:rsidR="00042632" w:rsidRPr="00D50856" w:rsidRDefault="00042632" w:rsidP="00042632">
      <w:pPr>
        <w:pStyle w:val="FootnoteText"/>
        <w:rPr>
          <w:lang w:val="en-US"/>
        </w:rPr>
      </w:pPr>
      <w:r>
        <w:tab/>
      </w:r>
      <w:r w:rsidRPr="00D50856">
        <w:rPr>
          <w:rStyle w:val="FootnoteReference"/>
        </w:rPr>
        <w:footnoteRef/>
      </w:r>
      <w:r>
        <w:tab/>
      </w:r>
      <w:r w:rsidRPr="00D50856">
        <w:t>ECE/MP.PP/2/Add.8.</w:t>
      </w:r>
    </w:p>
  </w:footnote>
  <w:footnote w:id="3">
    <w:p w14:paraId="2BE4A7A6" w14:textId="2501C940" w:rsidR="00FA3426" w:rsidRPr="00FA3426" w:rsidRDefault="00FA3426" w:rsidP="00FA3426">
      <w:pPr>
        <w:pStyle w:val="FootnoteText"/>
        <w:widowControl w:val="0"/>
        <w:tabs>
          <w:tab w:val="clear" w:pos="1021"/>
          <w:tab w:val="right" w:pos="1020"/>
        </w:tabs>
        <w:rPr>
          <w:lang w:val="en-US"/>
        </w:rPr>
      </w:pPr>
      <w:r>
        <w:tab/>
      </w:r>
      <w:r>
        <w:rPr>
          <w:rStyle w:val="FootnoteReference"/>
        </w:rPr>
        <w:footnoteRef/>
      </w:r>
      <w:r>
        <w:tab/>
      </w:r>
      <w:r w:rsidRPr="00FA3426">
        <w:t>ECE/MP.PP/C.1/2019/9.</w:t>
      </w:r>
      <w:r>
        <w:t xml:space="preserve"> </w:t>
      </w:r>
    </w:p>
  </w:footnote>
  <w:footnote w:id="4">
    <w:p w14:paraId="74751A21" w14:textId="3417DB41" w:rsidR="00042632" w:rsidRPr="00D50856" w:rsidRDefault="00042632" w:rsidP="00042632">
      <w:pPr>
        <w:pStyle w:val="FootnoteText"/>
        <w:rPr>
          <w:lang w:val="en-US"/>
        </w:rPr>
      </w:pPr>
      <w:r>
        <w:tab/>
      </w:r>
      <w:r w:rsidRPr="00D50856">
        <w:rPr>
          <w:rStyle w:val="FootnoteReference"/>
        </w:rPr>
        <w:footnoteRef/>
      </w:r>
      <w:r>
        <w:tab/>
      </w:r>
      <w:r w:rsidRPr="00D50856">
        <w:rPr>
          <w:szCs w:val="18"/>
        </w:rPr>
        <w:t>ECE/MP.</w:t>
      </w:r>
      <w:r w:rsidRPr="00042632">
        <w:t>PP</w:t>
      </w:r>
      <w:r w:rsidRPr="00D50856">
        <w:rPr>
          <w:szCs w:val="18"/>
        </w:rPr>
        <w:t>/2021/5</w:t>
      </w:r>
      <w:r>
        <w:rPr>
          <w:szCs w:val="18"/>
        </w:rPr>
        <w:t>2</w:t>
      </w:r>
      <w:r w:rsidRPr="00D50856">
        <w:rPr>
          <w:szCs w:val="18"/>
        </w:rPr>
        <w:t>, forthcoming.</w:t>
      </w:r>
    </w:p>
  </w:footnote>
  <w:footnote w:id="5">
    <w:p w14:paraId="4B785967" w14:textId="75AF0E32" w:rsidR="00042632" w:rsidRPr="00D50856" w:rsidRDefault="00042632" w:rsidP="00042632">
      <w:pPr>
        <w:pStyle w:val="FootnoteText"/>
        <w:rPr>
          <w:lang w:val="en-US"/>
        </w:rPr>
      </w:pPr>
      <w:r>
        <w:tab/>
      </w:r>
      <w:r w:rsidRPr="00D50856">
        <w:rPr>
          <w:rStyle w:val="FootnoteReference"/>
        </w:rPr>
        <w:footnoteRef/>
      </w:r>
      <w:r>
        <w:tab/>
      </w:r>
      <w:r w:rsidRPr="00D50856">
        <w:t>ECE/MP.PP/C.1/2021/</w:t>
      </w:r>
      <w:r>
        <w:t>8</w:t>
      </w:r>
      <w:r w:rsidRPr="00D50856">
        <w:t>.</w:t>
      </w:r>
    </w:p>
  </w:footnote>
  <w:footnote w:id="6">
    <w:p w14:paraId="630A902B" w14:textId="7FDE78DF" w:rsidR="00042632" w:rsidRPr="00D50856" w:rsidRDefault="00042632" w:rsidP="00042632">
      <w:pPr>
        <w:pStyle w:val="FootnoteText"/>
        <w:rPr>
          <w:lang w:val="en-US"/>
        </w:rPr>
      </w:pPr>
      <w:r>
        <w:tab/>
      </w:r>
      <w:r w:rsidRPr="00D50856">
        <w:rPr>
          <w:rStyle w:val="FootnoteReference"/>
        </w:rPr>
        <w:footnoteRef/>
      </w:r>
      <w:r>
        <w:tab/>
      </w:r>
      <w:r w:rsidRPr="00D50856">
        <w:rPr>
          <w:szCs w:val="18"/>
        </w:rPr>
        <w:t>ECE/MP.PP/2021/5</w:t>
      </w:r>
      <w:r>
        <w:rPr>
          <w:szCs w:val="18"/>
        </w:rPr>
        <w:t>2</w:t>
      </w:r>
      <w:r w:rsidRPr="00D50856">
        <w:rPr>
          <w:szCs w:val="18"/>
        </w:rPr>
        <w:t>, forthcoming.</w:t>
      </w:r>
    </w:p>
  </w:footnote>
  <w:footnote w:id="7">
    <w:p w14:paraId="2749B3F7" w14:textId="546A29E4" w:rsidR="00042632" w:rsidRPr="00D50856" w:rsidRDefault="00042632" w:rsidP="00042632">
      <w:pPr>
        <w:pStyle w:val="FootnoteText"/>
        <w:rPr>
          <w:lang w:val="en-US"/>
        </w:rPr>
      </w:pPr>
      <w:r>
        <w:tab/>
      </w:r>
      <w:r w:rsidRPr="00D50856">
        <w:rPr>
          <w:rStyle w:val="FootnoteReference"/>
        </w:rPr>
        <w:footnoteRef/>
      </w:r>
      <w:r>
        <w:tab/>
      </w:r>
      <w:r w:rsidRPr="00D50856">
        <w:t>ECE/MP.PP/C.1/2021/1</w:t>
      </w:r>
      <w:r>
        <w:t>7</w:t>
      </w:r>
      <w:r w:rsidRPr="00D50856">
        <w:t>,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9ADE" w14:textId="5CC4C0CE" w:rsidR="00042632" w:rsidRPr="00042632" w:rsidRDefault="009371A2">
    <w:pPr>
      <w:pStyle w:val="Header"/>
    </w:pPr>
    <w:r>
      <w:t>ECE/MP.PP/2021/32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9882" w14:textId="511D24CD" w:rsidR="00042632" w:rsidRPr="00042632" w:rsidRDefault="009371A2" w:rsidP="00042632">
    <w:pPr>
      <w:pStyle w:val="Header"/>
      <w:jc w:val="right"/>
    </w:pPr>
    <w:r>
      <w:t>ECE/MP.PP/2021/32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B40B11"/>
    <w:multiLevelType w:val="hybridMultilevel"/>
    <w:tmpl w:val="6C8E1EE4"/>
    <w:lvl w:ilvl="0" w:tplc="83083C52">
      <w:start w:val="1"/>
      <w:numFmt w:val="lowerLetter"/>
      <w:lvlText w:val="(%1)"/>
      <w:lvlJc w:val="left"/>
      <w:pPr>
        <w:ind w:left="2166" w:hanging="465"/>
      </w:pPr>
      <w:rPr>
        <w:rFonts w:eastAsia="Calibri"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E3F2941"/>
    <w:multiLevelType w:val="hybridMultilevel"/>
    <w:tmpl w:val="CDEA0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1"/>
  </w:num>
  <w:num w:numId="20">
    <w:abstractNumId w:val="19"/>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32"/>
    <w:rsid w:val="00002A7D"/>
    <w:rsid w:val="000038A8"/>
    <w:rsid w:val="00006790"/>
    <w:rsid w:val="00027624"/>
    <w:rsid w:val="00042632"/>
    <w:rsid w:val="00050C30"/>
    <w:rsid w:val="00050F6B"/>
    <w:rsid w:val="000678CD"/>
    <w:rsid w:val="00072C8C"/>
    <w:rsid w:val="00081CE0"/>
    <w:rsid w:val="00084D30"/>
    <w:rsid w:val="00090320"/>
    <w:rsid w:val="000931C0"/>
    <w:rsid w:val="000A2E09"/>
    <w:rsid w:val="000B175B"/>
    <w:rsid w:val="000B3A0F"/>
    <w:rsid w:val="000D22C7"/>
    <w:rsid w:val="000E0415"/>
    <w:rsid w:val="000F5FAB"/>
    <w:rsid w:val="000F7715"/>
    <w:rsid w:val="001246A8"/>
    <w:rsid w:val="00146AAE"/>
    <w:rsid w:val="00156B99"/>
    <w:rsid w:val="00166124"/>
    <w:rsid w:val="001670A1"/>
    <w:rsid w:val="00184DDA"/>
    <w:rsid w:val="001900CD"/>
    <w:rsid w:val="001A0452"/>
    <w:rsid w:val="001B4B04"/>
    <w:rsid w:val="001B5875"/>
    <w:rsid w:val="001C4B9C"/>
    <w:rsid w:val="001C6663"/>
    <w:rsid w:val="001C7895"/>
    <w:rsid w:val="001D26DF"/>
    <w:rsid w:val="001E3B6C"/>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362A3"/>
    <w:rsid w:val="00440A07"/>
    <w:rsid w:val="00462880"/>
    <w:rsid w:val="00476F24"/>
    <w:rsid w:val="00477D89"/>
    <w:rsid w:val="004B4725"/>
    <w:rsid w:val="004C55B0"/>
    <w:rsid w:val="004D256C"/>
    <w:rsid w:val="004F6BA0"/>
    <w:rsid w:val="00503BEA"/>
    <w:rsid w:val="005171F3"/>
    <w:rsid w:val="00533616"/>
    <w:rsid w:val="00535ABA"/>
    <w:rsid w:val="0053768B"/>
    <w:rsid w:val="005420F2"/>
    <w:rsid w:val="0054285C"/>
    <w:rsid w:val="00584173"/>
    <w:rsid w:val="00587C8E"/>
    <w:rsid w:val="00595520"/>
    <w:rsid w:val="005A44B9"/>
    <w:rsid w:val="005B1BA0"/>
    <w:rsid w:val="005B3DB3"/>
    <w:rsid w:val="005D15CA"/>
    <w:rsid w:val="005F08DF"/>
    <w:rsid w:val="005F3066"/>
    <w:rsid w:val="005F3E61"/>
    <w:rsid w:val="00604DDD"/>
    <w:rsid w:val="006115CC"/>
    <w:rsid w:val="00611FC4"/>
    <w:rsid w:val="006176FB"/>
    <w:rsid w:val="00621DED"/>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556B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71A2"/>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24F3"/>
    <w:rsid w:val="00BA339B"/>
    <w:rsid w:val="00BC1E7E"/>
    <w:rsid w:val="00BC74E9"/>
    <w:rsid w:val="00BE36A9"/>
    <w:rsid w:val="00BE618E"/>
    <w:rsid w:val="00BE7BEC"/>
    <w:rsid w:val="00BF0A5A"/>
    <w:rsid w:val="00BF0E63"/>
    <w:rsid w:val="00BF12A3"/>
    <w:rsid w:val="00BF16D7"/>
    <w:rsid w:val="00BF1F1B"/>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3426"/>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AD6F22"/>
  <w15:docId w15:val="{68EE83A9-A3E5-4494-AD16-D3735EDD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paragraph" w:styleId="ListParagraph">
    <w:name w:val="List Paragraph"/>
    <w:basedOn w:val="Normal"/>
    <w:uiPriority w:val="34"/>
    <w:qFormat/>
    <w:rsid w:val="00042632"/>
    <w:pPr>
      <w:suppressAutoHyphens w:val="0"/>
      <w:spacing w:line="240" w:lineRule="auto"/>
      <w:ind w:left="720"/>
      <w:contextualSpacing/>
    </w:pPr>
    <w:rPr>
      <w:rFonts w:asciiTheme="minorHAnsi" w:eastAsiaTheme="minorHAnsi" w:hAnsiTheme="minorHAnsi" w:cstheme="minorBidi"/>
      <w:sz w:val="24"/>
      <w:szCs w:val="24"/>
      <w:lang w:val="it-IT" w:eastAsia="en-US"/>
    </w:rPr>
  </w:style>
  <w:style w:type="character" w:customStyle="1" w:styleId="SingleTxtGChar">
    <w:name w:val="_ Single Txt_G Char"/>
    <w:link w:val="SingleTxtG"/>
    <w:qFormat/>
    <w:rsid w:val="00042632"/>
    <w:rPr>
      <w:lang w:val="en-GB"/>
    </w:rPr>
  </w:style>
  <w:style w:type="paragraph" w:customStyle="1" w:styleId="Default">
    <w:name w:val="Default"/>
    <w:rsid w:val="00042632"/>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32E69-BECF-413B-B538-4F0AFEB87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3.xml><?xml version="1.0" encoding="utf-8"?>
<ds:datastoreItem xmlns:ds="http://schemas.openxmlformats.org/officeDocument/2006/customXml" ds:itemID="{D153D380-01BB-4D55-87E1-EB1EA4BBF6C6}">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940F290B-9A11-4AF0-B11B-0C7DBBFC8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5909</Characters>
  <Application>Microsoft Office Word</Application>
  <DocSecurity>0</DocSecurity>
  <Lines>114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ECE/MP.PP/2021/32</dc:title>
  <dc:subject>2110907</dc:subject>
  <dc:creator>Sadaf Shamsie</dc:creator>
  <cp:keywords/>
  <dc:description/>
  <cp:lastModifiedBy>Anni Vi Tirol</cp:lastModifiedBy>
  <cp:revision>2</cp:revision>
  <cp:lastPrinted>2009-02-18T09:36:00Z</cp:lastPrinted>
  <dcterms:created xsi:type="dcterms:W3CDTF">2021-08-09T13:01:00Z</dcterms:created>
  <dcterms:modified xsi:type="dcterms:W3CDTF">2021-08-09T13:01:00Z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