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14:paraId="5B57C7FF" w14:textId="77777777" w:rsidTr="00B20551">
        <w:trPr>
          <w:cantSplit/>
          <w:trHeight w:hRule="exact" w:val="851"/>
        </w:trPr>
        <w:tc>
          <w:tcPr>
            <w:tcW w:w="1276" w:type="dxa"/>
            <w:tcBorders>
              <w:bottom w:val="single" w:sz="4" w:space="0" w:color="auto"/>
            </w:tcBorders>
            <w:vAlign w:val="bottom"/>
          </w:tcPr>
          <w:p w14:paraId="4B558F9E" w14:textId="77777777" w:rsidR="009E6CB7" w:rsidRDefault="009E6CB7" w:rsidP="00B20551">
            <w:pPr>
              <w:spacing w:after="80"/>
            </w:pPr>
          </w:p>
        </w:tc>
        <w:tc>
          <w:tcPr>
            <w:tcW w:w="2268" w:type="dxa"/>
            <w:tcBorders>
              <w:bottom w:val="single" w:sz="4" w:space="0" w:color="auto"/>
            </w:tcBorders>
            <w:vAlign w:val="bottom"/>
          </w:tcPr>
          <w:p w14:paraId="2C738ED9"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683BDB45" w14:textId="6C589419" w:rsidR="009E6CB7" w:rsidRPr="00D47EEA" w:rsidRDefault="008F19C0" w:rsidP="00040253">
            <w:pPr>
              <w:jc w:val="right"/>
            </w:pPr>
            <w:r w:rsidRPr="008F19C0">
              <w:t xml:space="preserve">(Advance edited </w:t>
            </w:r>
            <w:proofErr w:type="gramStart"/>
            <w:r w:rsidRPr="008F19C0">
              <w:t>copy)</w:t>
            </w:r>
            <w:r>
              <w:rPr>
                <w:sz w:val="40"/>
              </w:rPr>
              <w:t xml:space="preserve">   </w:t>
            </w:r>
            <w:proofErr w:type="gramEnd"/>
            <w:r w:rsidR="00040253" w:rsidRPr="00040253">
              <w:rPr>
                <w:sz w:val="40"/>
              </w:rPr>
              <w:t>ECE</w:t>
            </w:r>
            <w:r w:rsidR="00040253">
              <w:t>/MP.PP/2021/</w:t>
            </w:r>
            <w:r w:rsidR="00911B70">
              <w:t>13</w:t>
            </w:r>
          </w:p>
        </w:tc>
      </w:tr>
      <w:tr w:rsidR="009E6CB7" w14:paraId="7E092EF4" w14:textId="77777777" w:rsidTr="00B20551">
        <w:trPr>
          <w:cantSplit/>
          <w:trHeight w:hRule="exact" w:val="2835"/>
        </w:trPr>
        <w:tc>
          <w:tcPr>
            <w:tcW w:w="1276" w:type="dxa"/>
            <w:tcBorders>
              <w:top w:val="single" w:sz="4" w:space="0" w:color="auto"/>
              <w:bottom w:val="single" w:sz="12" w:space="0" w:color="auto"/>
            </w:tcBorders>
          </w:tcPr>
          <w:p w14:paraId="51A06AFC" w14:textId="77777777" w:rsidR="009E6CB7" w:rsidRDefault="00686A48" w:rsidP="00B20551">
            <w:pPr>
              <w:spacing w:before="120"/>
            </w:pPr>
            <w:r>
              <w:rPr>
                <w:noProof/>
                <w:lang w:val="fr-CH" w:eastAsia="fr-CH"/>
              </w:rPr>
              <w:drawing>
                <wp:inline distT="0" distB="0" distL="0" distR="0" wp14:anchorId="639A56BB" wp14:editId="32FE36E0">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12352E3A"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1BCBC151" w14:textId="77777777" w:rsidR="009E6CB7" w:rsidRDefault="00040253" w:rsidP="00040253">
            <w:pPr>
              <w:spacing w:before="240" w:line="240" w:lineRule="exact"/>
            </w:pPr>
            <w:r>
              <w:t>Distr.: General</w:t>
            </w:r>
          </w:p>
          <w:p w14:paraId="5C130B85" w14:textId="16007259" w:rsidR="00040253" w:rsidRDefault="00856B4E" w:rsidP="00040253">
            <w:pPr>
              <w:spacing w:line="240" w:lineRule="exact"/>
            </w:pPr>
            <w:r>
              <w:t>22</w:t>
            </w:r>
            <w:r w:rsidR="001E400B">
              <w:t xml:space="preserve"> </w:t>
            </w:r>
            <w:r w:rsidR="00911B70">
              <w:t>July</w:t>
            </w:r>
            <w:r w:rsidR="00040253">
              <w:t xml:space="preserve"> 2021</w:t>
            </w:r>
          </w:p>
          <w:p w14:paraId="672D881E" w14:textId="77777777" w:rsidR="00040253" w:rsidRDefault="00040253" w:rsidP="00040253">
            <w:pPr>
              <w:spacing w:line="240" w:lineRule="exact"/>
            </w:pPr>
          </w:p>
          <w:p w14:paraId="1D3B1108" w14:textId="58CBD617" w:rsidR="00040253" w:rsidRDefault="00040253" w:rsidP="00040253">
            <w:pPr>
              <w:spacing w:line="240" w:lineRule="exact"/>
            </w:pPr>
            <w:r>
              <w:t>Original: English</w:t>
            </w:r>
          </w:p>
        </w:tc>
      </w:tr>
    </w:tbl>
    <w:p w14:paraId="27D7D234" w14:textId="77777777" w:rsidR="00040253" w:rsidRPr="004F5C50" w:rsidRDefault="00040253" w:rsidP="0066654F">
      <w:pPr>
        <w:spacing w:before="120"/>
        <w:rPr>
          <w:b/>
          <w:bCs/>
          <w:sz w:val="28"/>
          <w:szCs w:val="28"/>
        </w:rPr>
      </w:pPr>
      <w:r w:rsidRPr="004F5C50">
        <w:rPr>
          <w:b/>
          <w:bCs/>
          <w:sz w:val="28"/>
          <w:szCs w:val="28"/>
        </w:rPr>
        <w:t>Economic Commission for Europe</w:t>
      </w:r>
    </w:p>
    <w:p w14:paraId="1DA7EBE3" w14:textId="77777777" w:rsidR="00040253" w:rsidRPr="004F5C50" w:rsidRDefault="00040253" w:rsidP="0066654F">
      <w:pPr>
        <w:spacing w:before="120"/>
        <w:rPr>
          <w:sz w:val="28"/>
          <w:szCs w:val="28"/>
        </w:rPr>
      </w:pPr>
      <w:r w:rsidRPr="0D036265">
        <w:rPr>
          <w:sz w:val="28"/>
          <w:szCs w:val="28"/>
        </w:rPr>
        <w:t xml:space="preserve">Meeting of the Parties to the Convention on </w:t>
      </w:r>
      <w:r>
        <w:br/>
      </w:r>
      <w:r w:rsidRPr="0D036265">
        <w:rPr>
          <w:sz w:val="28"/>
          <w:szCs w:val="28"/>
        </w:rPr>
        <w:t xml:space="preserve">Access to Information, Public Participation </w:t>
      </w:r>
      <w:r>
        <w:br/>
      </w:r>
      <w:r w:rsidRPr="0D036265">
        <w:rPr>
          <w:sz w:val="28"/>
          <w:szCs w:val="28"/>
        </w:rPr>
        <w:t xml:space="preserve">in Decision-making and Access to Justice </w:t>
      </w:r>
      <w:r>
        <w:br/>
      </w:r>
      <w:r w:rsidRPr="0D036265">
        <w:rPr>
          <w:sz w:val="28"/>
          <w:szCs w:val="28"/>
        </w:rPr>
        <w:t>in Environmental Matters</w:t>
      </w:r>
    </w:p>
    <w:p w14:paraId="55596CBD" w14:textId="76F2EF43" w:rsidR="00AF235A" w:rsidRDefault="00AF235A" w:rsidP="00856B4E">
      <w:pPr>
        <w:pStyle w:val="paragraph"/>
        <w:spacing w:before="120" w:beforeAutospacing="0" w:after="0" w:afterAutospacing="0"/>
        <w:textAlignment w:val="baseline"/>
        <w:rPr>
          <w:rFonts w:ascii="Segoe UI" w:hAnsi="Segoe UI" w:cs="Segoe UI"/>
          <w:sz w:val="18"/>
          <w:szCs w:val="18"/>
        </w:rPr>
      </w:pPr>
      <w:r>
        <w:rPr>
          <w:rStyle w:val="normaltextrun"/>
          <w:b/>
          <w:bCs/>
          <w:sz w:val="20"/>
          <w:szCs w:val="20"/>
        </w:rPr>
        <w:t>Seventh session</w:t>
      </w:r>
      <w:r>
        <w:rPr>
          <w:rStyle w:val="eop"/>
          <w:sz w:val="20"/>
          <w:szCs w:val="20"/>
        </w:rPr>
        <w:t> </w:t>
      </w:r>
    </w:p>
    <w:p w14:paraId="62AD7AC8" w14:textId="77777777" w:rsidR="00AF235A" w:rsidRDefault="00AF235A" w:rsidP="00AF235A">
      <w:pPr>
        <w:pStyle w:val="paragraph"/>
        <w:spacing w:before="0" w:beforeAutospacing="0" w:after="0" w:afterAutospacing="0"/>
        <w:textAlignment w:val="baseline"/>
        <w:rPr>
          <w:rFonts w:ascii="Segoe UI" w:hAnsi="Segoe UI" w:cs="Segoe UI"/>
          <w:sz w:val="18"/>
          <w:szCs w:val="18"/>
        </w:rPr>
      </w:pPr>
      <w:r>
        <w:rPr>
          <w:rStyle w:val="normaltextrun"/>
          <w:sz w:val="20"/>
          <w:szCs w:val="20"/>
        </w:rPr>
        <w:t>Geneva, 18–20 October 2021</w:t>
      </w:r>
      <w:r>
        <w:rPr>
          <w:rStyle w:val="eop"/>
          <w:sz w:val="20"/>
          <w:szCs w:val="20"/>
        </w:rPr>
        <w:t> </w:t>
      </w:r>
    </w:p>
    <w:p w14:paraId="344C289E" w14:textId="50F24FD4" w:rsidR="00AF235A" w:rsidRDefault="00AF235A" w:rsidP="00AF235A">
      <w:pPr>
        <w:pStyle w:val="paragraph"/>
        <w:spacing w:before="0" w:beforeAutospacing="0" w:after="0" w:afterAutospacing="0"/>
        <w:textAlignment w:val="baseline"/>
        <w:rPr>
          <w:rFonts w:ascii="Segoe UI" w:hAnsi="Segoe UI" w:cs="Segoe UI"/>
          <w:sz w:val="18"/>
          <w:szCs w:val="18"/>
        </w:rPr>
      </w:pPr>
      <w:r>
        <w:rPr>
          <w:rStyle w:val="normaltextrun"/>
          <w:sz w:val="20"/>
          <w:szCs w:val="20"/>
        </w:rPr>
        <w:t>Item </w:t>
      </w:r>
      <w:r w:rsidR="00E67C5D">
        <w:rPr>
          <w:rStyle w:val="normaltextrun"/>
          <w:sz w:val="20"/>
          <w:szCs w:val="20"/>
        </w:rPr>
        <w:t>9</w:t>
      </w:r>
      <w:r>
        <w:rPr>
          <w:rStyle w:val="normaltextrun"/>
          <w:sz w:val="20"/>
          <w:szCs w:val="20"/>
        </w:rPr>
        <w:t> (</w:t>
      </w:r>
      <w:r w:rsidR="00F24B7A">
        <w:rPr>
          <w:rStyle w:val="normaltextrun"/>
          <w:sz w:val="20"/>
          <w:szCs w:val="20"/>
        </w:rPr>
        <w:t>d</w:t>
      </w:r>
      <w:r>
        <w:rPr>
          <w:rStyle w:val="normaltextrun"/>
          <w:sz w:val="20"/>
          <w:szCs w:val="20"/>
        </w:rPr>
        <w:t>) of the provisional agenda</w:t>
      </w:r>
      <w:r>
        <w:rPr>
          <w:rStyle w:val="eop"/>
          <w:sz w:val="20"/>
          <w:szCs w:val="20"/>
        </w:rPr>
        <w:t> </w:t>
      </w:r>
    </w:p>
    <w:p w14:paraId="68BF06B2" w14:textId="3134073F" w:rsidR="00AF235A" w:rsidRDefault="00452E9A" w:rsidP="00AF235A">
      <w:pPr>
        <w:pStyle w:val="paragraph"/>
        <w:spacing w:before="0" w:beforeAutospacing="0" w:after="0" w:afterAutospacing="0"/>
        <w:textAlignment w:val="baseline"/>
        <w:rPr>
          <w:rFonts w:ascii="Segoe UI" w:hAnsi="Segoe UI" w:cs="Segoe UI"/>
          <w:sz w:val="18"/>
          <w:szCs w:val="18"/>
        </w:rPr>
      </w:pPr>
      <w:r>
        <w:rPr>
          <w:rStyle w:val="normaltextrun"/>
          <w:b/>
          <w:bCs/>
          <w:sz w:val="20"/>
          <w:szCs w:val="20"/>
        </w:rPr>
        <w:t>Programme of work and operation of the Convention</w:t>
      </w:r>
      <w:r w:rsidR="00AF235A">
        <w:rPr>
          <w:rStyle w:val="normaltextrun"/>
          <w:b/>
          <w:bCs/>
          <w:sz w:val="20"/>
          <w:szCs w:val="20"/>
        </w:rPr>
        <w:t>:</w:t>
      </w:r>
      <w:r w:rsidR="00AF235A">
        <w:rPr>
          <w:rStyle w:val="scxw150156660"/>
          <w:sz w:val="20"/>
          <w:szCs w:val="20"/>
        </w:rPr>
        <w:t> </w:t>
      </w:r>
      <w:r w:rsidR="00AF235A">
        <w:rPr>
          <w:sz w:val="20"/>
          <w:szCs w:val="20"/>
        </w:rPr>
        <w:br/>
      </w:r>
      <w:r w:rsidR="00F524EE">
        <w:rPr>
          <w:rStyle w:val="normaltextrun"/>
          <w:b/>
          <w:bCs/>
          <w:sz w:val="20"/>
          <w:szCs w:val="20"/>
        </w:rPr>
        <w:t>financial arrangements</w:t>
      </w:r>
      <w:r w:rsidR="00AF235A">
        <w:rPr>
          <w:rStyle w:val="eop"/>
          <w:sz w:val="20"/>
          <w:szCs w:val="20"/>
        </w:rPr>
        <w:t> </w:t>
      </w:r>
    </w:p>
    <w:p w14:paraId="583D6F64" w14:textId="7C41B7F7" w:rsidR="00040253" w:rsidRPr="00D52B13" w:rsidRDefault="00040253" w:rsidP="00040253">
      <w:pPr>
        <w:pStyle w:val="HChG"/>
      </w:pPr>
      <w:r>
        <w:tab/>
      </w:r>
      <w:r>
        <w:tab/>
      </w:r>
      <w:r w:rsidRPr="00D52B13">
        <w:t xml:space="preserve">Draft </w:t>
      </w:r>
      <w:r>
        <w:t xml:space="preserve">decision </w:t>
      </w:r>
      <w:r w:rsidR="004E1217">
        <w:t xml:space="preserve">VII/6 </w:t>
      </w:r>
      <w:r>
        <w:t xml:space="preserve">on </w:t>
      </w:r>
      <w:r w:rsidRPr="00D52B13">
        <w:t>financial arrangements under the Convention</w:t>
      </w:r>
    </w:p>
    <w:p w14:paraId="47E7456A" w14:textId="77777777" w:rsidR="00040253" w:rsidRDefault="00040253" w:rsidP="00040253">
      <w:pPr>
        <w:pStyle w:val="H1G"/>
      </w:pPr>
      <w:r w:rsidRPr="009D6381">
        <w:rPr>
          <w:i/>
          <w:iCs/>
          <w:sz w:val="20"/>
        </w:rPr>
        <w:tab/>
      </w:r>
      <w:r>
        <w:rPr>
          <w:i/>
          <w:iCs/>
          <w:sz w:val="20"/>
        </w:rPr>
        <w:tab/>
      </w:r>
      <w:r w:rsidRPr="00D52B13">
        <w:t>Prepared by the</w:t>
      </w:r>
      <w:r>
        <w:t xml:space="preserve"> Bureau </w:t>
      </w:r>
    </w:p>
    <w:tbl>
      <w:tblPr>
        <w:tblStyle w:val="TableGrid"/>
        <w:tblW w:w="0" w:type="auto"/>
        <w:jc w:val="center"/>
        <w:tblBorders>
          <w:insideH w:val="none" w:sz="0" w:space="0" w:color="auto"/>
        </w:tblBorders>
        <w:tblLook w:val="05E0" w:firstRow="1" w:lastRow="1" w:firstColumn="1" w:lastColumn="1" w:noHBand="0" w:noVBand="1"/>
      </w:tblPr>
      <w:tblGrid>
        <w:gridCol w:w="9629"/>
      </w:tblGrid>
      <w:tr w:rsidR="00040253" w14:paraId="677F8F6A" w14:textId="77777777" w:rsidTr="00B67EBC">
        <w:trPr>
          <w:jc w:val="center"/>
        </w:trPr>
        <w:tc>
          <w:tcPr>
            <w:tcW w:w="9637" w:type="dxa"/>
            <w:tcBorders>
              <w:top w:val="single" w:sz="4" w:space="0" w:color="auto"/>
              <w:bottom w:val="nil"/>
            </w:tcBorders>
            <w:shd w:val="clear" w:color="auto" w:fill="auto"/>
          </w:tcPr>
          <w:p w14:paraId="0E5ED78A" w14:textId="77777777" w:rsidR="00040253" w:rsidRPr="00C6263E" w:rsidRDefault="00040253" w:rsidP="0050726A">
            <w:pPr>
              <w:spacing w:before="240" w:after="120"/>
              <w:ind w:left="255"/>
              <w:rPr>
                <w:i/>
                <w:sz w:val="24"/>
              </w:rPr>
            </w:pPr>
            <w:r w:rsidRPr="00C6263E">
              <w:rPr>
                <w:i/>
                <w:sz w:val="24"/>
              </w:rPr>
              <w:t>Summary</w:t>
            </w:r>
          </w:p>
        </w:tc>
      </w:tr>
      <w:tr w:rsidR="00040253" w14:paraId="6BBEF7AC" w14:textId="77777777" w:rsidTr="00B67EBC">
        <w:trPr>
          <w:jc w:val="center"/>
        </w:trPr>
        <w:tc>
          <w:tcPr>
            <w:tcW w:w="9637" w:type="dxa"/>
            <w:tcBorders>
              <w:top w:val="nil"/>
              <w:bottom w:val="nil"/>
            </w:tcBorders>
            <w:shd w:val="clear" w:color="auto" w:fill="auto"/>
          </w:tcPr>
          <w:p w14:paraId="56506D92" w14:textId="2C5465CA" w:rsidR="00322E57" w:rsidRPr="00D41DAB" w:rsidRDefault="00040253" w:rsidP="0050726A">
            <w:pPr>
              <w:pStyle w:val="SingleTxtG"/>
              <w:spacing w:line="240" w:lineRule="auto"/>
              <w:rPr>
                <w:sz w:val="19"/>
                <w:szCs w:val="19"/>
              </w:rPr>
            </w:pPr>
            <w:r>
              <w:tab/>
            </w:r>
            <w:r>
              <w:tab/>
            </w:r>
            <w:r w:rsidR="00322E57" w:rsidRPr="00D41DAB">
              <w:rPr>
                <w:sz w:val="19"/>
                <w:szCs w:val="19"/>
              </w:rPr>
              <w:t xml:space="preserve">The present document sets out a draft decision on financial arrangements under the Convention on Access to Information, Public Participation in </w:t>
            </w:r>
            <w:proofErr w:type="gramStart"/>
            <w:r w:rsidR="00322E57" w:rsidRPr="00D41DAB">
              <w:rPr>
                <w:sz w:val="19"/>
                <w:szCs w:val="19"/>
              </w:rPr>
              <w:t>Decision-making</w:t>
            </w:r>
            <w:proofErr w:type="gramEnd"/>
            <w:r w:rsidR="00322E57" w:rsidRPr="00D41DAB">
              <w:rPr>
                <w:sz w:val="19"/>
                <w:szCs w:val="19"/>
              </w:rPr>
              <w:t xml:space="preserve"> and Access to Justice in Environmental Matters (Aarhus Convention) prepared by the Bureau of the Parties to the Convention. </w:t>
            </w:r>
          </w:p>
          <w:p w14:paraId="23ADBDE3" w14:textId="20B884AE" w:rsidR="00040253" w:rsidRPr="00D41DAB" w:rsidRDefault="00040253" w:rsidP="00D41DAB">
            <w:pPr>
              <w:pStyle w:val="SingleTxtG"/>
              <w:spacing w:line="240" w:lineRule="auto"/>
              <w:ind w:left="1125" w:firstLine="567"/>
              <w:rPr>
                <w:sz w:val="19"/>
                <w:szCs w:val="19"/>
              </w:rPr>
            </w:pPr>
            <w:r w:rsidRPr="00D41DAB">
              <w:rPr>
                <w:sz w:val="19"/>
                <w:szCs w:val="19"/>
              </w:rPr>
              <w:t>At its sixth session (</w:t>
            </w:r>
            <w:bookmarkStart w:id="0" w:name="_Hlk35442302"/>
            <w:proofErr w:type="spellStart"/>
            <w:r w:rsidRPr="00D41DAB">
              <w:rPr>
                <w:sz w:val="19"/>
                <w:szCs w:val="19"/>
              </w:rPr>
              <w:t>Budva</w:t>
            </w:r>
            <w:proofErr w:type="spellEnd"/>
            <w:r w:rsidRPr="00D41DAB">
              <w:rPr>
                <w:sz w:val="19"/>
                <w:szCs w:val="19"/>
              </w:rPr>
              <w:t>, Montenegro, 11</w:t>
            </w:r>
            <w:r w:rsidRPr="00D41DAB">
              <w:rPr>
                <w:spacing w:val="42"/>
                <w:sz w:val="19"/>
                <w:szCs w:val="19"/>
              </w:rPr>
              <w:t>–</w:t>
            </w:r>
            <w:r w:rsidRPr="00D41DAB">
              <w:rPr>
                <w:sz w:val="19"/>
                <w:szCs w:val="19"/>
              </w:rPr>
              <w:t>14 September 2017</w:t>
            </w:r>
            <w:bookmarkEnd w:id="0"/>
            <w:r w:rsidRPr="00D41DAB">
              <w:rPr>
                <w:sz w:val="19"/>
                <w:szCs w:val="19"/>
              </w:rPr>
              <w:t>), the Meeting of the Parties to the Convention mandated the Bureau and the Working Group of the Parties to explore options for more predictable, stable and equitably shared funding, and requested them to make the appropriate proposals for the consideration of the Meeting of the Parties at its seventh session (ECE/MP.PP/2017/2/Add.1, decision VI/6, operative para. 14).</w:t>
            </w:r>
          </w:p>
          <w:p w14:paraId="4F7D7436" w14:textId="3F657F92" w:rsidR="00DD1A62" w:rsidRPr="00D41DAB" w:rsidRDefault="00040253" w:rsidP="00DD1A62">
            <w:pPr>
              <w:pStyle w:val="SingleTxtG"/>
              <w:spacing w:line="240" w:lineRule="auto"/>
              <w:ind w:firstLine="557"/>
              <w:rPr>
                <w:sz w:val="19"/>
                <w:szCs w:val="19"/>
              </w:rPr>
            </w:pPr>
            <w:r w:rsidRPr="00D41DAB">
              <w:rPr>
                <w:sz w:val="19"/>
                <w:szCs w:val="19"/>
              </w:rPr>
              <w:tab/>
              <w:t xml:space="preserve">The </w:t>
            </w:r>
            <w:r w:rsidR="001908EB" w:rsidRPr="00D41DAB">
              <w:rPr>
                <w:sz w:val="19"/>
                <w:szCs w:val="19"/>
              </w:rPr>
              <w:t xml:space="preserve">Bureau prepared the </w:t>
            </w:r>
            <w:r w:rsidRPr="00D41DAB">
              <w:rPr>
                <w:sz w:val="19"/>
                <w:szCs w:val="19"/>
              </w:rPr>
              <w:t xml:space="preserve">present document pursuant to decision VI/6. </w:t>
            </w:r>
            <w:r w:rsidR="00DD1A62" w:rsidRPr="003513B6">
              <w:rPr>
                <w:sz w:val="19"/>
                <w:szCs w:val="19"/>
              </w:rPr>
              <w:t>The draft decision contains three options: the current financial scheme based on voluntary contributions; a recommendatory scheme; and a mandatory scheme of contributions aligned with the United Nations scale of assessments. For greater clarity regarding the different options under consideration for a financial scheme, text in bold in the draft decision indicates which option or options are applicable for the suggested text. Option A relates to a financial scheme with voluntary contributions. Option B is for a financial scheme with recommendatory contributions. Option C is for a financial scheme with mandatory contributions.</w:t>
            </w:r>
          </w:p>
          <w:p w14:paraId="5B5A61EA" w14:textId="15742B8F" w:rsidR="00040253" w:rsidRDefault="006B201B" w:rsidP="00D41DAB">
            <w:pPr>
              <w:pStyle w:val="SingleTxtG"/>
              <w:spacing w:line="240" w:lineRule="auto"/>
              <w:rPr>
                <w:sz w:val="19"/>
                <w:szCs w:val="19"/>
              </w:rPr>
            </w:pPr>
            <w:r>
              <w:rPr>
                <w:sz w:val="19"/>
                <w:szCs w:val="19"/>
              </w:rPr>
              <w:tab/>
            </w:r>
            <w:r>
              <w:rPr>
                <w:sz w:val="19"/>
                <w:szCs w:val="19"/>
              </w:rPr>
              <w:tab/>
            </w:r>
            <w:r w:rsidR="00040253" w:rsidRPr="00D41DAB">
              <w:rPr>
                <w:sz w:val="19"/>
                <w:szCs w:val="19"/>
              </w:rPr>
              <w:t>The major issues for consideration by the Working Group include</w:t>
            </w:r>
            <w:r w:rsidR="00A329BC" w:rsidRPr="00D41DAB">
              <w:rPr>
                <w:sz w:val="19"/>
                <w:szCs w:val="19"/>
              </w:rPr>
              <w:t>d</w:t>
            </w:r>
            <w:r w:rsidR="00040253" w:rsidRPr="00D41DAB">
              <w:rPr>
                <w:sz w:val="19"/>
                <w:szCs w:val="19"/>
              </w:rPr>
              <w:t xml:space="preserve">: (a) whether the scheme of financial arrangements should be mandatory, </w:t>
            </w:r>
            <w:proofErr w:type="gramStart"/>
            <w:r w:rsidR="00040253" w:rsidRPr="00D41DAB">
              <w:rPr>
                <w:sz w:val="19"/>
                <w:szCs w:val="19"/>
              </w:rPr>
              <w:t>recommendatory</w:t>
            </w:r>
            <w:proofErr w:type="gramEnd"/>
            <w:r w:rsidR="00040253" w:rsidRPr="00D41DAB">
              <w:rPr>
                <w:sz w:val="19"/>
                <w:szCs w:val="19"/>
              </w:rPr>
              <w:t xml:space="preserve"> or voluntary; and (b) whether the United Nations scale of assessments should apply to contributions.</w:t>
            </w:r>
          </w:p>
          <w:p w14:paraId="356B2D8B" w14:textId="24B7CBBE" w:rsidR="00962B22" w:rsidRDefault="00A03BFF" w:rsidP="00C978E4">
            <w:pPr>
              <w:pStyle w:val="paragraph"/>
              <w:spacing w:before="0" w:beforeAutospacing="0" w:after="0" w:afterAutospacing="0"/>
              <w:ind w:left="1125" w:right="1125" w:firstLine="567"/>
              <w:jc w:val="both"/>
              <w:textAlignment w:val="baseline"/>
            </w:pPr>
            <w:r w:rsidRPr="00D41DAB">
              <w:rPr>
                <w:sz w:val="19"/>
                <w:szCs w:val="19"/>
              </w:rPr>
              <w:t>The Working Group considered the document at its twenty-fourth meeting (Geneva, 1</w:t>
            </w:r>
            <w:r w:rsidRPr="00D41DAB">
              <w:rPr>
                <w:spacing w:val="42"/>
                <w:sz w:val="19"/>
                <w:szCs w:val="19"/>
              </w:rPr>
              <w:t>–</w:t>
            </w:r>
            <w:r w:rsidRPr="00D41DAB">
              <w:rPr>
                <w:sz w:val="19"/>
                <w:szCs w:val="19"/>
              </w:rPr>
              <w:t xml:space="preserve">3 July and 28 and 29 October 2020) and requested the Bureau to prepare a draft decision on financial arrangements in the light of the comments by the Working Group for its submission to the twenty-fifth meeting of the Working Group. </w:t>
            </w:r>
            <w:r w:rsidR="00F43D72" w:rsidRPr="00D41DAB">
              <w:rPr>
                <w:rStyle w:val="normaltextrun"/>
                <w:sz w:val="19"/>
                <w:szCs w:val="19"/>
              </w:rPr>
              <w:t xml:space="preserve">There were opportunities for open-ended consultations among national focal points and stakeholders on the present draft document after the twenty-fourth </w:t>
            </w:r>
            <w:r w:rsidR="00F43D72" w:rsidRPr="00D41DAB">
              <w:rPr>
                <w:rStyle w:val="normaltextrun"/>
                <w:sz w:val="19"/>
                <w:szCs w:val="19"/>
              </w:rPr>
              <w:lastRenderedPageBreak/>
              <w:t xml:space="preserve">meeting of the Working Group. </w:t>
            </w:r>
            <w:r w:rsidR="00273C46" w:rsidRPr="00D41DAB">
              <w:rPr>
                <w:sz w:val="19"/>
                <w:szCs w:val="19"/>
              </w:rPr>
              <w:t xml:space="preserve">No comments were received on the draft. The document was therefore submitted to </w:t>
            </w:r>
            <w:r w:rsidR="00E01D12">
              <w:rPr>
                <w:sz w:val="19"/>
                <w:szCs w:val="19"/>
              </w:rPr>
              <w:t xml:space="preserve">the Working Group </w:t>
            </w:r>
            <w:r w:rsidR="00273C46" w:rsidRPr="00D41DAB">
              <w:rPr>
                <w:rStyle w:val="normaltextrun"/>
                <w:color w:val="000000"/>
                <w:sz w:val="19"/>
                <w:szCs w:val="19"/>
                <w:shd w:val="clear" w:color="auto" w:fill="FFFFFF"/>
              </w:rPr>
              <w:t xml:space="preserve">for consideration and approval at its twenty-fifth meeting (Geneva, 3 May and 7 and 8 June 2021) </w:t>
            </w:r>
            <w:r w:rsidR="00273C46" w:rsidRPr="00D41DAB">
              <w:rPr>
                <w:sz w:val="19"/>
                <w:szCs w:val="19"/>
              </w:rPr>
              <w:t>with editorial revisions only.</w:t>
            </w:r>
            <w:r w:rsidR="00273C46" w:rsidRPr="00D41DAB">
              <w:rPr>
                <w:rStyle w:val="normaltextrun"/>
                <w:color w:val="000000"/>
                <w:sz w:val="19"/>
                <w:szCs w:val="19"/>
                <w:shd w:val="clear" w:color="auto" w:fill="FFFFFF"/>
              </w:rPr>
              <w:t> </w:t>
            </w:r>
            <w:r w:rsidR="00F43D72" w:rsidRPr="00D41DAB">
              <w:rPr>
                <w:rStyle w:val="normaltextrun"/>
                <w:sz w:val="19"/>
                <w:szCs w:val="19"/>
              </w:rPr>
              <w:t>At its twenty-fifth meeting</w:t>
            </w:r>
            <w:r w:rsidR="00CA2D65" w:rsidRPr="00D41DAB">
              <w:rPr>
                <w:rStyle w:val="normaltextrun"/>
                <w:sz w:val="19"/>
                <w:szCs w:val="19"/>
              </w:rPr>
              <w:t>,</w:t>
            </w:r>
            <w:r w:rsidR="00F43D72" w:rsidRPr="00D41DAB">
              <w:rPr>
                <w:rStyle w:val="normaltextrun"/>
                <w:sz w:val="19"/>
                <w:szCs w:val="19"/>
              </w:rPr>
              <w:t xml:space="preserve"> the Working Group </w:t>
            </w:r>
            <w:r w:rsidR="00131B12" w:rsidRPr="00D41DAB">
              <w:rPr>
                <w:rStyle w:val="normaltextrun"/>
                <w:sz w:val="19"/>
                <w:szCs w:val="19"/>
              </w:rPr>
              <w:t>was unable to reach</w:t>
            </w:r>
            <w:r w:rsidR="000F1A3A" w:rsidRPr="00D41DAB">
              <w:rPr>
                <w:rStyle w:val="normaltextrun"/>
                <w:sz w:val="19"/>
                <w:szCs w:val="19"/>
              </w:rPr>
              <w:t xml:space="preserve"> consensus on</w:t>
            </w:r>
            <w:r w:rsidR="00146F34" w:rsidRPr="00D41DAB">
              <w:rPr>
                <w:rStyle w:val="normaltextrun"/>
                <w:sz w:val="19"/>
                <w:szCs w:val="19"/>
              </w:rPr>
              <w:t>:</w:t>
            </w:r>
            <w:r w:rsidR="000F1A3A" w:rsidRPr="00D41DAB">
              <w:rPr>
                <w:rStyle w:val="normaltextrun"/>
                <w:sz w:val="19"/>
                <w:szCs w:val="19"/>
              </w:rPr>
              <w:t xml:space="preserve"> the scheme of contributions (e.g., mandatory</w:t>
            </w:r>
            <w:r w:rsidR="00C978E4" w:rsidRPr="00D41DAB">
              <w:rPr>
                <w:rStyle w:val="normaltextrun"/>
                <w:sz w:val="19"/>
                <w:szCs w:val="19"/>
              </w:rPr>
              <w:t>,</w:t>
            </w:r>
            <w:r w:rsidR="00C978E4" w:rsidRPr="00D41DAB">
              <w:rPr>
                <w:rFonts w:asciiTheme="majorBidi" w:hAnsiTheme="majorBidi" w:cstheme="majorBidi"/>
                <w:sz w:val="19"/>
                <w:szCs w:val="19"/>
                <w:lang w:eastAsia="en-GB"/>
              </w:rPr>
              <w:t xml:space="preserve"> recommendatory</w:t>
            </w:r>
            <w:r w:rsidR="000F1A3A" w:rsidRPr="00D41DAB">
              <w:rPr>
                <w:rStyle w:val="normaltextrun"/>
                <w:sz w:val="19"/>
                <w:szCs w:val="19"/>
              </w:rPr>
              <w:t xml:space="preserve"> or voluntary); the use of the United Nations scale of assessments; and an increase in the minimum level of contributions from $500 to $1,000.</w:t>
            </w:r>
            <w:r w:rsidR="00131B12" w:rsidRPr="00D41DAB">
              <w:rPr>
                <w:rStyle w:val="normaltextrun"/>
                <w:sz w:val="19"/>
                <w:szCs w:val="19"/>
              </w:rPr>
              <w:t xml:space="preserve"> It </w:t>
            </w:r>
            <w:r w:rsidR="00F43D72" w:rsidRPr="00D41DAB">
              <w:rPr>
                <w:rStyle w:val="normaltextrun"/>
                <w:sz w:val="19"/>
                <w:szCs w:val="19"/>
              </w:rPr>
              <w:t>approved</w:t>
            </w:r>
            <w:r w:rsidR="00931F94" w:rsidRPr="00D41DAB">
              <w:rPr>
                <w:rStyle w:val="normaltextrun"/>
                <w:sz w:val="19"/>
                <w:szCs w:val="19"/>
              </w:rPr>
              <w:t xml:space="preserve"> </w:t>
            </w:r>
            <w:r w:rsidR="00F43D72" w:rsidRPr="00D41DAB">
              <w:rPr>
                <w:rStyle w:val="normaltextrun"/>
                <w:sz w:val="19"/>
                <w:szCs w:val="19"/>
              </w:rPr>
              <w:t>the draft decision on</w:t>
            </w:r>
            <w:r w:rsidR="00931F94" w:rsidRPr="00D41DAB">
              <w:rPr>
                <w:rStyle w:val="normaltextrun"/>
                <w:sz w:val="19"/>
                <w:szCs w:val="19"/>
              </w:rPr>
              <w:t xml:space="preserve"> financial </w:t>
            </w:r>
            <w:r w:rsidR="00510500" w:rsidRPr="00D41DAB">
              <w:rPr>
                <w:rStyle w:val="normaltextrun"/>
                <w:sz w:val="19"/>
                <w:szCs w:val="19"/>
              </w:rPr>
              <w:t>arrangements</w:t>
            </w:r>
            <w:r w:rsidR="004F48BD" w:rsidRPr="00D41DAB">
              <w:rPr>
                <w:rStyle w:val="normaltextrun"/>
                <w:sz w:val="19"/>
                <w:szCs w:val="19"/>
              </w:rPr>
              <w:t xml:space="preserve"> (ECE</w:t>
            </w:r>
            <w:r w:rsidR="00510500" w:rsidRPr="00D41DAB">
              <w:rPr>
                <w:rStyle w:val="normaltextrun"/>
                <w:sz w:val="19"/>
                <w:szCs w:val="19"/>
              </w:rPr>
              <w:t>/</w:t>
            </w:r>
            <w:proofErr w:type="gramStart"/>
            <w:r w:rsidR="00510500" w:rsidRPr="00D41DAB">
              <w:rPr>
                <w:rStyle w:val="normaltextrun"/>
                <w:sz w:val="19"/>
                <w:szCs w:val="19"/>
              </w:rPr>
              <w:t>MP.PP</w:t>
            </w:r>
            <w:proofErr w:type="gramEnd"/>
            <w:r w:rsidR="00510500" w:rsidRPr="00D41DAB">
              <w:rPr>
                <w:rStyle w:val="normaltextrun"/>
                <w:sz w:val="19"/>
                <w:szCs w:val="19"/>
              </w:rPr>
              <w:t>/WG.1/2021/</w:t>
            </w:r>
            <w:r w:rsidR="001D42E1" w:rsidRPr="00D41DAB">
              <w:rPr>
                <w:rStyle w:val="normaltextrun"/>
                <w:sz w:val="19"/>
                <w:szCs w:val="19"/>
              </w:rPr>
              <w:t>9</w:t>
            </w:r>
            <w:r w:rsidR="004F48BD" w:rsidRPr="00D41DAB">
              <w:rPr>
                <w:rStyle w:val="normaltextrun"/>
                <w:sz w:val="19"/>
                <w:szCs w:val="19"/>
              </w:rPr>
              <w:t>)</w:t>
            </w:r>
            <w:r w:rsidR="00F43D72" w:rsidRPr="00D41DAB">
              <w:rPr>
                <w:rStyle w:val="normaltextrun"/>
                <w:sz w:val="19"/>
                <w:szCs w:val="19"/>
              </w:rPr>
              <w:t xml:space="preserve"> and requested the secretariat to submit it to the Meeting of the Parties for consideration at its seventh session</w:t>
            </w:r>
            <w:r w:rsidR="00510500" w:rsidRPr="00D41DAB">
              <w:rPr>
                <w:rStyle w:val="normaltextrun"/>
                <w:sz w:val="19"/>
                <w:szCs w:val="19"/>
              </w:rPr>
              <w:t>.</w:t>
            </w:r>
          </w:p>
        </w:tc>
      </w:tr>
      <w:tr w:rsidR="00040253" w14:paraId="16E95A54" w14:textId="77777777" w:rsidTr="00B67EBC">
        <w:trPr>
          <w:jc w:val="center"/>
        </w:trPr>
        <w:tc>
          <w:tcPr>
            <w:tcW w:w="9637" w:type="dxa"/>
            <w:tcBorders>
              <w:top w:val="nil"/>
            </w:tcBorders>
            <w:shd w:val="clear" w:color="auto" w:fill="auto"/>
          </w:tcPr>
          <w:p w14:paraId="18307AF2" w14:textId="77777777" w:rsidR="00040253" w:rsidRDefault="00040253" w:rsidP="001D42E1">
            <w:pPr>
              <w:ind w:firstLine="1692"/>
            </w:pPr>
          </w:p>
        </w:tc>
      </w:tr>
    </w:tbl>
    <w:p w14:paraId="6DC34B67" w14:textId="77777777" w:rsidR="006B201B" w:rsidRDefault="006B201B">
      <w:pPr>
        <w:suppressAutoHyphens w:val="0"/>
        <w:spacing w:line="240" w:lineRule="auto"/>
      </w:pPr>
      <w:r>
        <w:br w:type="page"/>
      </w:r>
    </w:p>
    <w:p w14:paraId="37488832" w14:textId="77777777" w:rsidR="00040253" w:rsidRPr="0055219F" w:rsidRDefault="00040253" w:rsidP="00040253">
      <w:pPr>
        <w:pStyle w:val="SingleTxtG"/>
        <w:rPr>
          <w:i/>
          <w:iCs/>
        </w:rPr>
      </w:pPr>
      <w:r>
        <w:rPr>
          <w:b/>
          <w:sz w:val="28"/>
        </w:rPr>
        <w:lastRenderedPageBreak/>
        <w:tab/>
      </w:r>
      <w:r>
        <w:tab/>
      </w:r>
      <w:r w:rsidRPr="0055219F">
        <w:rPr>
          <w:i/>
          <w:iCs/>
        </w:rPr>
        <w:t>The Meeting of the Parties,</w:t>
      </w:r>
    </w:p>
    <w:p w14:paraId="749DBE0D" w14:textId="77777777" w:rsidR="00040253" w:rsidRPr="003C1C89" w:rsidRDefault="00040253" w:rsidP="00040253">
      <w:pPr>
        <w:pStyle w:val="SingleTxtG"/>
      </w:pPr>
      <w:r w:rsidRPr="003C1C89">
        <w:tab/>
      </w:r>
      <w:r>
        <w:tab/>
      </w:r>
      <w:r w:rsidRPr="003C1C89">
        <w:rPr>
          <w:i/>
        </w:rPr>
        <w:t>Recalling</w:t>
      </w:r>
      <w:r w:rsidRPr="003C1C89">
        <w:t xml:space="preserve"> article 10, paragraph 3, of the Convention on Access to Information, Public Participation in Decision-making and Access to Justice in Environmental Matters (Aarhus Convention), which states that the Meeting of the Parties to the Convention may, as necessary, consider establishing financial arrangements on a consensus basis,</w:t>
      </w:r>
    </w:p>
    <w:p w14:paraId="6290FB65" w14:textId="77777777" w:rsidR="00040253" w:rsidRPr="003C1C89" w:rsidRDefault="00040253" w:rsidP="00040253">
      <w:pPr>
        <w:pStyle w:val="SingleTxtG"/>
      </w:pPr>
      <w:r w:rsidRPr="003C1C89">
        <w:tab/>
      </w:r>
      <w:r>
        <w:tab/>
      </w:r>
      <w:r>
        <w:rPr>
          <w:i/>
        </w:rPr>
        <w:t>R</w:t>
      </w:r>
      <w:r w:rsidRPr="003C1C89">
        <w:rPr>
          <w:i/>
        </w:rPr>
        <w:t>ecalling</w:t>
      </w:r>
      <w:r>
        <w:rPr>
          <w:i/>
        </w:rPr>
        <w:t xml:space="preserve"> also</w:t>
      </w:r>
      <w:r w:rsidRPr="003C1C89">
        <w:t xml:space="preserve"> its decisions I/13,</w:t>
      </w:r>
      <w:r>
        <w:rPr>
          <w:rStyle w:val="FootnoteReference"/>
        </w:rPr>
        <w:footnoteReference w:id="2"/>
      </w:r>
      <w:r w:rsidRPr="003C1C89">
        <w:t xml:space="preserve"> II/6,</w:t>
      </w:r>
      <w:r>
        <w:rPr>
          <w:rStyle w:val="FootnoteReference"/>
        </w:rPr>
        <w:footnoteReference w:id="3"/>
      </w:r>
      <w:r w:rsidRPr="003C1C89">
        <w:t xml:space="preserve"> III/7,</w:t>
      </w:r>
      <w:r>
        <w:rPr>
          <w:rStyle w:val="FootnoteReference"/>
        </w:rPr>
        <w:footnoteReference w:id="4"/>
      </w:r>
      <w:r w:rsidRPr="003C1C89">
        <w:t xml:space="preserve"> IV/7</w:t>
      </w:r>
      <w:r>
        <w:t>,</w:t>
      </w:r>
      <w:r w:rsidRPr="00F047DA">
        <w:rPr>
          <w:rStyle w:val="FootnoteReference"/>
        </w:rPr>
        <w:t xml:space="preserve"> </w:t>
      </w:r>
      <w:r>
        <w:rPr>
          <w:rStyle w:val="FootnoteReference"/>
        </w:rPr>
        <w:footnoteReference w:id="5"/>
      </w:r>
      <w:r w:rsidRPr="003C1C89">
        <w:t xml:space="preserve"> </w:t>
      </w:r>
      <w:r>
        <w:t>V/7</w:t>
      </w:r>
      <w:r>
        <w:rPr>
          <w:rStyle w:val="FootnoteReference"/>
        </w:rPr>
        <w:footnoteReference w:id="6"/>
      </w:r>
      <w:r>
        <w:t xml:space="preserve"> and VI/6</w:t>
      </w:r>
      <w:r w:rsidRPr="003C1C89">
        <w:t>,</w:t>
      </w:r>
      <w:r>
        <w:rPr>
          <w:rStyle w:val="FootnoteReference"/>
        </w:rPr>
        <w:footnoteReference w:id="7"/>
      </w:r>
      <w:r w:rsidRPr="003C1C89">
        <w:t xml:space="preserve"> through which an interim voluntary scheme of contributions, open to contributions from Parties, </w:t>
      </w:r>
      <w:r>
        <w:t>S</w:t>
      </w:r>
      <w:r w:rsidRPr="003C1C89">
        <w:t xml:space="preserve">ignatories and other States having opted to participate </w:t>
      </w:r>
      <w:r>
        <w:t>there</w:t>
      </w:r>
      <w:r w:rsidRPr="003C1C89">
        <w:t>in, has been established and maintained,</w:t>
      </w:r>
    </w:p>
    <w:p w14:paraId="6F094980" w14:textId="77777777" w:rsidR="00040253" w:rsidRPr="003C1C89" w:rsidRDefault="00040253" w:rsidP="00040253">
      <w:pPr>
        <w:pStyle w:val="SingleTxtG"/>
      </w:pPr>
      <w:r w:rsidRPr="003C1C89">
        <w:rPr>
          <w:i/>
        </w:rPr>
        <w:tab/>
      </w:r>
      <w:r>
        <w:rPr>
          <w:i/>
        </w:rPr>
        <w:tab/>
      </w:r>
      <w:r w:rsidRPr="003C1C89">
        <w:rPr>
          <w:i/>
        </w:rPr>
        <w:t>Having considered</w:t>
      </w:r>
      <w:r w:rsidRPr="003C1C89">
        <w:t xml:space="preserve"> the outcomes of the assessment of the current interim scheme of contributions (ECE/MP.PP/WG.1/2013/9)</w:t>
      </w:r>
      <w:r>
        <w:t>,</w:t>
      </w:r>
      <w:r w:rsidRPr="003C1C89">
        <w:t xml:space="preserve"> and recalling discussions </w:t>
      </w:r>
      <w:r>
        <w:t xml:space="preserve">and decisions </w:t>
      </w:r>
      <w:r w:rsidRPr="003C1C89">
        <w:t xml:space="preserve">at each </w:t>
      </w:r>
      <w:r>
        <w:t xml:space="preserve">of the </w:t>
      </w:r>
      <w:r w:rsidRPr="003C1C89">
        <w:t>previous session</w:t>
      </w:r>
      <w:r>
        <w:t>s</w:t>
      </w:r>
      <w:r w:rsidRPr="003C1C89">
        <w:t xml:space="preserve"> of the Meeting of the Parties on financial arrangements under the Convention</w:t>
      </w:r>
      <w:r>
        <w:t xml:space="preserve"> [</w:t>
      </w:r>
      <w:r w:rsidRPr="00040F96">
        <w:t>about the need to establish financial arrangements based on the goals of stability, predictability and an equitable sharing of the burden]</w:t>
      </w:r>
      <w:r w:rsidRPr="003C1C89">
        <w:t>,</w:t>
      </w:r>
    </w:p>
    <w:p w14:paraId="52559E59" w14:textId="77777777" w:rsidR="00040253" w:rsidRPr="003C1C89" w:rsidRDefault="00040253" w:rsidP="00040253">
      <w:pPr>
        <w:pStyle w:val="SingleTxtG"/>
      </w:pPr>
      <w:r w:rsidRPr="003C1C89">
        <w:tab/>
      </w:r>
      <w:r>
        <w:tab/>
      </w:r>
      <w:r w:rsidRPr="003C1C89">
        <w:rPr>
          <w:i/>
        </w:rPr>
        <w:t>Recognizing</w:t>
      </w:r>
      <w:r w:rsidRPr="003C1C89">
        <w:t xml:space="preserve"> the need to:</w:t>
      </w:r>
    </w:p>
    <w:p w14:paraId="39A89712" w14:textId="67C84D89" w:rsidR="00040253" w:rsidRPr="003C1C89" w:rsidRDefault="00040253" w:rsidP="00040253">
      <w:pPr>
        <w:spacing w:after="120"/>
        <w:ind w:left="1134" w:right="1134" w:firstLine="567"/>
        <w:jc w:val="both"/>
      </w:pPr>
      <w:r w:rsidRPr="003C1C89">
        <w:t>(a)</w:t>
      </w:r>
      <w:r w:rsidRPr="003C1C89">
        <w:tab/>
        <w:t>Ensure that sufficient resources are available to implement the Convention’s work programme for 20</w:t>
      </w:r>
      <w:r>
        <w:t>22</w:t>
      </w:r>
      <w:r w:rsidRPr="003C1C89">
        <w:t>–202</w:t>
      </w:r>
      <w:r>
        <w:t>5</w:t>
      </w:r>
      <w:r w:rsidRPr="003C1C89">
        <w:t>, adopted through decision V</w:t>
      </w:r>
      <w:r>
        <w:t>I</w:t>
      </w:r>
      <w:r w:rsidRPr="003C1C89">
        <w:t>I/</w:t>
      </w:r>
      <w:r w:rsidR="0024301B">
        <w:t>5</w:t>
      </w:r>
      <w:r>
        <w:t>,</w:t>
      </w:r>
    </w:p>
    <w:p w14:paraId="13B8661B" w14:textId="77777777" w:rsidR="00040253" w:rsidRPr="003C1C89" w:rsidRDefault="00040253" w:rsidP="00040253">
      <w:pPr>
        <w:spacing w:after="120"/>
        <w:ind w:left="1134" w:right="1134" w:firstLine="567"/>
        <w:jc w:val="both"/>
      </w:pPr>
      <w:r w:rsidRPr="003C1C89">
        <w:t>(b)</w:t>
      </w:r>
      <w:r w:rsidRPr="003C1C89">
        <w:tab/>
        <w:t xml:space="preserve">Ensure a scheme of financial contributions that is transparent and accessible to all Parties, </w:t>
      </w:r>
      <w:r>
        <w:t>S</w:t>
      </w:r>
      <w:r w:rsidRPr="003C1C89">
        <w:t>ignatories and other States and organizations wishing to contribute</w:t>
      </w:r>
      <w:r>
        <w:t>,</w:t>
      </w:r>
    </w:p>
    <w:p w14:paraId="2431E81C" w14:textId="77777777" w:rsidR="00040253" w:rsidRPr="003C1C89" w:rsidRDefault="00040253" w:rsidP="00040253">
      <w:pPr>
        <w:spacing w:after="120"/>
        <w:ind w:left="1134" w:right="1134" w:firstLine="567"/>
        <w:jc w:val="both"/>
      </w:pPr>
      <w:r w:rsidRPr="003C1C89">
        <w:t>(c)</w:t>
      </w:r>
      <w:r w:rsidRPr="003C1C89">
        <w:tab/>
        <w:t xml:space="preserve">Establish financial arrangements under the Convention based on the principles of an equitable sharing of the burden, stable and predictable sources of funding, </w:t>
      </w:r>
      <w:proofErr w:type="gramStart"/>
      <w:r w:rsidRPr="003C1C89">
        <w:t>accountability</w:t>
      </w:r>
      <w:proofErr w:type="gramEnd"/>
      <w:r w:rsidRPr="003C1C89">
        <w:t xml:space="preserve"> and sound financial management, </w:t>
      </w:r>
    </w:p>
    <w:p w14:paraId="29A24CE5" w14:textId="77777777" w:rsidR="00040253" w:rsidRPr="003C1C89" w:rsidRDefault="00040253" w:rsidP="00040253">
      <w:pPr>
        <w:pStyle w:val="SingleTxtG"/>
      </w:pPr>
      <w:r w:rsidRPr="003C1C89">
        <w:tab/>
      </w:r>
      <w:r>
        <w:tab/>
        <w:t>[</w:t>
      </w:r>
      <w:r w:rsidRPr="003C1C89">
        <w:rPr>
          <w:i/>
        </w:rPr>
        <w:t>Expressing its serious concern</w:t>
      </w:r>
      <w:r w:rsidRPr="003C1C89">
        <w:t xml:space="preserve"> that the financial burden has not been evenly distributed during the current intersessional period, with several Parties and </w:t>
      </w:r>
      <w:r>
        <w:t>S</w:t>
      </w:r>
      <w:r w:rsidRPr="003C1C89">
        <w:t>ignatories not contributing at all,</w:t>
      </w:r>
      <w:r>
        <w:t>]</w:t>
      </w:r>
      <w:r>
        <w:rPr>
          <w:rStyle w:val="FootnoteReference"/>
        </w:rPr>
        <w:footnoteReference w:id="8"/>
      </w:r>
    </w:p>
    <w:p w14:paraId="526CB50C" w14:textId="77777777" w:rsidR="00040253" w:rsidRDefault="00040253" w:rsidP="00040253">
      <w:pPr>
        <w:pStyle w:val="SingleTxtG"/>
      </w:pPr>
      <w:r>
        <w:tab/>
      </w:r>
      <w:r w:rsidRPr="003C1C89">
        <w:tab/>
      </w:r>
      <w:r w:rsidRPr="003C1C89">
        <w:rPr>
          <w:i/>
        </w:rPr>
        <w:t xml:space="preserve">Believing </w:t>
      </w:r>
      <w:r w:rsidRPr="003C1C89">
        <w:t xml:space="preserve">that alternative options to the financial arrangements in place under the Convention </w:t>
      </w:r>
      <w:r>
        <w:t>should</w:t>
      </w:r>
      <w:r w:rsidRPr="003C1C89">
        <w:t xml:space="preserve"> be considered by the Meeting of the Parties at its next session to ensure that the arrangements meet the goals of stability, predictability and an equitable sharing of the burden,</w:t>
      </w:r>
    </w:p>
    <w:p w14:paraId="2F6A6E9E" w14:textId="77777777" w:rsidR="00040253" w:rsidRPr="00DB2CF1" w:rsidRDefault="00040253" w:rsidP="00040253">
      <w:pPr>
        <w:pStyle w:val="SingleTxtG"/>
      </w:pPr>
      <w:r>
        <w:tab/>
      </w:r>
      <w:r w:rsidRPr="003C1C89">
        <w:tab/>
        <w:t>1.</w:t>
      </w:r>
      <w:r w:rsidRPr="003C1C89">
        <w:tab/>
      </w:r>
      <w:r w:rsidRPr="00D06AAF">
        <w:rPr>
          <w:b/>
          <w:bCs/>
        </w:rPr>
        <w:t>Option A for voluntary contributions:</w:t>
      </w:r>
      <w:r w:rsidRPr="00D06AAF">
        <w:t xml:space="preserve"> [</w:t>
      </w:r>
      <w:r w:rsidRPr="00D06AAF">
        <w:rPr>
          <w:i/>
        </w:rPr>
        <w:t>Agrees</w:t>
      </w:r>
      <w:r w:rsidRPr="00D06AAF">
        <w:t xml:space="preserve"> to continue to use the existing interim scheme of contributions as reflected in decision VI/6 of the Meeting of the Pa</w:t>
      </w:r>
      <w:r w:rsidRPr="00DB2CF1">
        <w:t>rties to the Convention</w:t>
      </w:r>
      <w:r w:rsidRPr="00DD4017">
        <w:t xml:space="preserve"> </w:t>
      </w:r>
      <w:r>
        <w:t>(</w:t>
      </w:r>
      <w:r w:rsidRPr="00DD4017">
        <w:t>ECE/MP.PP/2017/2/Add.1</w:t>
      </w:r>
      <w:r>
        <w:t>)</w:t>
      </w:r>
      <w:r w:rsidRPr="00D06AAF">
        <w:t xml:space="preserve">] </w:t>
      </w:r>
      <w:r w:rsidRPr="00D06AAF">
        <w:rPr>
          <w:b/>
          <w:bCs/>
        </w:rPr>
        <w:t xml:space="preserve">Option B </w:t>
      </w:r>
      <w:r>
        <w:rPr>
          <w:b/>
          <w:bCs/>
        </w:rPr>
        <w:t xml:space="preserve">for recommendatory contributions: </w:t>
      </w:r>
      <w:r w:rsidRPr="00D06AAF">
        <w:rPr>
          <w:sz w:val="18"/>
          <w:szCs w:val="18"/>
        </w:rPr>
        <w:t>[</w:t>
      </w:r>
      <w:r w:rsidRPr="00D06AAF">
        <w:rPr>
          <w:i/>
          <w:iCs/>
        </w:rPr>
        <w:t>Establishes</w:t>
      </w:r>
      <w:r w:rsidRPr="00D06AAF">
        <w:t xml:space="preserve"> a </w:t>
      </w:r>
      <w:r>
        <w:t>recommendatory</w:t>
      </w:r>
      <w:r w:rsidRPr="00D06AAF">
        <w:t xml:space="preserve"> scheme of contributions</w:t>
      </w:r>
      <w:r w:rsidRPr="00D06AAF">
        <w:rPr>
          <w:sz w:val="18"/>
          <w:szCs w:val="18"/>
        </w:rPr>
        <w:t xml:space="preserve">] </w:t>
      </w:r>
      <w:r w:rsidRPr="00D06AAF">
        <w:rPr>
          <w:b/>
          <w:bCs/>
        </w:rPr>
        <w:t xml:space="preserve">Option </w:t>
      </w:r>
      <w:r>
        <w:rPr>
          <w:b/>
          <w:bCs/>
        </w:rPr>
        <w:t>C</w:t>
      </w:r>
      <w:r w:rsidRPr="00D06AAF">
        <w:rPr>
          <w:b/>
          <w:bCs/>
        </w:rPr>
        <w:t xml:space="preserve"> for mandatory contributions:</w:t>
      </w:r>
      <w:r w:rsidRPr="00D06AAF">
        <w:rPr>
          <w:sz w:val="18"/>
          <w:szCs w:val="18"/>
        </w:rPr>
        <w:t xml:space="preserve"> [</w:t>
      </w:r>
      <w:r w:rsidRPr="00D06AAF">
        <w:rPr>
          <w:i/>
          <w:iCs/>
        </w:rPr>
        <w:t>Establishes</w:t>
      </w:r>
      <w:r w:rsidRPr="00D06AAF">
        <w:t xml:space="preserve"> a mandatory scheme of contributions</w:t>
      </w:r>
      <w:r w:rsidRPr="00D06AAF">
        <w:rPr>
          <w:sz w:val="18"/>
          <w:szCs w:val="18"/>
        </w:rPr>
        <w:t xml:space="preserve">] </w:t>
      </w:r>
      <w:r w:rsidRPr="00D06AAF">
        <w:t>aimed at covering the costs of activities under the work programme that are not covered by the United Nations re</w:t>
      </w:r>
      <w:r w:rsidRPr="00DB2CF1">
        <w:t>gular budget, based on the following principles:</w:t>
      </w:r>
    </w:p>
    <w:p w14:paraId="21227466" w14:textId="77777777" w:rsidR="00040253" w:rsidRPr="0064610D" w:rsidRDefault="00040253" w:rsidP="00040253">
      <w:pPr>
        <w:spacing w:after="120"/>
        <w:ind w:left="1134" w:right="1134" w:firstLine="567"/>
        <w:jc w:val="both"/>
      </w:pPr>
      <w:r w:rsidRPr="0064610D">
        <w:t>(a)</w:t>
      </w:r>
      <w:r w:rsidRPr="0064610D">
        <w:tab/>
        <w:t xml:space="preserve">The Parties should collectively ensure that the costs of the activities of the work programme that are not covered by the United Nations regular budget are covered through the financial </w:t>
      </w:r>
      <w:proofErr w:type="gramStart"/>
      <w:r w:rsidRPr="0064610D">
        <w:t>scheme</w:t>
      </w:r>
      <w:r>
        <w:t>;</w:t>
      </w:r>
      <w:proofErr w:type="gramEnd"/>
    </w:p>
    <w:p w14:paraId="41D82E18" w14:textId="77777777" w:rsidR="00040253" w:rsidRPr="003C1C89" w:rsidRDefault="00040253" w:rsidP="00040253">
      <w:pPr>
        <w:pStyle w:val="SingleTxtG"/>
        <w:ind w:firstLine="567"/>
      </w:pPr>
      <w:r w:rsidRPr="0064610D">
        <w:rPr>
          <w:rFonts w:asciiTheme="majorBidi" w:hAnsiTheme="majorBidi" w:cstheme="majorBidi"/>
          <w:b/>
        </w:rPr>
        <w:t xml:space="preserve">Relevant for Option </w:t>
      </w:r>
      <w:r>
        <w:rPr>
          <w:rFonts w:asciiTheme="majorBidi" w:hAnsiTheme="majorBidi" w:cstheme="majorBidi"/>
          <w:b/>
        </w:rPr>
        <w:t>C</w:t>
      </w:r>
      <w:r w:rsidRPr="00D06AAF">
        <w:rPr>
          <w:rFonts w:asciiTheme="majorBidi" w:hAnsiTheme="majorBidi" w:cstheme="majorBidi"/>
          <w:b/>
        </w:rPr>
        <w:t xml:space="preserve"> only:</w:t>
      </w:r>
      <w:r w:rsidRPr="006021E4">
        <w:rPr>
          <w:rFonts w:asciiTheme="majorBidi" w:hAnsiTheme="majorBidi" w:cstheme="majorBidi"/>
          <w:spacing w:val="-1"/>
        </w:rPr>
        <w:t xml:space="preserve"> </w:t>
      </w:r>
      <w:r w:rsidRPr="003C1C89">
        <w:rPr>
          <w:spacing w:val="-1"/>
        </w:rPr>
        <w:t>[(b</w:t>
      </w:r>
      <w:r w:rsidRPr="003C1C89">
        <w:t>)</w:t>
      </w:r>
      <w:r w:rsidRPr="003C1C89">
        <w:rPr>
          <w:spacing w:val="38"/>
        </w:rPr>
        <w:tab/>
      </w:r>
      <w:r w:rsidRPr="003C1C89">
        <w:t>The</w:t>
      </w:r>
      <w:r w:rsidRPr="003C1C89">
        <w:rPr>
          <w:spacing w:val="8"/>
        </w:rPr>
        <w:t xml:space="preserve"> </w:t>
      </w:r>
      <w:r w:rsidRPr="003C1C89">
        <w:t>bu</w:t>
      </w:r>
      <w:r w:rsidRPr="003C1C89">
        <w:rPr>
          <w:spacing w:val="-1"/>
        </w:rPr>
        <w:t>r</w:t>
      </w:r>
      <w:r w:rsidRPr="003C1C89">
        <w:t>d</w:t>
      </w:r>
      <w:r w:rsidRPr="003C1C89">
        <w:rPr>
          <w:spacing w:val="1"/>
        </w:rPr>
        <w:t>e</w:t>
      </w:r>
      <w:r w:rsidRPr="003C1C89">
        <w:t>n</w:t>
      </w:r>
      <w:r w:rsidRPr="003C1C89">
        <w:rPr>
          <w:spacing w:val="15"/>
        </w:rPr>
        <w:t xml:space="preserve"> </w:t>
      </w:r>
      <w:r w:rsidRPr="003C1C89">
        <w:rPr>
          <w:spacing w:val="-2"/>
        </w:rPr>
        <w:t>o</w:t>
      </w:r>
      <w:r w:rsidRPr="003C1C89">
        <w:t>f</w:t>
      </w:r>
      <w:r w:rsidRPr="003C1C89">
        <w:rPr>
          <w:spacing w:val="6"/>
        </w:rPr>
        <w:t xml:space="preserve"> </w:t>
      </w:r>
      <w:r w:rsidRPr="003C1C89">
        <w:rPr>
          <w:spacing w:val="3"/>
        </w:rPr>
        <w:t>c</w:t>
      </w:r>
      <w:r w:rsidRPr="003C1C89">
        <w:t>o</w:t>
      </w:r>
      <w:r w:rsidRPr="003C1C89">
        <w:rPr>
          <w:spacing w:val="-2"/>
        </w:rPr>
        <w:t>v</w:t>
      </w:r>
      <w:r w:rsidRPr="003C1C89">
        <w:rPr>
          <w:spacing w:val="1"/>
        </w:rPr>
        <w:t>e</w:t>
      </w:r>
      <w:r w:rsidRPr="003C1C89">
        <w:rPr>
          <w:spacing w:val="-1"/>
        </w:rPr>
        <w:t>r</w:t>
      </w:r>
      <w:r w:rsidRPr="003C1C89">
        <w:t>ing</w:t>
      </w:r>
      <w:r w:rsidRPr="003C1C89">
        <w:rPr>
          <w:spacing w:val="18"/>
        </w:rPr>
        <w:t xml:space="preserve"> </w:t>
      </w:r>
      <w:r w:rsidRPr="003C1C89">
        <w:t>t</w:t>
      </w:r>
      <w:r w:rsidRPr="003C1C89">
        <w:rPr>
          <w:spacing w:val="-2"/>
        </w:rPr>
        <w:t>h</w:t>
      </w:r>
      <w:r w:rsidRPr="003C1C89">
        <w:t>e</w:t>
      </w:r>
      <w:r w:rsidRPr="003C1C89">
        <w:rPr>
          <w:spacing w:val="8"/>
        </w:rPr>
        <w:t xml:space="preserve"> </w:t>
      </w:r>
      <w:r w:rsidRPr="003C1C89">
        <w:rPr>
          <w:spacing w:val="1"/>
        </w:rPr>
        <w:t>c</w:t>
      </w:r>
      <w:r w:rsidRPr="003C1C89">
        <w:t>o</w:t>
      </w:r>
      <w:r w:rsidRPr="003C1C89">
        <w:rPr>
          <w:spacing w:val="-1"/>
        </w:rPr>
        <w:t>s</w:t>
      </w:r>
      <w:r w:rsidRPr="003C1C89">
        <w:t>ts</w:t>
      </w:r>
      <w:r w:rsidRPr="003C1C89">
        <w:rPr>
          <w:spacing w:val="10"/>
        </w:rPr>
        <w:t xml:space="preserve"> </w:t>
      </w:r>
      <w:r w:rsidRPr="003C1C89">
        <w:t>of</w:t>
      </w:r>
      <w:r w:rsidRPr="003C1C89">
        <w:rPr>
          <w:spacing w:val="8"/>
        </w:rPr>
        <w:t xml:space="preserve"> </w:t>
      </w:r>
      <w:r w:rsidRPr="003C1C89">
        <w:t>t</w:t>
      </w:r>
      <w:r w:rsidRPr="003C1C89">
        <w:rPr>
          <w:spacing w:val="-2"/>
        </w:rPr>
        <w:t>h</w:t>
      </w:r>
      <w:r w:rsidRPr="003C1C89">
        <w:t>e</w:t>
      </w:r>
      <w:r w:rsidRPr="003C1C89">
        <w:rPr>
          <w:spacing w:val="6"/>
        </w:rPr>
        <w:t xml:space="preserve"> </w:t>
      </w:r>
      <w:r w:rsidRPr="003C1C89">
        <w:rPr>
          <w:spacing w:val="1"/>
        </w:rPr>
        <w:t>ac</w:t>
      </w:r>
      <w:r w:rsidRPr="003C1C89">
        <w:t>ti</w:t>
      </w:r>
      <w:r w:rsidRPr="003C1C89">
        <w:rPr>
          <w:spacing w:val="-2"/>
        </w:rPr>
        <w:t>v</w:t>
      </w:r>
      <w:r w:rsidRPr="003C1C89">
        <w:rPr>
          <w:spacing w:val="2"/>
        </w:rPr>
        <w:t>i</w:t>
      </w:r>
      <w:r w:rsidRPr="003C1C89">
        <w:t>ti</w:t>
      </w:r>
      <w:r w:rsidRPr="003C1C89">
        <w:rPr>
          <w:spacing w:val="3"/>
        </w:rPr>
        <w:t>e</w:t>
      </w:r>
      <w:r w:rsidRPr="003C1C89">
        <w:t>s</w:t>
      </w:r>
      <w:r w:rsidRPr="003C1C89">
        <w:rPr>
          <w:spacing w:val="17"/>
        </w:rPr>
        <w:t xml:space="preserve"> </w:t>
      </w:r>
      <w:r w:rsidRPr="003C1C89">
        <w:rPr>
          <w:spacing w:val="-1"/>
        </w:rPr>
        <w:t>s</w:t>
      </w:r>
      <w:r w:rsidRPr="003C1C89">
        <w:t>h</w:t>
      </w:r>
      <w:r w:rsidRPr="003C1C89">
        <w:rPr>
          <w:spacing w:val="1"/>
        </w:rPr>
        <w:t>a</w:t>
      </w:r>
      <w:r w:rsidRPr="003C1C89">
        <w:t>ll</w:t>
      </w:r>
      <w:r w:rsidRPr="003C1C89">
        <w:rPr>
          <w:spacing w:val="10"/>
        </w:rPr>
        <w:t xml:space="preserve"> </w:t>
      </w:r>
      <w:r w:rsidRPr="003C1C89">
        <w:rPr>
          <w:spacing w:val="-2"/>
        </w:rPr>
        <w:t>b</w:t>
      </w:r>
      <w:r w:rsidRPr="003C1C89">
        <w:t>e</w:t>
      </w:r>
      <w:r w:rsidRPr="003C1C89">
        <w:rPr>
          <w:spacing w:val="7"/>
        </w:rPr>
        <w:t xml:space="preserve"> </w:t>
      </w:r>
      <w:r w:rsidRPr="003C1C89">
        <w:t>di</w:t>
      </w:r>
      <w:r w:rsidRPr="003C1C89">
        <w:rPr>
          <w:spacing w:val="1"/>
        </w:rPr>
        <w:t>s</w:t>
      </w:r>
      <w:r w:rsidRPr="003C1C89">
        <w:t>t</w:t>
      </w:r>
      <w:r w:rsidRPr="003C1C89">
        <w:rPr>
          <w:spacing w:val="-1"/>
        </w:rPr>
        <w:t>r</w:t>
      </w:r>
      <w:r w:rsidRPr="003C1C89">
        <w:rPr>
          <w:spacing w:val="2"/>
        </w:rPr>
        <w:t>i</w:t>
      </w:r>
      <w:r w:rsidRPr="003C1C89">
        <w:t>bu</w:t>
      </w:r>
      <w:r w:rsidRPr="003C1C89">
        <w:rPr>
          <w:spacing w:val="-3"/>
        </w:rPr>
        <w:t>t</w:t>
      </w:r>
      <w:r w:rsidRPr="003C1C89">
        <w:rPr>
          <w:spacing w:val="1"/>
        </w:rPr>
        <w:t>e</w:t>
      </w:r>
      <w:r w:rsidRPr="003C1C89">
        <w:t>d</w:t>
      </w:r>
      <w:r w:rsidRPr="003C1C89">
        <w:rPr>
          <w:spacing w:val="22"/>
        </w:rPr>
        <w:t xml:space="preserve"> </w:t>
      </w:r>
      <w:r w:rsidRPr="003C1C89">
        <w:rPr>
          <w:spacing w:val="-2"/>
        </w:rPr>
        <w:t>a</w:t>
      </w:r>
      <w:r w:rsidRPr="003C1C89">
        <w:t>mong</w:t>
      </w:r>
      <w:r w:rsidRPr="003C1C89">
        <w:rPr>
          <w:spacing w:val="15"/>
        </w:rPr>
        <w:t xml:space="preserve"> </w:t>
      </w:r>
      <w:r w:rsidRPr="003C1C89">
        <w:t>t</w:t>
      </w:r>
      <w:r w:rsidRPr="003C1C89">
        <w:rPr>
          <w:spacing w:val="-2"/>
        </w:rPr>
        <w:t>h</w:t>
      </w:r>
      <w:r w:rsidRPr="003C1C89">
        <w:t>e</w:t>
      </w:r>
      <w:r w:rsidRPr="003C1C89">
        <w:rPr>
          <w:spacing w:val="8"/>
        </w:rPr>
        <w:t xml:space="preserve"> </w:t>
      </w:r>
      <w:r w:rsidRPr="003C1C89">
        <w:rPr>
          <w:w w:val="102"/>
        </w:rPr>
        <w:t>P</w:t>
      </w:r>
      <w:r w:rsidRPr="003C1C89">
        <w:rPr>
          <w:spacing w:val="1"/>
          <w:w w:val="102"/>
        </w:rPr>
        <w:t>a</w:t>
      </w:r>
      <w:r w:rsidRPr="003C1C89">
        <w:rPr>
          <w:spacing w:val="-1"/>
          <w:w w:val="102"/>
        </w:rPr>
        <w:t>r</w:t>
      </w:r>
      <w:r w:rsidRPr="003C1C89">
        <w:rPr>
          <w:w w:val="102"/>
        </w:rPr>
        <w:t>ti</w:t>
      </w:r>
      <w:r w:rsidRPr="003C1C89">
        <w:rPr>
          <w:spacing w:val="1"/>
          <w:w w:val="102"/>
        </w:rPr>
        <w:t>e</w:t>
      </w:r>
      <w:r w:rsidRPr="003C1C89">
        <w:rPr>
          <w:w w:val="102"/>
        </w:rPr>
        <w:t xml:space="preserve">s </w:t>
      </w:r>
      <w:r w:rsidRPr="003C1C89">
        <w:rPr>
          <w:spacing w:val="1"/>
        </w:rPr>
        <w:t>a</w:t>
      </w:r>
      <w:r w:rsidRPr="003C1C89">
        <w:t>nd</w:t>
      </w:r>
      <w:r w:rsidRPr="003C1C89">
        <w:rPr>
          <w:spacing w:val="9"/>
        </w:rPr>
        <w:t xml:space="preserve"> </w:t>
      </w:r>
      <w:r w:rsidRPr="003C1C89">
        <w:rPr>
          <w:spacing w:val="-3"/>
        </w:rPr>
        <w:t>S</w:t>
      </w:r>
      <w:r w:rsidRPr="003C1C89">
        <w:rPr>
          <w:spacing w:val="2"/>
        </w:rPr>
        <w:t>i</w:t>
      </w:r>
      <w:r w:rsidRPr="003C1C89">
        <w:rPr>
          <w:spacing w:val="-2"/>
        </w:rPr>
        <w:t>g</w:t>
      </w:r>
      <w:r w:rsidRPr="003C1C89">
        <w:t>n</w:t>
      </w:r>
      <w:r w:rsidRPr="003C1C89">
        <w:rPr>
          <w:spacing w:val="1"/>
        </w:rPr>
        <w:t>a</w:t>
      </w:r>
      <w:r w:rsidRPr="003C1C89">
        <w:t>to</w:t>
      </w:r>
      <w:r w:rsidRPr="003C1C89">
        <w:rPr>
          <w:spacing w:val="-1"/>
        </w:rPr>
        <w:t>r</w:t>
      </w:r>
      <w:r w:rsidRPr="003C1C89">
        <w:rPr>
          <w:spacing w:val="2"/>
        </w:rPr>
        <w:t>i</w:t>
      </w:r>
      <w:r w:rsidRPr="003C1C89">
        <w:rPr>
          <w:spacing w:val="1"/>
        </w:rPr>
        <w:t>e</w:t>
      </w:r>
      <w:r w:rsidRPr="003C1C89">
        <w:t>s</w:t>
      </w:r>
      <w:r w:rsidRPr="003C1C89">
        <w:rPr>
          <w:spacing w:val="21"/>
        </w:rPr>
        <w:t xml:space="preserve"> </w:t>
      </w:r>
      <w:r w:rsidRPr="003C1C89">
        <w:t>to</w:t>
      </w:r>
      <w:r w:rsidRPr="003C1C89">
        <w:rPr>
          <w:spacing w:val="6"/>
        </w:rPr>
        <w:t xml:space="preserve"> </w:t>
      </w:r>
      <w:r w:rsidRPr="003C1C89">
        <w:t>t</w:t>
      </w:r>
      <w:r w:rsidRPr="003C1C89">
        <w:rPr>
          <w:spacing w:val="-2"/>
        </w:rPr>
        <w:t>h</w:t>
      </w:r>
      <w:r w:rsidRPr="003C1C89">
        <w:t>e</w:t>
      </w:r>
      <w:r w:rsidRPr="003C1C89">
        <w:rPr>
          <w:spacing w:val="8"/>
        </w:rPr>
        <w:t xml:space="preserve"> </w:t>
      </w:r>
      <w:r w:rsidRPr="003C1C89">
        <w:t xml:space="preserve">Convention </w:t>
      </w:r>
      <w:r w:rsidRPr="003C1C89">
        <w:rPr>
          <w:spacing w:val="2"/>
        </w:rPr>
        <w:t>i</w:t>
      </w:r>
      <w:r w:rsidRPr="003C1C89">
        <w:t>n</w:t>
      </w:r>
      <w:r w:rsidRPr="003C1C89">
        <w:rPr>
          <w:spacing w:val="3"/>
        </w:rPr>
        <w:t xml:space="preserve"> </w:t>
      </w:r>
      <w:r w:rsidRPr="003C1C89">
        <w:t>p</w:t>
      </w:r>
      <w:r w:rsidRPr="003C1C89">
        <w:rPr>
          <w:spacing w:val="-1"/>
        </w:rPr>
        <w:t>r</w:t>
      </w:r>
      <w:r w:rsidRPr="003C1C89">
        <w:t>opo</w:t>
      </w:r>
      <w:r w:rsidRPr="003C1C89">
        <w:rPr>
          <w:spacing w:val="-1"/>
        </w:rPr>
        <w:t>r</w:t>
      </w:r>
      <w:r w:rsidRPr="003C1C89">
        <w:t>t</w:t>
      </w:r>
      <w:r w:rsidRPr="003C1C89">
        <w:rPr>
          <w:spacing w:val="2"/>
        </w:rPr>
        <w:t>i</w:t>
      </w:r>
      <w:r w:rsidRPr="003C1C89">
        <w:t>on</w:t>
      </w:r>
      <w:r w:rsidRPr="003C1C89">
        <w:rPr>
          <w:spacing w:val="19"/>
        </w:rPr>
        <w:t xml:space="preserve"> </w:t>
      </w:r>
      <w:r w:rsidRPr="003C1C89">
        <w:rPr>
          <w:spacing w:val="2"/>
        </w:rPr>
        <w:t>t</w:t>
      </w:r>
      <w:r w:rsidRPr="003C1C89">
        <w:t>o</w:t>
      </w:r>
      <w:r w:rsidRPr="003C1C89">
        <w:rPr>
          <w:spacing w:val="3"/>
        </w:rPr>
        <w:t xml:space="preserve"> </w:t>
      </w:r>
      <w:r w:rsidRPr="003C1C89">
        <w:t>t</w:t>
      </w:r>
      <w:r w:rsidRPr="003C1C89">
        <w:rPr>
          <w:spacing w:val="-2"/>
        </w:rPr>
        <w:t>h</w:t>
      </w:r>
      <w:r w:rsidRPr="003C1C89">
        <w:t>e</w:t>
      </w:r>
      <w:r w:rsidRPr="003C1C89">
        <w:rPr>
          <w:spacing w:val="8"/>
        </w:rPr>
        <w:t xml:space="preserve"> </w:t>
      </w:r>
      <w:r w:rsidRPr="003C1C89">
        <w:rPr>
          <w:spacing w:val="1"/>
        </w:rPr>
        <w:t>U</w:t>
      </w:r>
      <w:r w:rsidRPr="003C1C89">
        <w:t>ni</w:t>
      </w:r>
      <w:r w:rsidRPr="003C1C89">
        <w:rPr>
          <w:spacing w:val="2"/>
        </w:rPr>
        <w:t>t</w:t>
      </w:r>
      <w:r w:rsidRPr="003C1C89">
        <w:rPr>
          <w:spacing w:val="1"/>
        </w:rPr>
        <w:t>e</w:t>
      </w:r>
      <w:r w:rsidRPr="003C1C89">
        <w:t>d</w:t>
      </w:r>
      <w:r w:rsidRPr="003C1C89">
        <w:rPr>
          <w:spacing w:val="12"/>
        </w:rPr>
        <w:t xml:space="preserve"> </w:t>
      </w:r>
      <w:r w:rsidRPr="003C1C89">
        <w:rPr>
          <w:spacing w:val="-2"/>
        </w:rPr>
        <w:t>N</w:t>
      </w:r>
      <w:r w:rsidRPr="003C1C89">
        <w:rPr>
          <w:spacing w:val="1"/>
        </w:rPr>
        <w:t>a</w:t>
      </w:r>
      <w:r w:rsidRPr="003C1C89">
        <w:rPr>
          <w:spacing w:val="2"/>
        </w:rPr>
        <w:t>t</w:t>
      </w:r>
      <w:r w:rsidRPr="003C1C89">
        <w:t>ions</w:t>
      </w:r>
      <w:r w:rsidRPr="003C1C89">
        <w:rPr>
          <w:spacing w:val="15"/>
        </w:rPr>
        <w:t xml:space="preserve"> </w:t>
      </w:r>
      <w:r w:rsidRPr="003C1C89">
        <w:rPr>
          <w:spacing w:val="-1"/>
        </w:rPr>
        <w:t>s</w:t>
      </w:r>
      <w:r w:rsidRPr="003C1C89">
        <w:rPr>
          <w:spacing w:val="-2"/>
        </w:rPr>
        <w:t>c</w:t>
      </w:r>
      <w:r w:rsidRPr="003C1C89">
        <w:rPr>
          <w:spacing w:val="3"/>
        </w:rPr>
        <w:t>a</w:t>
      </w:r>
      <w:r w:rsidRPr="003C1C89">
        <w:t>le</w:t>
      </w:r>
      <w:r w:rsidRPr="003C1C89">
        <w:rPr>
          <w:spacing w:val="12"/>
        </w:rPr>
        <w:t xml:space="preserve"> </w:t>
      </w:r>
      <w:r w:rsidRPr="003C1C89">
        <w:rPr>
          <w:spacing w:val="-2"/>
        </w:rPr>
        <w:t>o</w:t>
      </w:r>
      <w:r w:rsidRPr="003C1C89">
        <w:t>f</w:t>
      </w:r>
      <w:r w:rsidRPr="003C1C89">
        <w:rPr>
          <w:spacing w:val="4"/>
        </w:rPr>
        <w:t xml:space="preserve"> </w:t>
      </w:r>
      <w:r w:rsidRPr="003C1C89">
        <w:rPr>
          <w:spacing w:val="3"/>
        </w:rPr>
        <w:t>a</w:t>
      </w:r>
      <w:r w:rsidRPr="003C1C89">
        <w:rPr>
          <w:spacing w:val="-1"/>
        </w:rPr>
        <w:t>s</w:t>
      </w:r>
      <w:r w:rsidRPr="003C1C89">
        <w:rPr>
          <w:spacing w:val="1"/>
        </w:rPr>
        <w:t>se</w:t>
      </w:r>
      <w:r w:rsidRPr="003C1C89">
        <w:rPr>
          <w:spacing w:val="-1"/>
        </w:rPr>
        <w:t>s</w:t>
      </w:r>
      <w:r w:rsidRPr="003C1C89">
        <w:rPr>
          <w:spacing w:val="1"/>
        </w:rPr>
        <w:t>s</w:t>
      </w:r>
      <w:r w:rsidRPr="003C1C89">
        <w:t>m</w:t>
      </w:r>
      <w:r w:rsidRPr="003C1C89">
        <w:rPr>
          <w:spacing w:val="1"/>
        </w:rPr>
        <w:t>e</w:t>
      </w:r>
      <w:r w:rsidRPr="003C1C89">
        <w:rPr>
          <w:spacing w:val="-2"/>
        </w:rPr>
        <w:t>n</w:t>
      </w:r>
      <w:r w:rsidRPr="003C1C89">
        <w:rPr>
          <w:spacing w:val="2"/>
        </w:rPr>
        <w:t>t</w:t>
      </w:r>
      <w:r w:rsidRPr="003C1C89">
        <w:t>s,</w:t>
      </w:r>
      <w:r w:rsidRPr="003C1C89">
        <w:rPr>
          <w:rStyle w:val="FootnoteReference"/>
        </w:rPr>
        <w:footnoteReference w:id="9"/>
      </w:r>
      <w:r w:rsidRPr="003C1C89">
        <w:t xml:space="preserve"> with the indicative contribution of each Party for 20</w:t>
      </w:r>
      <w:r>
        <w:t>2</w:t>
      </w:r>
      <w:r w:rsidRPr="003C1C89">
        <w:t>1 being as shown in the annex hereto</w:t>
      </w:r>
      <w:r>
        <w:rPr>
          <w:w w:val="102"/>
        </w:rPr>
        <w:t>;</w:t>
      </w:r>
    </w:p>
    <w:p w14:paraId="1D6D1BAC" w14:textId="77777777" w:rsidR="00040253" w:rsidRPr="003C1C89" w:rsidRDefault="00040253" w:rsidP="00040253">
      <w:pPr>
        <w:pStyle w:val="SingleTxtG"/>
        <w:ind w:firstLine="567"/>
      </w:pPr>
      <w:r w:rsidRPr="003C1C89">
        <w:rPr>
          <w:spacing w:val="-1"/>
        </w:rPr>
        <w:lastRenderedPageBreak/>
        <w:t>(</w:t>
      </w:r>
      <w:r w:rsidRPr="003C1C89">
        <w:t>c)</w:t>
      </w:r>
      <w:r w:rsidRPr="003C1C89">
        <w:rPr>
          <w:spacing w:val="26"/>
        </w:rPr>
        <w:tab/>
      </w:r>
      <w:r w:rsidRPr="003C1C89">
        <w:rPr>
          <w:spacing w:val="-1"/>
        </w:rPr>
        <w:t>T</w:t>
      </w:r>
      <w:r w:rsidRPr="003C1C89">
        <w:t>he</w:t>
      </w:r>
      <w:r w:rsidRPr="003C1C89">
        <w:rPr>
          <w:spacing w:val="10"/>
        </w:rPr>
        <w:t xml:space="preserve"> </w:t>
      </w:r>
      <w:r w:rsidRPr="003C1C89">
        <w:rPr>
          <w:spacing w:val="1"/>
        </w:rPr>
        <w:t>s</w:t>
      </w:r>
      <w:r w:rsidRPr="003C1C89">
        <w:rPr>
          <w:spacing w:val="-2"/>
        </w:rPr>
        <w:t>c</w:t>
      </w:r>
      <w:r w:rsidRPr="003C1C89">
        <w:rPr>
          <w:spacing w:val="1"/>
        </w:rPr>
        <w:t>a</w:t>
      </w:r>
      <w:r w:rsidRPr="003C1C89">
        <w:t>le</w:t>
      </w:r>
      <w:r w:rsidRPr="003C1C89">
        <w:rPr>
          <w:spacing w:val="10"/>
        </w:rPr>
        <w:t xml:space="preserve"> </w:t>
      </w:r>
      <w:r w:rsidRPr="003C1C89">
        <w:t>of</w:t>
      </w:r>
      <w:r w:rsidRPr="003C1C89">
        <w:rPr>
          <w:spacing w:val="6"/>
        </w:rPr>
        <w:t xml:space="preserve"> </w:t>
      </w:r>
      <w:r w:rsidRPr="003C1C89">
        <w:rPr>
          <w:spacing w:val="1"/>
        </w:rPr>
        <w:t>as</w:t>
      </w:r>
      <w:r w:rsidRPr="003C1C89">
        <w:rPr>
          <w:spacing w:val="-1"/>
        </w:rPr>
        <w:t>s</w:t>
      </w:r>
      <w:r w:rsidRPr="003C1C89">
        <w:rPr>
          <w:spacing w:val="1"/>
        </w:rPr>
        <w:t>es</w:t>
      </w:r>
      <w:r w:rsidRPr="003C1C89">
        <w:rPr>
          <w:spacing w:val="-1"/>
        </w:rPr>
        <w:t>s</w:t>
      </w:r>
      <w:r w:rsidRPr="003C1C89">
        <w:t>m</w:t>
      </w:r>
      <w:r w:rsidRPr="003C1C89">
        <w:rPr>
          <w:spacing w:val="1"/>
        </w:rPr>
        <w:t>e</w:t>
      </w:r>
      <w:r w:rsidRPr="003C1C89">
        <w:t>nts</w:t>
      </w:r>
      <w:r w:rsidRPr="003C1C89">
        <w:rPr>
          <w:spacing w:val="20"/>
        </w:rPr>
        <w:t xml:space="preserve"> </w:t>
      </w:r>
      <w:r w:rsidRPr="003C1C89">
        <w:rPr>
          <w:spacing w:val="1"/>
        </w:rPr>
        <w:t>s</w:t>
      </w:r>
      <w:r w:rsidRPr="003C1C89">
        <w:t>h</w:t>
      </w:r>
      <w:r w:rsidRPr="003C1C89">
        <w:rPr>
          <w:spacing w:val="1"/>
        </w:rPr>
        <w:t>a</w:t>
      </w:r>
      <w:r w:rsidRPr="003C1C89">
        <w:rPr>
          <w:spacing w:val="2"/>
        </w:rPr>
        <w:t>l</w:t>
      </w:r>
      <w:r w:rsidRPr="003C1C89">
        <w:t>l</w:t>
      </w:r>
      <w:r w:rsidRPr="003C1C89">
        <w:rPr>
          <w:spacing w:val="10"/>
        </w:rPr>
        <w:t xml:space="preserve"> </w:t>
      </w:r>
      <w:r w:rsidRPr="003C1C89">
        <w:rPr>
          <w:spacing w:val="-2"/>
        </w:rPr>
        <w:t>b</w:t>
      </w:r>
      <w:r w:rsidRPr="003C1C89">
        <w:t>e</w:t>
      </w:r>
      <w:r w:rsidRPr="003C1C89">
        <w:rPr>
          <w:spacing w:val="5"/>
        </w:rPr>
        <w:t xml:space="preserve"> </w:t>
      </w:r>
      <w:r w:rsidRPr="003C1C89">
        <w:rPr>
          <w:spacing w:val="3"/>
        </w:rPr>
        <w:t>a</w:t>
      </w:r>
      <w:r w:rsidRPr="003C1C89">
        <w:rPr>
          <w:spacing w:val="-2"/>
        </w:rPr>
        <w:t>d</w:t>
      </w:r>
      <w:r w:rsidRPr="003C1C89">
        <w:t>ju</w:t>
      </w:r>
      <w:r w:rsidRPr="003C1C89">
        <w:rPr>
          <w:spacing w:val="1"/>
        </w:rPr>
        <w:t>s</w:t>
      </w:r>
      <w:r w:rsidRPr="003C1C89">
        <w:t>t</w:t>
      </w:r>
      <w:r w:rsidRPr="003C1C89">
        <w:rPr>
          <w:spacing w:val="1"/>
        </w:rPr>
        <w:t>e</w:t>
      </w:r>
      <w:r w:rsidRPr="003C1C89">
        <w:t>d</w:t>
      </w:r>
      <w:r w:rsidRPr="003C1C89">
        <w:rPr>
          <w:spacing w:val="15"/>
        </w:rPr>
        <w:t xml:space="preserve"> </w:t>
      </w:r>
      <w:r w:rsidRPr="003C1C89">
        <w:rPr>
          <w:spacing w:val="1"/>
        </w:rPr>
        <w:t>s</w:t>
      </w:r>
      <w:r w:rsidRPr="003C1C89">
        <w:t>o</w:t>
      </w:r>
      <w:r w:rsidRPr="003C1C89">
        <w:rPr>
          <w:spacing w:val="4"/>
        </w:rPr>
        <w:t xml:space="preserve"> </w:t>
      </w:r>
      <w:r w:rsidRPr="003C1C89">
        <w:t>th</w:t>
      </w:r>
      <w:r w:rsidRPr="003C1C89">
        <w:rPr>
          <w:spacing w:val="1"/>
        </w:rPr>
        <w:t>a</w:t>
      </w:r>
      <w:r w:rsidRPr="003C1C89">
        <w:t>t</w:t>
      </w:r>
      <w:r w:rsidRPr="003C1C89">
        <w:rPr>
          <w:spacing w:val="7"/>
        </w:rPr>
        <w:t xml:space="preserve"> </w:t>
      </w:r>
      <w:r w:rsidRPr="003C1C89">
        <w:t>no</w:t>
      </w:r>
      <w:r w:rsidRPr="003C1C89">
        <w:rPr>
          <w:spacing w:val="7"/>
        </w:rPr>
        <w:t xml:space="preserve"> </w:t>
      </w:r>
      <w:r w:rsidRPr="003C1C89">
        <w:t>P</w:t>
      </w:r>
      <w:r w:rsidRPr="003C1C89">
        <w:rPr>
          <w:spacing w:val="1"/>
        </w:rPr>
        <w:t>a</w:t>
      </w:r>
      <w:r w:rsidRPr="003C1C89">
        <w:rPr>
          <w:spacing w:val="-1"/>
        </w:rPr>
        <w:t>r</w:t>
      </w:r>
      <w:r w:rsidRPr="003C1C89">
        <w:t>ty</w:t>
      </w:r>
      <w:r w:rsidRPr="003C1C89">
        <w:rPr>
          <w:spacing w:val="12"/>
        </w:rPr>
        <w:t xml:space="preserve"> </w:t>
      </w:r>
      <w:r w:rsidRPr="003C1C89">
        <w:rPr>
          <w:spacing w:val="1"/>
        </w:rPr>
        <w:t xml:space="preserve">or </w:t>
      </w:r>
      <w:r>
        <w:rPr>
          <w:spacing w:val="-3"/>
        </w:rPr>
        <w:t>S</w:t>
      </w:r>
      <w:r w:rsidRPr="003C1C89">
        <w:rPr>
          <w:spacing w:val="2"/>
        </w:rPr>
        <w:t>i</w:t>
      </w:r>
      <w:r w:rsidRPr="003C1C89">
        <w:rPr>
          <w:spacing w:val="-2"/>
        </w:rPr>
        <w:t>g</w:t>
      </w:r>
      <w:r w:rsidRPr="003C1C89">
        <w:t>n</w:t>
      </w:r>
      <w:r w:rsidRPr="003C1C89">
        <w:rPr>
          <w:spacing w:val="1"/>
        </w:rPr>
        <w:t>a</w:t>
      </w:r>
      <w:r w:rsidRPr="003C1C89">
        <w:t>to</w:t>
      </w:r>
      <w:r w:rsidRPr="003C1C89">
        <w:rPr>
          <w:spacing w:val="-1"/>
        </w:rPr>
        <w:t>r</w:t>
      </w:r>
      <w:r w:rsidRPr="003C1C89">
        <w:t>y</w:t>
      </w:r>
      <w:r w:rsidRPr="003C1C89">
        <w:rPr>
          <w:spacing w:val="20"/>
        </w:rPr>
        <w:t xml:space="preserve"> </w:t>
      </w:r>
      <w:r w:rsidRPr="003C1C89">
        <w:rPr>
          <w:spacing w:val="1"/>
        </w:rPr>
        <w:t xml:space="preserve">is </w:t>
      </w:r>
      <w:r w:rsidRPr="003C1C89">
        <w:rPr>
          <w:spacing w:val="-1"/>
        </w:rPr>
        <w:t>r</w:t>
      </w:r>
      <w:r w:rsidRPr="003C1C89">
        <w:rPr>
          <w:spacing w:val="1"/>
        </w:rPr>
        <w:t>e</w:t>
      </w:r>
      <w:r w:rsidRPr="003C1C89">
        <w:t>qu</w:t>
      </w:r>
      <w:r w:rsidRPr="003C1C89">
        <w:rPr>
          <w:spacing w:val="2"/>
        </w:rPr>
        <w:t>i</w:t>
      </w:r>
      <w:r w:rsidRPr="003C1C89">
        <w:rPr>
          <w:spacing w:val="-1"/>
        </w:rPr>
        <w:t>r</w:t>
      </w:r>
      <w:r w:rsidRPr="003C1C89">
        <w:rPr>
          <w:spacing w:val="1"/>
        </w:rPr>
        <w:t>e</w:t>
      </w:r>
      <w:r w:rsidRPr="003C1C89">
        <w:t>d</w:t>
      </w:r>
      <w:r w:rsidRPr="003C1C89">
        <w:rPr>
          <w:spacing w:val="15"/>
        </w:rPr>
        <w:t xml:space="preserve"> </w:t>
      </w:r>
      <w:r w:rsidRPr="003C1C89">
        <w:rPr>
          <w:w w:val="102"/>
        </w:rPr>
        <w:t xml:space="preserve">to </w:t>
      </w:r>
      <w:r w:rsidRPr="003C1C89">
        <w:rPr>
          <w:spacing w:val="1"/>
        </w:rPr>
        <w:t>c</w:t>
      </w:r>
      <w:r w:rsidRPr="003C1C89">
        <w:t>ont</w:t>
      </w:r>
      <w:r w:rsidRPr="003C1C89">
        <w:rPr>
          <w:spacing w:val="-1"/>
        </w:rPr>
        <w:t>r</w:t>
      </w:r>
      <w:r w:rsidRPr="003C1C89">
        <w:rPr>
          <w:spacing w:val="2"/>
        </w:rPr>
        <w:t>i</w:t>
      </w:r>
      <w:r w:rsidRPr="003C1C89">
        <w:t>bu</w:t>
      </w:r>
      <w:r w:rsidRPr="003C1C89">
        <w:rPr>
          <w:spacing w:val="-3"/>
        </w:rPr>
        <w:t>t</w:t>
      </w:r>
      <w:r w:rsidRPr="003C1C89">
        <w:t>e</w:t>
      </w:r>
      <w:r w:rsidRPr="003C1C89">
        <w:rPr>
          <w:spacing w:val="21"/>
        </w:rPr>
        <w:t xml:space="preserve"> </w:t>
      </w:r>
      <w:r w:rsidRPr="003C1C89">
        <w:t>mo</w:t>
      </w:r>
      <w:r w:rsidRPr="003C1C89">
        <w:rPr>
          <w:spacing w:val="-1"/>
        </w:rPr>
        <w:t>r</w:t>
      </w:r>
      <w:r w:rsidRPr="003C1C89">
        <w:t>e</w:t>
      </w:r>
      <w:r w:rsidRPr="003C1C89">
        <w:rPr>
          <w:spacing w:val="12"/>
        </w:rPr>
        <w:t xml:space="preserve"> </w:t>
      </w:r>
      <w:r w:rsidRPr="003C1C89">
        <w:t>t</w:t>
      </w:r>
      <w:r w:rsidRPr="003C1C89">
        <w:rPr>
          <w:spacing w:val="-2"/>
        </w:rPr>
        <w:t>h</w:t>
      </w:r>
      <w:r w:rsidRPr="003C1C89">
        <w:rPr>
          <w:spacing w:val="3"/>
        </w:rPr>
        <w:t>a</w:t>
      </w:r>
      <w:r w:rsidRPr="003C1C89">
        <w:t>n</w:t>
      </w:r>
      <w:r w:rsidRPr="003C1C89">
        <w:rPr>
          <w:spacing w:val="8"/>
        </w:rPr>
        <w:t xml:space="preserve"> </w:t>
      </w:r>
      <w:r w:rsidRPr="003C1C89">
        <w:t>22 p</w:t>
      </w:r>
      <w:r w:rsidRPr="003C1C89">
        <w:rPr>
          <w:spacing w:val="1"/>
        </w:rPr>
        <w:t>e</w:t>
      </w:r>
      <w:r w:rsidRPr="003C1C89">
        <w:t>r</w:t>
      </w:r>
      <w:r w:rsidRPr="003C1C89">
        <w:rPr>
          <w:spacing w:val="8"/>
        </w:rPr>
        <w:t xml:space="preserve"> </w:t>
      </w:r>
      <w:r w:rsidRPr="003C1C89">
        <w:rPr>
          <w:spacing w:val="-2"/>
        </w:rPr>
        <w:t>c</w:t>
      </w:r>
      <w:r w:rsidRPr="003C1C89">
        <w:rPr>
          <w:spacing w:val="1"/>
        </w:rPr>
        <w:t>e</w:t>
      </w:r>
      <w:r w:rsidRPr="003C1C89">
        <w:t>nt</w:t>
      </w:r>
      <w:r w:rsidRPr="003C1C89">
        <w:rPr>
          <w:rStyle w:val="FootnoteReference"/>
        </w:rPr>
        <w:footnoteReference w:id="10"/>
      </w:r>
      <w:r w:rsidRPr="003C1C89">
        <w:rPr>
          <w:spacing w:val="9"/>
        </w:rPr>
        <w:t xml:space="preserve"> </w:t>
      </w:r>
      <w:r w:rsidRPr="003C1C89">
        <w:t>of</w:t>
      </w:r>
      <w:r w:rsidRPr="003C1C89">
        <w:rPr>
          <w:spacing w:val="6"/>
        </w:rPr>
        <w:t xml:space="preserve"> </w:t>
      </w:r>
      <w:r w:rsidRPr="003C1C89">
        <w:t>the</w:t>
      </w:r>
      <w:r w:rsidRPr="003C1C89">
        <w:rPr>
          <w:spacing w:val="6"/>
        </w:rPr>
        <w:t xml:space="preserve"> </w:t>
      </w:r>
      <w:r w:rsidRPr="003C1C89">
        <w:rPr>
          <w:spacing w:val="1"/>
        </w:rPr>
        <w:t>es</w:t>
      </w:r>
      <w:r w:rsidRPr="003C1C89">
        <w:t>tim</w:t>
      </w:r>
      <w:r w:rsidRPr="003C1C89">
        <w:rPr>
          <w:spacing w:val="1"/>
        </w:rPr>
        <w:t>a</w:t>
      </w:r>
      <w:r w:rsidRPr="003C1C89">
        <w:t>t</w:t>
      </w:r>
      <w:r w:rsidRPr="003C1C89">
        <w:rPr>
          <w:spacing w:val="1"/>
        </w:rPr>
        <w:t>e</w:t>
      </w:r>
      <w:r w:rsidRPr="003C1C89">
        <w:t>d</w:t>
      </w:r>
      <w:r w:rsidRPr="003C1C89">
        <w:rPr>
          <w:spacing w:val="15"/>
        </w:rPr>
        <w:t xml:space="preserve"> </w:t>
      </w:r>
      <w:r w:rsidRPr="003C1C89">
        <w:rPr>
          <w:spacing w:val="3"/>
        </w:rPr>
        <w:t>c</w:t>
      </w:r>
      <w:r w:rsidRPr="003C1C89">
        <w:t>o</w:t>
      </w:r>
      <w:r w:rsidRPr="003C1C89">
        <w:rPr>
          <w:spacing w:val="-1"/>
        </w:rPr>
        <w:t>s</w:t>
      </w:r>
      <w:r w:rsidRPr="003C1C89">
        <w:rPr>
          <w:spacing w:val="2"/>
        </w:rPr>
        <w:t>t</w:t>
      </w:r>
      <w:r w:rsidRPr="003C1C89">
        <w:t>s</w:t>
      </w:r>
      <w:r w:rsidRPr="003C1C89">
        <w:rPr>
          <w:spacing w:val="10"/>
        </w:rPr>
        <w:t xml:space="preserve"> </w:t>
      </w:r>
      <w:r w:rsidRPr="003C1C89">
        <w:t>to</w:t>
      </w:r>
      <w:r w:rsidRPr="003C1C89">
        <w:rPr>
          <w:spacing w:val="6"/>
        </w:rPr>
        <w:t xml:space="preserve"> </w:t>
      </w:r>
      <w:r w:rsidRPr="003C1C89">
        <w:rPr>
          <w:spacing w:val="-2"/>
        </w:rPr>
        <w:t>b</w:t>
      </w:r>
      <w:r w:rsidRPr="003C1C89">
        <w:t>e</w:t>
      </w:r>
      <w:r w:rsidRPr="003C1C89">
        <w:rPr>
          <w:spacing w:val="5"/>
        </w:rPr>
        <w:t xml:space="preserve"> </w:t>
      </w:r>
      <w:r w:rsidRPr="003C1C89">
        <w:rPr>
          <w:spacing w:val="3"/>
        </w:rPr>
        <w:t>c</w:t>
      </w:r>
      <w:r w:rsidRPr="003C1C89">
        <w:t>o</w:t>
      </w:r>
      <w:r w:rsidRPr="003C1C89">
        <w:rPr>
          <w:spacing w:val="-2"/>
        </w:rPr>
        <w:t>v</w:t>
      </w:r>
      <w:r w:rsidRPr="003C1C89">
        <w:rPr>
          <w:spacing w:val="1"/>
        </w:rPr>
        <w:t>e</w:t>
      </w:r>
      <w:r w:rsidRPr="003C1C89">
        <w:rPr>
          <w:spacing w:val="-1"/>
        </w:rPr>
        <w:t>r</w:t>
      </w:r>
      <w:r w:rsidRPr="003C1C89">
        <w:rPr>
          <w:spacing w:val="1"/>
        </w:rPr>
        <w:t>e</w:t>
      </w:r>
      <w:r w:rsidRPr="003C1C89">
        <w:t>d</w:t>
      </w:r>
      <w:r w:rsidRPr="003C1C89">
        <w:rPr>
          <w:spacing w:val="17"/>
        </w:rPr>
        <w:t xml:space="preserve"> </w:t>
      </w:r>
      <w:r w:rsidRPr="003C1C89">
        <w:t>by</w:t>
      </w:r>
      <w:r w:rsidRPr="003C1C89">
        <w:rPr>
          <w:spacing w:val="4"/>
        </w:rPr>
        <w:t xml:space="preserve"> </w:t>
      </w:r>
      <w:r w:rsidRPr="003C1C89">
        <w:t>t</w:t>
      </w:r>
      <w:r w:rsidRPr="003C1C89">
        <w:rPr>
          <w:spacing w:val="-2"/>
        </w:rPr>
        <w:t>h</w:t>
      </w:r>
      <w:r w:rsidRPr="003C1C89">
        <w:t>e</w:t>
      </w:r>
      <w:r w:rsidRPr="003C1C89">
        <w:rPr>
          <w:spacing w:val="8"/>
        </w:rPr>
        <w:t xml:space="preserve"> </w:t>
      </w:r>
      <w:proofErr w:type="gramStart"/>
      <w:r w:rsidRPr="003C1C89">
        <w:rPr>
          <w:spacing w:val="-1"/>
          <w:w w:val="102"/>
        </w:rPr>
        <w:t>s</w:t>
      </w:r>
      <w:r w:rsidRPr="003C1C89">
        <w:rPr>
          <w:spacing w:val="3"/>
          <w:w w:val="102"/>
        </w:rPr>
        <w:t>c</w:t>
      </w:r>
      <w:r w:rsidRPr="003C1C89">
        <w:rPr>
          <w:spacing w:val="-2"/>
          <w:w w:val="102"/>
        </w:rPr>
        <w:t>h</w:t>
      </w:r>
      <w:r w:rsidRPr="003C1C89">
        <w:rPr>
          <w:spacing w:val="1"/>
          <w:w w:val="102"/>
        </w:rPr>
        <w:t>e</w:t>
      </w:r>
      <w:r w:rsidRPr="003C1C89">
        <w:rPr>
          <w:spacing w:val="-2"/>
          <w:w w:val="102"/>
        </w:rPr>
        <w:t>m</w:t>
      </w:r>
      <w:r w:rsidRPr="003C1C89">
        <w:rPr>
          <w:spacing w:val="3"/>
          <w:w w:val="102"/>
        </w:rPr>
        <w:t>e</w:t>
      </w:r>
      <w:r>
        <w:rPr>
          <w:w w:val="102"/>
        </w:rPr>
        <w:t>;</w:t>
      </w:r>
      <w:proofErr w:type="gramEnd"/>
    </w:p>
    <w:p w14:paraId="7DCB5DDD" w14:textId="77777777" w:rsidR="00040253" w:rsidRDefault="00040253" w:rsidP="00040253">
      <w:pPr>
        <w:pStyle w:val="SingleTxtG"/>
        <w:ind w:firstLine="567"/>
        <w:rPr>
          <w:w w:val="102"/>
        </w:rPr>
      </w:pPr>
      <w:r w:rsidRPr="003C1C89">
        <w:rPr>
          <w:spacing w:val="-1"/>
        </w:rPr>
        <w:t>(</w:t>
      </w:r>
      <w:r w:rsidRPr="003C1C89">
        <w:rPr>
          <w:spacing w:val="1"/>
        </w:rPr>
        <w:t>d</w:t>
      </w:r>
      <w:r w:rsidRPr="003C1C89">
        <w:t>)</w:t>
      </w:r>
      <w:r w:rsidRPr="003C1C89">
        <w:rPr>
          <w:spacing w:val="38"/>
        </w:rPr>
        <w:tab/>
      </w:r>
      <w:r w:rsidRPr="003C1C89">
        <w:rPr>
          <w:spacing w:val="-1"/>
        </w:rPr>
        <w:t>E</w:t>
      </w:r>
      <w:r w:rsidRPr="003C1C89">
        <w:rPr>
          <w:spacing w:val="1"/>
        </w:rPr>
        <w:t>a</w:t>
      </w:r>
      <w:r w:rsidRPr="003C1C89">
        <w:rPr>
          <w:spacing w:val="3"/>
        </w:rPr>
        <w:t>c</w:t>
      </w:r>
      <w:r w:rsidRPr="003C1C89">
        <w:t>h</w:t>
      </w:r>
      <w:r w:rsidRPr="003C1C89">
        <w:rPr>
          <w:spacing w:val="9"/>
        </w:rPr>
        <w:t xml:space="preserve"> </w:t>
      </w:r>
      <w:r w:rsidRPr="003C1C89">
        <w:t>P</w:t>
      </w:r>
      <w:r w:rsidRPr="003C1C89">
        <w:rPr>
          <w:spacing w:val="1"/>
        </w:rPr>
        <w:t>a</w:t>
      </w:r>
      <w:r w:rsidRPr="003C1C89">
        <w:rPr>
          <w:spacing w:val="-1"/>
        </w:rPr>
        <w:t>r</w:t>
      </w:r>
      <w:r w:rsidRPr="003C1C89">
        <w:rPr>
          <w:spacing w:val="2"/>
        </w:rPr>
        <w:t>t</w:t>
      </w:r>
      <w:r w:rsidRPr="003C1C89">
        <w:t>y</w:t>
      </w:r>
      <w:r w:rsidRPr="003C1C89">
        <w:rPr>
          <w:spacing w:val="7"/>
        </w:rPr>
        <w:t xml:space="preserve"> </w:t>
      </w:r>
      <w:r w:rsidRPr="003C1C89">
        <w:rPr>
          <w:spacing w:val="1"/>
        </w:rPr>
        <w:t xml:space="preserve">or </w:t>
      </w:r>
      <w:r>
        <w:t>S</w:t>
      </w:r>
      <w:r w:rsidRPr="003C1C89">
        <w:t>i</w:t>
      </w:r>
      <w:r w:rsidRPr="003C1C89">
        <w:rPr>
          <w:spacing w:val="-2"/>
        </w:rPr>
        <w:t>g</w:t>
      </w:r>
      <w:r w:rsidRPr="003C1C89">
        <w:t>n</w:t>
      </w:r>
      <w:r w:rsidRPr="003C1C89">
        <w:rPr>
          <w:spacing w:val="1"/>
        </w:rPr>
        <w:t>a</w:t>
      </w:r>
      <w:r w:rsidRPr="003C1C89">
        <w:rPr>
          <w:spacing w:val="2"/>
        </w:rPr>
        <w:t>t</w:t>
      </w:r>
      <w:r w:rsidRPr="003C1C89">
        <w:t>o</w:t>
      </w:r>
      <w:r w:rsidRPr="003C1C89">
        <w:rPr>
          <w:spacing w:val="-1"/>
        </w:rPr>
        <w:t>r</w:t>
      </w:r>
      <w:r w:rsidRPr="003C1C89">
        <w:t>y</w:t>
      </w:r>
      <w:r w:rsidRPr="003C1C89">
        <w:rPr>
          <w:spacing w:val="20"/>
        </w:rPr>
        <w:t xml:space="preserve"> </w:t>
      </w:r>
      <w:r w:rsidRPr="003C1C89">
        <w:rPr>
          <w:spacing w:val="1"/>
        </w:rPr>
        <w:t>s</w:t>
      </w:r>
      <w:r w:rsidRPr="003C1C89">
        <w:rPr>
          <w:spacing w:val="-2"/>
        </w:rPr>
        <w:t>h</w:t>
      </w:r>
      <w:r w:rsidRPr="003C1C89">
        <w:rPr>
          <w:spacing w:val="1"/>
        </w:rPr>
        <w:t>a</w:t>
      </w:r>
      <w:r w:rsidRPr="003C1C89">
        <w:t>ll</w:t>
      </w:r>
      <w:r w:rsidRPr="003C1C89">
        <w:rPr>
          <w:spacing w:val="8"/>
        </w:rPr>
        <w:t xml:space="preserve"> </w:t>
      </w:r>
      <w:r w:rsidRPr="003C1C89">
        <w:rPr>
          <w:spacing w:val="3"/>
        </w:rPr>
        <w:t>c</w:t>
      </w:r>
      <w:r w:rsidRPr="003C1C89">
        <w:t>ont</w:t>
      </w:r>
      <w:r w:rsidRPr="003C1C89">
        <w:rPr>
          <w:spacing w:val="-1"/>
        </w:rPr>
        <w:t>r</w:t>
      </w:r>
      <w:r w:rsidRPr="003C1C89">
        <w:t>ibute</w:t>
      </w:r>
      <w:r w:rsidRPr="003C1C89">
        <w:rPr>
          <w:spacing w:val="19"/>
        </w:rPr>
        <w:t xml:space="preserve"> </w:t>
      </w:r>
      <w:r w:rsidRPr="003C1C89">
        <w:rPr>
          <w:spacing w:val="1"/>
        </w:rPr>
        <w:t>eac</w:t>
      </w:r>
      <w:r w:rsidRPr="003C1C89">
        <w:t>h</w:t>
      </w:r>
      <w:r w:rsidRPr="003C1C89">
        <w:rPr>
          <w:spacing w:val="11"/>
        </w:rPr>
        <w:t xml:space="preserve"> </w:t>
      </w:r>
      <w:r w:rsidRPr="003C1C89">
        <w:rPr>
          <w:spacing w:val="-2"/>
        </w:rPr>
        <w:t>ye</w:t>
      </w:r>
      <w:r w:rsidRPr="003C1C89">
        <w:rPr>
          <w:spacing w:val="1"/>
        </w:rPr>
        <w:t>a</w:t>
      </w:r>
      <w:r w:rsidRPr="003C1C89">
        <w:rPr>
          <w:spacing w:val="-1"/>
        </w:rPr>
        <w:t>r</w:t>
      </w:r>
      <w:r w:rsidRPr="003C1C89">
        <w:t>,</w:t>
      </w:r>
      <w:r w:rsidRPr="003C1C89">
        <w:rPr>
          <w:spacing w:val="13"/>
        </w:rPr>
        <w:t xml:space="preserve"> </w:t>
      </w:r>
      <w:r w:rsidRPr="003C1C89">
        <w:rPr>
          <w:spacing w:val="1"/>
        </w:rPr>
        <w:t>a</w:t>
      </w:r>
      <w:r w:rsidRPr="003C1C89">
        <w:t>s</w:t>
      </w:r>
      <w:r w:rsidRPr="003C1C89">
        <w:rPr>
          <w:spacing w:val="3"/>
        </w:rPr>
        <w:t xml:space="preserve"> </w:t>
      </w:r>
      <w:r w:rsidRPr="003C1C89">
        <w:t>a</w:t>
      </w:r>
      <w:r w:rsidRPr="003C1C89">
        <w:rPr>
          <w:spacing w:val="5"/>
        </w:rPr>
        <w:t xml:space="preserve"> </w:t>
      </w:r>
      <w:r w:rsidRPr="003C1C89">
        <w:t>m</w:t>
      </w:r>
      <w:r w:rsidRPr="003C1C89">
        <w:rPr>
          <w:spacing w:val="2"/>
        </w:rPr>
        <w:t>i</w:t>
      </w:r>
      <w:r w:rsidRPr="003C1C89">
        <w:rPr>
          <w:spacing w:val="-2"/>
        </w:rPr>
        <w:t>n</w:t>
      </w:r>
      <w:r w:rsidRPr="003C1C89">
        <w:t>imum,</w:t>
      </w:r>
      <w:r w:rsidRPr="003C1C89">
        <w:rPr>
          <w:spacing w:val="22"/>
        </w:rPr>
        <w:t xml:space="preserve"> </w:t>
      </w:r>
      <w:r w:rsidRPr="003C1C89">
        <w:t>t</w:t>
      </w:r>
      <w:r w:rsidRPr="003C1C89">
        <w:rPr>
          <w:spacing w:val="-2"/>
        </w:rPr>
        <w:t>h</w:t>
      </w:r>
      <w:r w:rsidRPr="003C1C89">
        <w:t>e</w:t>
      </w:r>
      <w:r w:rsidRPr="003C1C89">
        <w:rPr>
          <w:spacing w:val="8"/>
        </w:rPr>
        <w:t xml:space="preserve"> </w:t>
      </w:r>
      <w:r w:rsidRPr="003C1C89">
        <w:rPr>
          <w:spacing w:val="-2"/>
        </w:rPr>
        <w:t>a</w:t>
      </w:r>
      <w:r w:rsidRPr="003C1C89">
        <w:rPr>
          <w:spacing w:val="2"/>
        </w:rPr>
        <w:t>m</w:t>
      </w:r>
      <w:r w:rsidRPr="003C1C89">
        <w:rPr>
          <w:spacing w:val="-2"/>
        </w:rPr>
        <w:t>o</w:t>
      </w:r>
      <w:r w:rsidRPr="003C1C89">
        <w:t>unt</w:t>
      </w:r>
      <w:r w:rsidRPr="003C1C89">
        <w:rPr>
          <w:spacing w:val="15"/>
        </w:rPr>
        <w:t xml:space="preserve"> </w:t>
      </w:r>
      <w:r w:rsidRPr="003C1C89">
        <w:rPr>
          <w:spacing w:val="-2"/>
          <w:w w:val="102"/>
        </w:rPr>
        <w:t>d</w:t>
      </w:r>
      <w:r w:rsidRPr="003C1C89">
        <w:rPr>
          <w:spacing w:val="3"/>
          <w:w w:val="102"/>
        </w:rPr>
        <w:t>e</w:t>
      </w:r>
      <w:r w:rsidRPr="003C1C89">
        <w:rPr>
          <w:spacing w:val="-1"/>
          <w:w w:val="102"/>
        </w:rPr>
        <w:t>r</w:t>
      </w:r>
      <w:r w:rsidRPr="003C1C89">
        <w:rPr>
          <w:w w:val="102"/>
        </w:rPr>
        <w:t>i</w:t>
      </w:r>
      <w:r w:rsidRPr="003C1C89">
        <w:rPr>
          <w:spacing w:val="-2"/>
          <w:w w:val="102"/>
        </w:rPr>
        <w:t>v</w:t>
      </w:r>
      <w:r w:rsidRPr="003C1C89">
        <w:rPr>
          <w:spacing w:val="1"/>
          <w:w w:val="102"/>
        </w:rPr>
        <w:t>e</w:t>
      </w:r>
      <w:r w:rsidRPr="003C1C89">
        <w:rPr>
          <w:w w:val="102"/>
        </w:rPr>
        <w:t xml:space="preserve">d </w:t>
      </w:r>
      <w:r w:rsidRPr="003C1C89">
        <w:rPr>
          <w:spacing w:val="2"/>
        </w:rPr>
        <w:t>f</w:t>
      </w:r>
      <w:r w:rsidRPr="003C1C89">
        <w:rPr>
          <w:spacing w:val="-1"/>
        </w:rPr>
        <w:t>r</w:t>
      </w:r>
      <w:r w:rsidRPr="003C1C89">
        <w:t>om</w:t>
      </w:r>
      <w:r w:rsidRPr="003C1C89">
        <w:rPr>
          <w:spacing w:val="12"/>
        </w:rPr>
        <w:t xml:space="preserve"> </w:t>
      </w:r>
      <w:r w:rsidRPr="003C1C89">
        <w:rPr>
          <w:spacing w:val="1"/>
        </w:rPr>
        <w:t>a</w:t>
      </w:r>
      <w:r w:rsidRPr="003C1C89">
        <w:t>ppl</w:t>
      </w:r>
      <w:r w:rsidRPr="003C1C89">
        <w:rPr>
          <w:spacing w:val="-2"/>
        </w:rPr>
        <w:t>y</w:t>
      </w:r>
      <w:r w:rsidRPr="003C1C89">
        <w:rPr>
          <w:spacing w:val="2"/>
        </w:rPr>
        <w:t>i</w:t>
      </w:r>
      <w:r w:rsidRPr="003C1C89">
        <w:t>ng</w:t>
      </w:r>
      <w:r w:rsidRPr="003C1C89">
        <w:rPr>
          <w:spacing w:val="15"/>
        </w:rPr>
        <w:t xml:space="preserve"> </w:t>
      </w:r>
      <w:r w:rsidRPr="003C1C89">
        <w:t>the</w:t>
      </w:r>
      <w:r w:rsidRPr="003C1C89">
        <w:rPr>
          <w:spacing w:val="6"/>
        </w:rPr>
        <w:t xml:space="preserve"> </w:t>
      </w:r>
      <w:r w:rsidRPr="003C1C89">
        <w:rPr>
          <w:spacing w:val="3"/>
        </w:rPr>
        <w:t>a</w:t>
      </w:r>
      <w:r w:rsidRPr="003C1C89">
        <w:rPr>
          <w:spacing w:val="-2"/>
        </w:rPr>
        <w:t>d</w:t>
      </w:r>
      <w:r w:rsidRPr="003C1C89">
        <w:rPr>
          <w:spacing w:val="2"/>
        </w:rPr>
        <w:t>j</w:t>
      </w:r>
      <w:r w:rsidRPr="003C1C89">
        <w:t>u</w:t>
      </w:r>
      <w:r w:rsidRPr="003C1C89">
        <w:rPr>
          <w:spacing w:val="-1"/>
        </w:rPr>
        <w:t>s</w:t>
      </w:r>
      <w:r w:rsidRPr="003C1C89">
        <w:rPr>
          <w:spacing w:val="-3"/>
        </w:rPr>
        <w:t>t</w:t>
      </w:r>
      <w:r w:rsidRPr="003C1C89">
        <w:rPr>
          <w:spacing w:val="1"/>
        </w:rPr>
        <w:t>e</w:t>
      </w:r>
      <w:r w:rsidRPr="003C1C89">
        <w:t>d</w:t>
      </w:r>
      <w:r w:rsidRPr="003C1C89">
        <w:rPr>
          <w:spacing w:val="18"/>
        </w:rPr>
        <w:t xml:space="preserve"> </w:t>
      </w:r>
      <w:r w:rsidRPr="003C1C89">
        <w:rPr>
          <w:spacing w:val="-1"/>
        </w:rPr>
        <w:t>s</w:t>
      </w:r>
      <w:r w:rsidRPr="003C1C89">
        <w:rPr>
          <w:spacing w:val="1"/>
        </w:rPr>
        <w:t>ca</w:t>
      </w:r>
      <w:r w:rsidRPr="003C1C89">
        <w:rPr>
          <w:spacing w:val="-3"/>
        </w:rPr>
        <w:t>l</w:t>
      </w:r>
      <w:r w:rsidRPr="003C1C89">
        <w:t>e</w:t>
      </w:r>
      <w:r w:rsidRPr="003C1C89">
        <w:rPr>
          <w:spacing w:val="12"/>
        </w:rPr>
        <w:t xml:space="preserve"> </w:t>
      </w:r>
      <w:r w:rsidRPr="003C1C89">
        <w:t>of</w:t>
      </w:r>
      <w:r w:rsidRPr="003C1C89">
        <w:rPr>
          <w:spacing w:val="6"/>
        </w:rPr>
        <w:t xml:space="preserve"> </w:t>
      </w:r>
      <w:r w:rsidRPr="003C1C89">
        <w:rPr>
          <w:spacing w:val="1"/>
        </w:rPr>
        <w:t>as</w:t>
      </w:r>
      <w:r w:rsidRPr="003C1C89">
        <w:rPr>
          <w:spacing w:val="-4"/>
        </w:rPr>
        <w:t>s</w:t>
      </w:r>
      <w:r w:rsidRPr="003C1C89">
        <w:rPr>
          <w:spacing w:val="3"/>
        </w:rPr>
        <w:t>e</w:t>
      </w:r>
      <w:r w:rsidRPr="003C1C89">
        <w:rPr>
          <w:spacing w:val="-1"/>
        </w:rPr>
        <w:t>s</w:t>
      </w:r>
      <w:r w:rsidRPr="003C1C89">
        <w:rPr>
          <w:spacing w:val="1"/>
        </w:rPr>
        <w:t>s</w:t>
      </w:r>
      <w:r w:rsidRPr="003C1C89">
        <w:rPr>
          <w:spacing w:val="-2"/>
        </w:rPr>
        <w:t>m</w:t>
      </w:r>
      <w:r w:rsidRPr="003C1C89">
        <w:rPr>
          <w:spacing w:val="3"/>
        </w:rPr>
        <w:t>e</w:t>
      </w:r>
      <w:r w:rsidRPr="003C1C89">
        <w:t>nts</w:t>
      </w:r>
      <w:r w:rsidRPr="003C1C89">
        <w:rPr>
          <w:spacing w:val="22"/>
        </w:rPr>
        <w:t xml:space="preserve"> </w:t>
      </w:r>
      <w:r w:rsidRPr="003C1C89">
        <w:rPr>
          <w:spacing w:val="-3"/>
        </w:rPr>
        <w:t>r</w:t>
      </w:r>
      <w:r w:rsidRPr="003C1C89">
        <w:rPr>
          <w:spacing w:val="3"/>
        </w:rPr>
        <w:t>e</w:t>
      </w:r>
      <w:r w:rsidRPr="003C1C89">
        <w:rPr>
          <w:spacing w:val="-1"/>
        </w:rPr>
        <w:t>f</w:t>
      </w:r>
      <w:r w:rsidRPr="003C1C89">
        <w:rPr>
          <w:spacing w:val="1"/>
        </w:rPr>
        <w:t>e</w:t>
      </w:r>
      <w:r w:rsidRPr="003C1C89">
        <w:rPr>
          <w:spacing w:val="-1"/>
        </w:rPr>
        <w:t>rr</w:t>
      </w:r>
      <w:r w:rsidRPr="003C1C89">
        <w:rPr>
          <w:spacing w:val="1"/>
        </w:rPr>
        <w:t>e</w:t>
      </w:r>
      <w:r w:rsidRPr="003C1C89">
        <w:t>d</w:t>
      </w:r>
      <w:r w:rsidRPr="003C1C89">
        <w:rPr>
          <w:spacing w:val="17"/>
        </w:rPr>
        <w:t xml:space="preserve"> </w:t>
      </w:r>
      <w:r w:rsidRPr="003C1C89">
        <w:t>to</w:t>
      </w:r>
      <w:r w:rsidRPr="003C1C89">
        <w:rPr>
          <w:spacing w:val="6"/>
        </w:rPr>
        <w:t xml:space="preserve"> </w:t>
      </w:r>
      <w:r w:rsidRPr="003C1C89">
        <w:t>in</w:t>
      </w:r>
      <w:r w:rsidRPr="003C1C89">
        <w:rPr>
          <w:spacing w:val="3"/>
        </w:rPr>
        <w:t xml:space="preserve"> </w:t>
      </w:r>
      <w:r w:rsidRPr="003C1C89">
        <w:rPr>
          <w:spacing w:val="1"/>
        </w:rPr>
        <w:t>s</w:t>
      </w:r>
      <w:r w:rsidRPr="003C1C89">
        <w:t>ub</w:t>
      </w:r>
      <w:r w:rsidRPr="003C1C89">
        <w:rPr>
          <w:spacing w:val="-2"/>
        </w:rPr>
        <w:t>p</w:t>
      </w:r>
      <w:r w:rsidRPr="003C1C89">
        <w:rPr>
          <w:spacing w:val="3"/>
        </w:rPr>
        <w:t>a</w:t>
      </w:r>
      <w:r w:rsidRPr="003C1C89">
        <w:rPr>
          <w:spacing w:val="-1"/>
        </w:rPr>
        <w:t>r</w:t>
      </w:r>
      <w:r w:rsidRPr="003C1C89">
        <w:rPr>
          <w:spacing w:val="1"/>
        </w:rPr>
        <w:t>a</w:t>
      </w:r>
      <w:r w:rsidRPr="003C1C89">
        <w:rPr>
          <w:spacing w:val="-2"/>
        </w:rPr>
        <w:t>g</w:t>
      </w:r>
      <w:r w:rsidRPr="003C1C89">
        <w:rPr>
          <w:spacing w:val="-1"/>
        </w:rPr>
        <w:t>r</w:t>
      </w:r>
      <w:r w:rsidRPr="003C1C89">
        <w:rPr>
          <w:spacing w:val="1"/>
        </w:rPr>
        <w:t>a</w:t>
      </w:r>
      <w:r w:rsidRPr="003C1C89">
        <w:rPr>
          <w:spacing w:val="-2"/>
        </w:rPr>
        <w:t>p</w:t>
      </w:r>
      <w:r w:rsidRPr="003C1C89">
        <w:t>h</w:t>
      </w:r>
      <w:r w:rsidRPr="003C1C89">
        <w:rPr>
          <w:spacing w:val="29"/>
        </w:rPr>
        <w:t xml:space="preserve"> …</w:t>
      </w:r>
      <w:r w:rsidRPr="003C1C89">
        <w:rPr>
          <w:spacing w:val="5"/>
        </w:rPr>
        <w:t xml:space="preserve"> </w:t>
      </w:r>
      <w:r>
        <w:rPr>
          <w:spacing w:val="5"/>
        </w:rPr>
        <w:t xml:space="preserve">[above/below] </w:t>
      </w:r>
      <w:r w:rsidRPr="003C1C89">
        <w:rPr>
          <w:spacing w:val="2"/>
        </w:rPr>
        <w:t>t</w:t>
      </w:r>
      <w:r w:rsidRPr="003C1C89">
        <w:t>o</w:t>
      </w:r>
      <w:r w:rsidRPr="003C1C89">
        <w:rPr>
          <w:spacing w:val="3"/>
        </w:rPr>
        <w:t xml:space="preserve"> </w:t>
      </w:r>
      <w:r w:rsidRPr="003C1C89">
        <w:rPr>
          <w:spacing w:val="2"/>
          <w:w w:val="102"/>
        </w:rPr>
        <w:t>t</w:t>
      </w:r>
      <w:r w:rsidRPr="003C1C89">
        <w:rPr>
          <w:spacing w:val="-2"/>
          <w:w w:val="102"/>
        </w:rPr>
        <w:t>h</w:t>
      </w:r>
      <w:r w:rsidRPr="003C1C89">
        <w:rPr>
          <w:w w:val="102"/>
        </w:rPr>
        <w:t xml:space="preserve">e </w:t>
      </w:r>
      <w:r w:rsidRPr="003C1C89">
        <w:t>tot</w:t>
      </w:r>
      <w:r w:rsidRPr="003C1C89">
        <w:rPr>
          <w:spacing w:val="3"/>
        </w:rPr>
        <w:t>a</w:t>
      </w:r>
      <w:r w:rsidRPr="003C1C89">
        <w:t>l</w:t>
      </w:r>
      <w:r w:rsidRPr="003C1C89">
        <w:rPr>
          <w:spacing w:val="8"/>
        </w:rPr>
        <w:t xml:space="preserve"> </w:t>
      </w:r>
      <w:r w:rsidRPr="003C1C89">
        <w:rPr>
          <w:spacing w:val="1"/>
        </w:rPr>
        <w:t>es</w:t>
      </w:r>
      <w:r w:rsidRPr="003C1C89">
        <w:t>t</w:t>
      </w:r>
      <w:r w:rsidRPr="003C1C89">
        <w:rPr>
          <w:spacing w:val="-3"/>
        </w:rPr>
        <w:t>i</w:t>
      </w:r>
      <w:r w:rsidRPr="003C1C89">
        <w:rPr>
          <w:spacing w:val="2"/>
        </w:rPr>
        <w:t>m</w:t>
      </w:r>
      <w:r w:rsidRPr="003C1C89">
        <w:rPr>
          <w:spacing w:val="1"/>
        </w:rPr>
        <w:t>a</w:t>
      </w:r>
      <w:r w:rsidRPr="003C1C89">
        <w:rPr>
          <w:spacing w:val="-3"/>
        </w:rPr>
        <w:t>t</w:t>
      </w:r>
      <w:r w:rsidRPr="003C1C89">
        <w:rPr>
          <w:spacing w:val="3"/>
        </w:rPr>
        <w:t>e</w:t>
      </w:r>
      <w:r w:rsidRPr="003C1C89">
        <w:t>d</w:t>
      </w:r>
      <w:r w:rsidRPr="003C1C89">
        <w:rPr>
          <w:spacing w:val="15"/>
        </w:rPr>
        <w:t xml:space="preserve"> </w:t>
      </w:r>
      <w:r w:rsidRPr="003C1C89">
        <w:rPr>
          <w:spacing w:val="1"/>
        </w:rPr>
        <w:t>c</w:t>
      </w:r>
      <w:r w:rsidRPr="003C1C89">
        <w:t>o</w:t>
      </w:r>
      <w:r w:rsidRPr="003C1C89">
        <w:rPr>
          <w:spacing w:val="1"/>
        </w:rPr>
        <w:t>s</w:t>
      </w:r>
      <w:r w:rsidRPr="003C1C89">
        <w:t>ts</w:t>
      </w:r>
      <w:r w:rsidRPr="003C1C89">
        <w:rPr>
          <w:spacing w:val="13"/>
        </w:rPr>
        <w:t xml:space="preserve"> </w:t>
      </w:r>
      <w:r w:rsidRPr="003C1C89">
        <w:rPr>
          <w:spacing w:val="-2"/>
        </w:rPr>
        <w:t>o</w:t>
      </w:r>
      <w:r w:rsidRPr="003C1C89">
        <w:t>f</w:t>
      </w:r>
      <w:r w:rsidRPr="003C1C89">
        <w:rPr>
          <w:spacing w:val="6"/>
        </w:rPr>
        <w:t xml:space="preserve"> </w:t>
      </w:r>
      <w:r w:rsidRPr="003C1C89">
        <w:t>t</w:t>
      </w:r>
      <w:r w:rsidRPr="003C1C89">
        <w:rPr>
          <w:spacing w:val="-2"/>
        </w:rPr>
        <w:t>h</w:t>
      </w:r>
      <w:r w:rsidRPr="003C1C89">
        <w:t>e</w:t>
      </w:r>
      <w:r w:rsidRPr="003C1C89">
        <w:rPr>
          <w:spacing w:val="8"/>
        </w:rPr>
        <w:t xml:space="preserve"> </w:t>
      </w:r>
      <w:r w:rsidRPr="003C1C89">
        <w:rPr>
          <w:spacing w:val="1"/>
          <w:w w:val="102"/>
        </w:rPr>
        <w:t>ac</w:t>
      </w:r>
      <w:r w:rsidRPr="003C1C89">
        <w:rPr>
          <w:w w:val="102"/>
        </w:rPr>
        <w:t>t</w:t>
      </w:r>
      <w:r w:rsidRPr="003C1C89">
        <w:rPr>
          <w:spacing w:val="2"/>
          <w:w w:val="102"/>
        </w:rPr>
        <w:t>i</w:t>
      </w:r>
      <w:r w:rsidRPr="003C1C89">
        <w:rPr>
          <w:spacing w:val="-2"/>
          <w:w w:val="102"/>
        </w:rPr>
        <w:t>v</w:t>
      </w:r>
      <w:r w:rsidRPr="003C1C89">
        <w:rPr>
          <w:w w:val="102"/>
        </w:rPr>
        <w:t>iti</w:t>
      </w:r>
      <w:r w:rsidRPr="003C1C89">
        <w:rPr>
          <w:spacing w:val="1"/>
          <w:w w:val="102"/>
        </w:rPr>
        <w:t xml:space="preserve">es, </w:t>
      </w:r>
      <w:r w:rsidRPr="003C1C89">
        <w:t xml:space="preserve">but each contribution should not be less than stated in </w:t>
      </w:r>
      <w:r>
        <w:t>sub</w:t>
      </w:r>
      <w:r w:rsidRPr="003C1C89">
        <w:t xml:space="preserve">paragraph </w:t>
      </w:r>
      <w:r>
        <w:t xml:space="preserve">... </w:t>
      </w:r>
      <w:r>
        <w:rPr>
          <w:spacing w:val="5"/>
        </w:rPr>
        <w:t>[above/</w:t>
      </w:r>
      <w:r>
        <w:t>below]</w:t>
      </w:r>
      <w:r>
        <w:rPr>
          <w:w w:val="102"/>
        </w:rPr>
        <w:t>;</w:t>
      </w:r>
      <w:r w:rsidRPr="003C1C89">
        <w:rPr>
          <w:w w:val="102"/>
        </w:rPr>
        <w:t>]</w:t>
      </w:r>
    </w:p>
    <w:p w14:paraId="7DDCD2F4" w14:textId="77777777" w:rsidR="00040253" w:rsidRPr="003C1C89" w:rsidRDefault="00040253" w:rsidP="00040253">
      <w:pPr>
        <w:pStyle w:val="SingleTxtG"/>
        <w:ind w:firstLine="567"/>
      </w:pPr>
      <w:r w:rsidRPr="00CD2123">
        <w:rPr>
          <w:rFonts w:asciiTheme="majorBidi" w:hAnsiTheme="majorBidi" w:cstheme="majorBidi"/>
          <w:b/>
        </w:rPr>
        <w:t>Relevant for Options A</w:t>
      </w:r>
      <w:r>
        <w:rPr>
          <w:rFonts w:asciiTheme="majorBidi" w:hAnsiTheme="majorBidi" w:cstheme="majorBidi"/>
          <w:b/>
        </w:rPr>
        <w:t>,</w:t>
      </w:r>
      <w:r w:rsidRPr="00CD2123">
        <w:rPr>
          <w:rFonts w:asciiTheme="majorBidi" w:hAnsiTheme="majorBidi" w:cstheme="majorBidi"/>
          <w:b/>
        </w:rPr>
        <w:t xml:space="preserve"> B</w:t>
      </w:r>
      <w:r>
        <w:rPr>
          <w:rFonts w:asciiTheme="majorBidi" w:hAnsiTheme="majorBidi" w:cstheme="majorBidi"/>
          <w:b/>
        </w:rPr>
        <w:t xml:space="preserve"> and C</w:t>
      </w:r>
      <w:r w:rsidRPr="00CD2123">
        <w:rPr>
          <w:rFonts w:asciiTheme="majorBidi" w:hAnsiTheme="majorBidi" w:cstheme="majorBidi"/>
          <w:b/>
        </w:rPr>
        <w:t>:</w:t>
      </w:r>
      <w:r w:rsidRPr="00CD2123">
        <w:rPr>
          <w:rFonts w:asciiTheme="majorBidi" w:hAnsiTheme="majorBidi" w:cstheme="majorBidi"/>
        </w:rPr>
        <w:t xml:space="preserve"> </w:t>
      </w:r>
    </w:p>
    <w:p w14:paraId="1B95DB98" w14:textId="77777777" w:rsidR="00040253" w:rsidRPr="003C1C89" w:rsidRDefault="00040253" w:rsidP="00040253">
      <w:pPr>
        <w:spacing w:after="120"/>
        <w:ind w:left="1134" w:right="1134" w:firstLine="567"/>
        <w:jc w:val="both"/>
      </w:pPr>
      <w:r w:rsidRPr="003C1C89">
        <w:t>[(b)]</w:t>
      </w:r>
      <w:r w:rsidRPr="003C1C89">
        <w:tab/>
        <w:t xml:space="preserve">No Party or </w:t>
      </w:r>
      <w:r>
        <w:t>s</w:t>
      </w:r>
      <w:r w:rsidRPr="003C1C89">
        <w:t>ignatory is expected</w:t>
      </w:r>
      <w:r>
        <w:t xml:space="preserve"> </w:t>
      </w:r>
      <w:r w:rsidRPr="003C1C89">
        <w:t xml:space="preserve">to contribute less than </w:t>
      </w:r>
      <w:r>
        <w:t>[500]</w:t>
      </w:r>
      <w:r w:rsidRPr="003C1C89">
        <w:rPr>
          <w:b/>
        </w:rPr>
        <w:t xml:space="preserve"> </w:t>
      </w:r>
      <w:r w:rsidRPr="00CD78EF">
        <w:rPr>
          <w:bCs/>
        </w:rPr>
        <w:t>[1</w:t>
      </w:r>
      <w:r>
        <w:rPr>
          <w:bCs/>
        </w:rPr>
        <w:t>,</w:t>
      </w:r>
      <w:r w:rsidRPr="00CD78EF">
        <w:rPr>
          <w:bCs/>
        </w:rPr>
        <w:t>000]</w:t>
      </w:r>
      <w:r>
        <w:rPr>
          <w:b/>
        </w:rPr>
        <w:t xml:space="preserve"> </w:t>
      </w:r>
      <w:r w:rsidRPr="003C1C89">
        <w:t xml:space="preserve">United States dollars for the Convention’s work programme in its contribution for a given calendar </w:t>
      </w:r>
      <w:proofErr w:type="gramStart"/>
      <w:r w:rsidRPr="003C1C89">
        <w:t>year</w:t>
      </w:r>
      <w:r>
        <w:t>;</w:t>
      </w:r>
      <w:proofErr w:type="gramEnd"/>
    </w:p>
    <w:p w14:paraId="5F1620EC" w14:textId="77777777" w:rsidR="00040253" w:rsidRPr="003C1C89" w:rsidRDefault="00040253" w:rsidP="00040253">
      <w:pPr>
        <w:spacing w:after="120"/>
        <w:ind w:left="1134" w:right="1134" w:firstLine="567"/>
        <w:jc w:val="both"/>
      </w:pPr>
      <w:r w:rsidRPr="003C1C89">
        <w:t>[(c)]</w:t>
      </w:r>
      <w:r w:rsidRPr="003C1C89">
        <w:tab/>
        <w:t xml:space="preserve">Contributions shall be made in cash and shall not be earmarked for a particular </w:t>
      </w:r>
      <w:proofErr w:type="gramStart"/>
      <w:r w:rsidRPr="003C1C89">
        <w:t>activity</w:t>
      </w:r>
      <w:r>
        <w:t>;</w:t>
      </w:r>
      <w:proofErr w:type="gramEnd"/>
    </w:p>
    <w:p w14:paraId="6EF9DB3E" w14:textId="77777777" w:rsidR="00040253" w:rsidRPr="003C1C89" w:rsidRDefault="00040253" w:rsidP="00040253">
      <w:pPr>
        <w:spacing w:after="120"/>
        <w:ind w:left="1134" w:right="1134" w:firstLine="567"/>
        <w:jc w:val="both"/>
      </w:pPr>
      <w:r w:rsidRPr="003C1C89">
        <w:t>[(d)]</w:t>
      </w:r>
      <w:r w:rsidRPr="003C1C89">
        <w:tab/>
        <w:t xml:space="preserve">Additional contributions may be made in cash or in kind and may be earmarked for a particular </w:t>
      </w:r>
      <w:proofErr w:type="gramStart"/>
      <w:r w:rsidRPr="003C1C89">
        <w:t>activity</w:t>
      </w:r>
      <w:r>
        <w:t>;</w:t>
      </w:r>
      <w:proofErr w:type="gramEnd"/>
    </w:p>
    <w:p w14:paraId="025CCDBE" w14:textId="77777777" w:rsidR="00040253" w:rsidRPr="003C1C89" w:rsidRDefault="00040253" w:rsidP="00040253">
      <w:pPr>
        <w:spacing w:after="120"/>
        <w:ind w:left="1134" w:right="1134" w:firstLine="567"/>
        <w:jc w:val="both"/>
      </w:pPr>
      <w:r w:rsidRPr="003C1C89">
        <w:t>[(e)]</w:t>
      </w:r>
      <w:r w:rsidRPr="003C1C89">
        <w:tab/>
        <w:t>Contributions in cash shall be made through the United Nations Economic Commission for Europe Trust Fund for Local Technical Cooperation (Aarhus Convention project</w:t>
      </w:r>
      <w:proofErr w:type="gramStart"/>
      <w:r w:rsidRPr="003C1C89">
        <w:t>)</w:t>
      </w:r>
      <w:r>
        <w:t>;</w:t>
      </w:r>
      <w:proofErr w:type="gramEnd"/>
    </w:p>
    <w:p w14:paraId="3D4D9B02" w14:textId="77777777" w:rsidR="00040253" w:rsidRDefault="00040253" w:rsidP="00040253">
      <w:pPr>
        <w:spacing w:after="120"/>
        <w:ind w:left="1134" w:right="1134" w:firstLine="567"/>
        <w:jc w:val="both"/>
      </w:pPr>
      <w:r w:rsidRPr="003C1C89">
        <w:t>[(f)]</w:t>
      </w:r>
      <w:r w:rsidRPr="003C1C89">
        <w:tab/>
        <w:t xml:space="preserve">If allowed by the domestic budgetary procedures of the Parties, contributions for a given calendar year should be made by 1 October of the preceding year, or where this is not an option, it is recommended that contributions </w:t>
      </w:r>
      <w:r>
        <w:t>b</w:t>
      </w:r>
      <w:r w:rsidRPr="003C1C89">
        <w:t>e made in the first six months of the calendar year, so as to secure payment of staff costs for the smooth functioning of the secretariat, as a priority, and the timely and effective implementation of the priority activities of the respective programme of work</w:t>
      </w:r>
      <w:r>
        <w:t>;</w:t>
      </w:r>
    </w:p>
    <w:p w14:paraId="65408347" w14:textId="77777777" w:rsidR="00040253" w:rsidRPr="003C1C89" w:rsidRDefault="00040253" w:rsidP="00040253">
      <w:pPr>
        <w:spacing w:after="120"/>
        <w:ind w:left="1134" w:right="1134" w:firstLine="567"/>
        <w:jc w:val="both"/>
      </w:pPr>
      <w:r>
        <w:rPr>
          <w:rFonts w:eastAsia="Calibri"/>
          <w:w w:val="102"/>
        </w:rPr>
        <w:t>[(g)]</w:t>
      </w:r>
      <w:r>
        <w:rPr>
          <w:rFonts w:eastAsia="Calibri"/>
          <w:w w:val="102"/>
        </w:rPr>
        <w:tab/>
      </w:r>
      <w:r w:rsidRPr="002851CB">
        <w:rPr>
          <w:rFonts w:eastAsia="Calibri"/>
          <w:b/>
          <w:bCs/>
          <w:i/>
          <w:iCs/>
          <w:w w:val="102"/>
        </w:rPr>
        <w:t>New para added</w:t>
      </w:r>
      <w:r w:rsidRPr="00B55CC6">
        <w:rPr>
          <w:rFonts w:eastAsia="Calibri"/>
          <w:i/>
          <w:iCs/>
          <w:w w:val="102"/>
        </w:rPr>
        <w:t xml:space="preserve">: </w:t>
      </w:r>
      <w:r w:rsidRPr="00C952A9">
        <w:rPr>
          <w:rFonts w:eastAsia="Calibri"/>
          <w:w w:val="102"/>
        </w:rPr>
        <w:t xml:space="preserve">To keep administrative costs related to fund management </w:t>
      </w:r>
      <w:r>
        <w:rPr>
          <w:rFonts w:eastAsia="Calibri"/>
          <w:w w:val="102"/>
        </w:rPr>
        <w:t>to a</w:t>
      </w:r>
      <w:r w:rsidRPr="00C952A9">
        <w:rPr>
          <w:rFonts w:eastAsia="Calibri"/>
          <w:w w:val="102"/>
        </w:rPr>
        <w:t xml:space="preserve"> minimum</w:t>
      </w:r>
      <w:r>
        <w:rPr>
          <w:rFonts w:eastAsia="Calibri"/>
          <w:w w:val="102"/>
        </w:rPr>
        <w:t>,</w:t>
      </w:r>
      <w:r w:rsidRPr="00C952A9">
        <w:rPr>
          <w:rFonts w:eastAsia="Calibri"/>
          <w:w w:val="102"/>
        </w:rPr>
        <w:t xml:space="preserve"> insofar as possible and subject to </w:t>
      </w:r>
      <w:r>
        <w:rPr>
          <w:rFonts w:eastAsia="Calibri"/>
          <w:w w:val="102"/>
        </w:rPr>
        <w:t xml:space="preserve">the </w:t>
      </w:r>
      <w:r w:rsidRPr="00C952A9">
        <w:rPr>
          <w:rFonts w:eastAsia="Calibri"/>
          <w:w w:val="102"/>
        </w:rPr>
        <w:t xml:space="preserve">internal budgetary procedures of the Parties, contributions should preferably be </w:t>
      </w:r>
      <w:r>
        <w:rPr>
          <w:rFonts w:eastAsia="Calibri"/>
          <w:w w:val="102"/>
        </w:rPr>
        <w:t xml:space="preserve">paid net, with possible charges at the expense of donors, </w:t>
      </w:r>
      <w:r w:rsidRPr="00C952A9">
        <w:rPr>
          <w:rFonts w:eastAsia="Calibri"/>
          <w:w w:val="102"/>
        </w:rPr>
        <w:t>concentrated as much as possible</w:t>
      </w:r>
      <w:r>
        <w:rPr>
          <w:rFonts w:eastAsia="Calibri"/>
          <w:w w:val="102"/>
        </w:rPr>
        <w:t xml:space="preserve"> within the intersessional period</w:t>
      </w:r>
      <w:r w:rsidRPr="00C952A9">
        <w:rPr>
          <w:rFonts w:eastAsia="Calibri"/>
          <w:w w:val="102"/>
        </w:rPr>
        <w:t>, by</w:t>
      </w:r>
      <w:r>
        <w:rPr>
          <w:rFonts w:eastAsia="Calibri"/>
          <w:w w:val="102"/>
        </w:rPr>
        <w:t xml:space="preserve">, for example, </w:t>
      </w:r>
      <w:r w:rsidRPr="00C952A9">
        <w:rPr>
          <w:rFonts w:eastAsia="Calibri"/>
          <w:w w:val="102"/>
        </w:rPr>
        <w:t xml:space="preserve">making multiannual or annual contributions continuously </w:t>
      </w:r>
      <w:r>
        <w:rPr>
          <w:rFonts w:eastAsia="Calibri"/>
          <w:w w:val="102"/>
        </w:rPr>
        <w:t xml:space="preserve">(for every calendar year) </w:t>
      </w:r>
      <w:r w:rsidRPr="00C952A9">
        <w:rPr>
          <w:rFonts w:eastAsia="Calibri"/>
          <w:w w:val="102"/>
        </w:rPr>
        <w:t xml:space="preserve">and by merging contributions </w:t>
      </w:r>
      <w:r>
        <w:rPr>
          <w:rFonts w:eastAsia="Calibri"/>
          <w:w w:val="102"/>
        </w:rPr>
        <w:t xml:space="preserve">for the </w:t>
      </w:r>
      <w:r w:rsidRPr="00C952A9">
        <w:rPr>
          <w:rFonts w:eastAsia="Calibri"/>
          <w:w w:val="102"/>
        </w:rPr>
        <w:t xml:space="preserve">Aarhus </w:t>
      </w:r>
      <w:r>
        <w:rPr>
          <w:rFonts w:eastAsia="Calibri"/>
          <w:w w:val="102"/>
        </w:rPr>
        <w:t xml:space="preserve">Convention </w:t>
      </w:r>
      <w:r w:rsidRPr="00C952A9">
        <w:rPr>
          <w:rFonts w:eastAsia="Calibri"/>
          <w:w w:val="102"/>
        </w:rPr>
        <w:t xml:space="preserve">and </w:t>
      </w:r>
      <w:r>
        <w:rPr>
          <w:rFonts w:eastAsia="Calibri"/>
          <w:w w:val="102"/>
        </w:rPr>
        <w:t xml:space="preserve">the Protocol </w:t>
      </w:r>
      <w:r w:rsidRPr="00C952A9">
        <w:rPr>
          <w:rFonts w:eastAsia="Calibri"/>
          <w:w w:val="102"/>
        </w:rPr>
        <w:t>in</w:t>
      </w:r>
      <w:r>
        <w:rPr>
          <w:rFonts w:eastAsia="Calibri"/>
          <w:w w:val="102"/>
        </w:rPr>
        <w:t>to</w:t>
      </w:r>
      <w:r w:rsidRPr="00C952A9">
        <w:rPr>
          <w:rFonts w:eastAsia="Calibri"/>
          <w:w w:val="102"/>
        </w:rPr>
        <w:t xml:space="preserve"> one transfer, if </w:t>
      </w:r>
      <w:r>
        <w:rPr>
          <w:rFonts w:eastAsia="Calibri"/>
          <w:w w:val="102"/>
        </w:rPr>
        <w:t>appropriate;</w:t>
      </w:r>
    </w:p>
    <w:p w14:paraId="76F92CAE" w14:textId="77777777" w:rsidR="00040253" w:rsidRPr="003C1C89" w:rsidRDefault="00040253" w:rsidP="00040253">
      <w:pPr>
        <w:spacing w:after="120"/>
        <w:ind w:left="1134" w:right="1134" w:firstLine="567"/>
        <w:jc w:val="both"/>
      </w:pPr>
      <w:r w:rsidRPr="003C1C89">
        <w:t>[(</w:t>
      </w:r>
      <w:r>
        <w:t>h</w:t>
      </w:r>
      <w:r w:rsidRPr="003C1C89">
        <w:t>)]</w:t>
      </w:r>
      <w:r w:rsidRPr="003C1C89">
        <w:tab/>
        <w:t xml:space="preserve">Parties pledge, where possible, prior to the adoption of a work programme by the Meeting of </w:t>
      </w:r>
      <w:r w:rsidRPr="003C1C89">
        <w:rPr>
          <w:w w:val="102"/>
        </w:rPr>
        <w:t xml:space="preserve">the </w:t>
      </w:r>
      <w:r w:rsidRPr="003C1C89">
        <w:t>Parties</w:t>
      </w:r>
      <w:r w:rsidRPr="003C1C89">
        <w:rPr>
          <w:w w:val="102"/>
        </w:rPr>
        <w:t xml:space="preserve">, their </w:t>
      </w:r>
      <w:r w:rsidRPr="003C1C89">
        <w:t xml:space="preserve">expected annual or multi-annual financial and in-kind contributions. Signatories, other </w:t>
      </w:r>
      <w:r w:rsidRPr="003C1C89">
        <w:rPr>
          <w:w w:val="102"/>
        </w:rPr>
        <w:t xml:space="preserve">interested </w:t>
      </w:r>
      <w:r w:rsidRPr="003C1C89">
        <w:t xml:space="preserve">States and organizations may </w:t>
      </w:r>
      <w:r>
        <w:t xml:space="preserve">also </w:t>
      </w:r>
      <w:r w:rsidRPr="003C1C89">
        <w:t xml:space="preserve">wish to indicate their expected </w:t>
      </w:r>
      <w:proofErr w:type="gramStart"/>
      <w:r w:rsidRPr="003C1C89">
        <w:t>contributions</w:t>
      </w:r>
      <w:r>
        <w:rPr>
          <w:w w:val="102"/>
        </w:rPr>
        <w:t>;</w:t>
      </w:r>
      <w:proofErr w:type="gramEnd"/>
    </w:p>
    <w:p w14:paraId="50341302" w14:textId="77777777" w:rsidR="00040253" w:rsidRPr="003C1C89" w:rsidRDefault="00040253" w:rsidP="00040253">
      <w:pPr>
        <w:pStyle w:val="SingleTxtG"/>
      </w:pPr>
      <w:r>
        <w:tab/>
      </w:r>
      <w:r w:rsidRPr="003C1C89">
        <w:tab/>
        <w:t>2.</w:t>
      </w:r>
      <w:r w:rsidRPr="003C1C89">
        <w:tab/>
      </w:r>
      <w:r w:rsidRPr="003C1C89">
        <w:rPr>
          <w:i/>
        </w:rPr>
        <w:t>Requests</w:t>
      </w:r>
      <w:r w:rsidRPr="003C1C89">
        <w:t xml:space="preserve"> Parties to contribute each year or to make multi-annual contributions towards the costs of activities under the work programme, in accordance with the scheme referred to in paragraph 1</w:t>
      </w:r>
      <w:r>
        <w:t xml:space="preserve"> </w:t>
      </w:r>
      <w:proofErr w:type="gramStart"/>
      <w:r>
        <w:t>above;</w:t>
      </w:r>
      <w:proofErr w:type="gramEnd"/>
    </w:p>
    <w:p w14:paraId="78CA210B" w14:textId="77777777" w:rsidR="00040253" w:rsidRPr="003C1C89" w:rsidRDefault="00040253" w:rsidP="00040253">
      <w:pPr>
        <w:pStyle w:val="SingleTxtG"/>
      </w:pPr>
      <w:r>
        <w:tab/>
      </w:r>
      <w:r w:rsidRPr="003C1C89">
        <w:tab/>
        <w:t>3.</w:t>
      </w:r>
      <w:r w:rsidRPr="003C1C89">
        <w:tab/>
      </w:r>
      <w:r w:rsidRPr="003C1C89">
        <w:rPr>
          <w:i/>
        </w:rPr>
        <w:t>Invites</w:t>
      </w:r>
      <w:r w:rsidRPr="003C1C89">
        <w:t xml:space="preserve"> </w:t>
      </w:r>
      <w:r>
        <w:t>S</w:t>
      </w:r>
      <w:r w:rsidRPr="003C1C89">
        <w:t xml:space="preserve">ignatories, other interested States and public entities, as well as the private sector, in accordance with the </w:t>
      </w:r>
      <w:r w:rsidRPr="004D294E">
        <w:t>20</w:t>
      </w:r>
      <w:r>
        <w:t>15</w:t>
      </w:r>
      <w:r w:rsidRPr="004D294E">
        <w:t xml:space="preserve"> Guidelines on </w:t>
      </w:r>
      <w:r w:rsidRPr="00BF2A91">
        <w:t>a Principle-based Approach to the</w:t>
      </w:r>
      <w:r>
        <w:t xml:space="preserve"> </w:t>
      </w:r>
      <w:r w:rsidRPr="004D294E">
        <w:t>Cooperation between the United Nations and the Business Sector,</w:t>
      </w:r>
      <w:r w:rsidRPr="004D294E">
        <w:rPr>
          <w:sz w:val="18"/>
          <w:vertAlign w:val="superscript"/>
        </w:rPr>
        <w:footnoteReference w:id="11"/>
      </w:r>
      <w:r>
        <w:t xml:space="preserve"> </w:t>
      </w:r>
      <w:r w:rsidRPr="003C1C89">
        <w:t>to contribute, in cash or in kind, towards covering the costs of the work programme;</w:t>
      </w:r>
    </w:p>
    <w:p w14:paraId="7D62A3B8" w14:textId="77777777" w:rsidR="00040253" w:rsidRPr="003C1C89" w:rsidRDefault="00040253" w:rsidP="00040253">
      <w:pPr>
        <w:pStyle w:val="SingleTxtG"/>
        <w:rPr>
          <w:lang w:eastAsia="en-GB"/>
        </w:rPr>
      </w:pPr>
      <w:r>
        <w:rPr>
          <w:lang w:eastAsia="en-GB"/>
        </w:rPr>
        <w:tab/>
      </w:r>
      <w:r w:rsidRPr="003C1C89">
        <w:rPr>
          <w:lang w:eastAsia="en-GB"/>
        </w:rPr>
        <w:tab/>
        <w:t>4.</w:t>
      </w:r>
      <w:r w:rsidRPr="003C1C89">
        <w:rPr>
          <w:lang w:eastAsia="en-GB"/>
        </w:rPr>
        <w:tab/>
      </w:r>
      <w:r w:rsidRPr="003C1C89">
        <w:rPr>
          <w:i/>
          <w:lang w:eastAsia="en-GB"/>
        </w:rPr>
        <w:t>Calls</w:t>
      </w:r>
      <w:r w:rsidRPr="003C1C89">
        <w:rPr>
          <w:lang w:eastAsia="en-GB"/>
        </w:rPr>
        <w:t xml:space="preserve"> </w:t>
      </w:r>
      <w:r w:rsidRPr="003C1C89">
        <w:rPr>
          <w:i/>
          <w:lang w:eastAsia="en-GB"/>
        </w:rPr>
        <w:t>upon</w:t>
      </w:r>
      <w:r w:rsidRPr="003C1C89">
        <w:rPr>
          <w:lang w:eastAsia="en-GB"/>
        </w:rPr>
        <w:t xml:space="preserve"> countries with economies in transition to finance</w:t>
      </w:r>
      <w:r>
        <w:rPr>
          <w:lang w:eastAsia="en-GB"/>
        </w:rPr>
        <w:t>,</w:t>
      </w:r>
      <w:r w:rsidRPr="003C1C89">
        <w:rPr>
          <w:lang w:eastAsia="en-GB"/>
        </w:rPr>
        <w:t xml:space="preserve"> to the extent possible</w:t>
      </w:r>
      <w:r>
        <w:rPr>
          <w:lang w:eastAsia="en-GB"/>
        </w:rPr>
        <w:t>,</w:t>
      </w:r>
      <w:r w:rsidRPr="003C1C89">
        <w:rPr>
          <w:lang w:eastAsia="en-GB"/>
        </w:rPr>
        <w:t xml:space="preserve"> their own participation in the </w:t>
      </w:r>
      <w:proofErr w:type="gramStart"/>
      <w:r w:rsidRPr="003C1C89">
        <w:rPr>
          <w:lang w:eastAsia="en-GB"/>
        </w:rPr>
        <w:t>activities</w:t>
      </w:r>
      <w:r>
        <w:rPr>
          <w:lang w:eastAsia="en-GB"/>
        </w:rPr>
        <w:t>;</w:t>
      </w:r>
      <w:proofErr w:type="gramEnd"/>
    </w:p>
    <w:p w14:paraId="4C2FCC71" w14:textId="77777777" w:rsidR="00040253" w:rsidRPr="003C1C89" w:rsidRDefault="00040253" w:rsidP="00040253">
      <w:pPr>
        <w:pStyle w:val="SingleTxtG"/>
      </w:pPr>
      <w:r>
        <w:rPr>
          <w:lang w:eastAsia="en-GB"/>
        </w:rPr>
        <w:lastRenderedPageBreak/>
        <w:tab/>
      </w:r>
      <w:r w:rsidRPr="003C1C89">
        <w:rPr>
          <w:lang w:eastAsia="en-GB"/>
        </w:rPr>
        <w:tab/>
        <w:t>5.</w:t>
      </w:r>
      <w:r w:rsidRPr="003C1C89">
        <w:rPr>
          <w:lang w:eastAsia="en-GB"/>
        </w:rPr>
        <w:tab/>
      </w:r>
      <w:r w:rsidRPr="003C1C89">
        <w:rPr>
          <w:i/>
          <w:lang w:eastAsia="en-GB"/>
        </w:rPr>
        <w:t>Calls upon</w:t>
      </w:r>
      <w:r w:rsidRPr="003C1C89">
        <w:rPr>
          <w:lang w:eastAsia="en-GB"/>
        </w:rPr>
        <w:t xml:space="preserve"> international organizations working in countries with economies in transition to </w:t>
      </w:r>
      <w:r w:rsidRPr="003C1C89">
        <w:t>support</w:t>
      </w:r>
      <w:r w:rsidRPr="003C1C89">
        <w:rPr>
          <w:lang w:eastAsia="en-GB"/>
        </w:rPr>
        <w:t xml:space="preserve"> </w:t>
      </w:r>
      <w:r>
        <w:rPr>
          <w:lang w:eastAsia="en-GB"/>
        </w:rPr>
        <w:t xml:space="preserve">the </w:t>
      </w:r>
      <w:r w:rsidRPr="003C1C89">
        <w:rPr>
          <w:lang w:eastAsia="en-GB"/>
        </w:rPr>
        <w:t>participation of representatives of these countries and non</w:t>
      </w:r>
      <w:r w:rsidRPr="003C1C89">
        <w:rPr>
          <w:lang w:eastAsia="en-GB"/>
        </w:rPr>
        <w:noBreakHyphen/>
        <w:t xml:space="preserve">governmental organizations in the meetings and other </w:t>
      </w:r>
      <w:proofErr w:type="gramStart"/>
      <w:r w:rsidRPr="003C1C89">
        <w:rPr>
          <w:lang w:eastAsia="en-GB"/>
        </w:rPr>
        <w:t>activities</w:t>
      </w:r>
      <w:r>
        <w:rPr>
          <w:lang w:eastAsia="en-GB"/>
        </w:rPr>
        <w:t>;</w:t>
      </w:r>
      <w:proofErr w:type="gramEnd"/>
    </w:p>
    <w:p w14:paraId="60C2FBF7" w14:textId="77777777" w:rsidR="00040253" w:rsidRPr="003C1C89" w:rsidRDefault="00040253" w:rsidP="00040253">
      <w:pPr>
        <w:pStyle w:val="SingleTxtG"/>
        <w:rPr>
          <w:u w:val="single"/>
        </w:rPr>
      </w:pPr>
      <w:r w:rsidRPr="003C1C89">
        <w:tab/>
      </w:r>
      <w:r>
        <w:tab/>
      </w:r>
      <w:r w:rsidRPr="003C1C89">
        <w:t>6.</w:t>
      </w:r>
      <w:r w:rsidRPr="003C1C89">
        <w:tab/>
      </w:r>
      <w:r w:rsidRPr="003C1C89">
        <w:rPr>
          <w:i/>
        </w:rPr>
        <w:t>Encourages</w:t>
      </w:r>
      <w:r w:rsidRPr="003C1C89">
        <w:t xml:space="preserve"> Parties that have historically contributed generously to maintain, or return to, their previous levels of </w:t>
      </w:r>
      <w:proofErr w:type="gramStart"/>
      <w:r w:rsidRPr="003C1C89">
        <w:t>contribution</w:t>
      </w:r>
      <w:r>
        <w:t>;</w:t>
      </w:r>
      <w:proofErr w:type="gramEnd"/>
    </w:p>
    <w:p w14:paraId="334928AB" w14:textId="77777777" w:rsidR="00040253" w:rsidRPr="003C1C89" w:rsidRDefault="00040253" w:rsidP="00040253">
      <w:pPr>
        <w:pStyle w:val="SingleTxtG"/>
        <w:rPr>
          <w:w w:val="102"/>
        </w:rPr>
      </w:pPr>
      <w:r>
        <w:tab/>
      </w:r>
      <w:r w:rsidRPr="003C1C89">
        <w:tab/>
        <w:t>7.</w:t>
      </w:r>
      <w:r w:rsidRPr="003C1C89">
        <w:tab/>
      </w:r>
      <w:r w:rsidRPr="003C1C89">
        <w:rPr>
          <w:i/>
        </w:rPr>
        <w:t>Requests</w:t>
      </w:r>
      <w:r w:rsidRPr="003C1C89">
        <w:t xml:space="preserve"> all Parties to ensure the equitable distribution of the financial responsibility for implementation of the work programme</w:t>
      </w:r>
      <w:r>
        <w:t>,</w:t>
      </w:r>
      <w:r w:rsidRPr="003C1C89">
        <w:t xml:space="preserve"> and requests the Bureau to liaise with Parties where appropriate concerning the achievement of this </w:t>
      </w:r>
      <w:proofErr w:type="gramStart"/>
      <w:r w:rsidRPr="003C1C89">
        <w:t>goal</w:t>
      </w:r>
      <w:r>
        <w:t>;</w:t>
      </w:r>
      <w:proofErr w:type="gramEnd"/>
      <w:r w:rsidRPr="003C1C89">
        <w:rPr>
          <w:i/>
        </w:rPr>
        <w:t xml:space="preserve"> </w:t>
      </w:r>
    </w:p>
    <w:p w14:paraId="18A9FE37" w14:textId="77777777" w:rsidR="00040253" w:rsidRPr="003C1C89" w:rsidRDefault="00040253" w:rsidP="00040253">
      <w:pPr>
        <w:pStyle w:val="SingleTxtG"/>
      </w:pPr>
      <w:r>
        <w:tab/>
      </w:r>
      <w:r w:rsidRPr="003C1C89">
        <w:tab/>
        <w:t>8.</w:t>
      </w:r>
      <w:r w:rsidRPr="003C1C89">
        <w:tab/>
      </w:r>
      <w:r w:rsidRPr="003C1C89">
        <w:rPr>
          <w:i/>
        </w:rPr>
        <w:t>Requests</w:t>
      </w:r>
      <w:r w:rsidRPr="003C1C89">
        <w:t xml:space="preserve"> the secretariat, in accordance with the financial rules of the United Nations, to allocate in the Convention </w:t>
      </w:r>
      <w:r>
        <w:t>t</w:t>
      </w:r>
      <w:r w:rsidRPr="003C1C89">
        <w:t xml:space="preserve">rust </w:t>
      </w:r>
      <w:r>
        <w:t>f</w:t>
      </w:r>
      <w:r w:rsidRPr="003C1C89">
        <w:t>und</w:t>
      </w:r>
      <w:r>
        <w:t>,</w:t>
      </w:r>
      <w:r w:rsidRPr="003C1C89" w:rsidDel="00402469">
        <w:t xml:space="preserve"> </w:t>
      </w:r>
      <w:r w:rsidRPr="003C1C89">
        <w:t>by 1 October of each year</w:t>
      </w:r>
      <w:r>
        <w:t>,</w:t>
      </w:r>
      <w:r w:rsidRPr="003C1C89">
        <w:t xml:space="preserve"> the sum required for the extension of the contracts of extrabudgetary staff of the secretariat for the upcoming year, as a priority, and also costs needed for implementation of activities in the first quarter of the upcoming year;</w:t>
      </w:r>
    </w:p>
    <w:p w14:paraId="4C8A5281" w14:textId="77777777" w:rsidR="00040253" w:rsidRPr="003C1C89" w:rsidRDefault="00040253" w:rsidP="00040253">
      <w:pPr>
        <w:pStyle w:val="SingleTxtG"/>
      </w:pPr>
      <w:r>
        <w:tab/>
      </w:r>
      <w:r w:rsidRPr="003C1C89">
        <w:tab/>
        <w:t>9.</w:t>
      </w:r>
      <w:r w:rsidRPr="003C1C89">
        <w:tab/>
      </w:r>
      <w:r w:rsidRPr="003C1C89">
        <w:rPr>
          <w:i/>
        </w:rPr>
        <w:t>Also requests</w:t>
      </w:r>
      <w:r w:rsidRPr="003C1C89">
        <w:t xml:space="preserve"> the secretariat, in accordance with the financial rules of the United Nations, to monitor the expenditure of the funds and to prepare annual reports specifically indicating contributions, and reflecting any changes to:</w:t>
      </w:r>
    </w:p>
    <w:p w14:paraId="718C067D" w14:textId="77777777" w:rsidR="00040253" w:rsidRPr="003C1C89" w:rsidRDefault="00040253" w:rsidP="00040253">
      <w:pPr>
        <w:spacing w:after="120"/>
        <w:ind w:left="1134" w:right="1134" w:firstLine="567"/>
        <w:jc w:val="both"/>
      </w:pPr>
      <w:r w:rsidRPr="003C1C89">
        <w:t>(a)</w:t>
      </w:r>
      <w:r w:rsidRPr="003C1C89">
        <w:tab/>
        <w:t xml:space="preserve">The estimated costs of activities for the next calendar </w:t>
      </w:r>
      <w:proofErr w:type="gramStart"/>
      <w:r w:rsidRPr="003C1C89">
        <w:t>year;</w:t>
      </w:r>
      <w:proofErr w:type="gramEnd"/>
      <w:r w:rsidRPr="003C1C89">
        <w:t xml:space="preserve"> </w:t>
      </w:r>
    </w:p>
    <w:p w14:paraId="23E1CB45" w14:textId="77777777" w:rsidR="00040253" w:rsidRPr="003C1C89" w:rsidRDefault="00040253" w:rsidP="00040253">
      <w:pPr>
        <w:spacing w:after="120"/>
        <w:ind w:left="1134" w:right="1134" w:firstLine="567"/>
        <w:jc w:val="both"/>
      </w:pPr>
      <w:r w:rsidRPr="003C1C89">
        <w:t>(b)</w:t>
      </w:r>
      <w:r w:rsidRPr="003C1C89">
        <w:tab/>
        <w:t>The composition of the Parties, for review by the Working Group of the Parties</w:t>
      </w:r>
      <w:r>
        <w:t>,</w:t>
      </w:r>
      <w:r w:rsidRPr="003C1C89">
        <w:t xml:space="preserve"> in order to strive to ensure that the level of contributions matches the level of funding needed for the implementation of the work </w:t>
      </w:r>
      <w:proofErr w:type="gramStart"/>
      <w:r w:rsidRPr="003C1C89">
        <w:t>programme;</w:t>
      </w:r>
      <w:proofErr w:type="gramEnd"/>
    </w:p>
    <w:p w14:paraId="283FD23C" w14:textId="77777777" w:rsidR="00040253" w:rsidRPr="003C1C89" w:rsidRDefault="00040253" w:rsidP="00040253">
      <w:pPr>
        <w:pStyle w:val="SingleTxtG"/>
      </w:pPr>
      <w:r>
        <w:tab/>
      </w:r>
      <w:r>
        <w:tab/>
      </w:r>
      <w:r w:rsidRPr="003C1C89">
        <w:t>10.</w:t>
      </w:r>
      <w:r w:rsidRPr="003C1C89">
        <w:tab/>
      </w:r>
      <w:r w:rsidRPr="003C1C89">
        <w:rPr>
          <w:i/>
        </w:rPr>
        <w:t>Requests</w:t>
      </w:r>
      <w:r w:rsidRPr="003C1C89">
        <w:t xml:space="preserve"> the Bureau, with </w:t>
      </w:r>
      <w:r w:rsidRPr="00712524">
        <w:t>the</w:t>
      </w:r>
      <w:r w:rsidRPr="003C1C89">
        <w:t xml:space="preserve"> assistance of the secretariat, </w:t>
      </w:r>
      <w:r>
        <w:t xml:space="preserve">to provide </w:t>
      </w:r>
      <w:r w:rsidRPr="003C1C89">
        <w:t>an estimation of the</w:t>
      </w:r>
      <w:r>
        <w:rPr>
          <w:color w:val="000000"/>
        </w:rPr>
        <w:t xml:space="preserve"> </w:t>
      </w:r>
      <w:r w:rsidRPr="003C1C89">
        <w:t>operational costs needed for the effective functioning of the Convention, which should be clearly distinct from the cost of other activities which are subject to the availability of resources;</w:t>
      </w:r>
    </w:p>
    <w:p w14:paraId="33711C2B" w14:textId="77777777" w:rsidR="00040253" w:rsidRPr="003C1C89" w:rsidRDefault="00040253" w:rsidP="00040253">
      <w:pPr>
        <w:pStyle w:val="SingleTxtG"/>
      </w:pPr>
      <w:r>
        <w:tab/>
      </w:r>
      <w:r>
        <w:tab/>
      </w:r>
      <w:r w:rsidRPr="003C1C89">
        <w:t>11.</w:t>
      </w:r>
      <w:r w:rsidRPr="003C1C89">
        <w:rPr>
          <w:i/>
        </w:rPr>
        <w:tab/>
        <w:t>Requests</w:t>
      </w:r>
      <w:r w:rsidRPr="003C1C89">
        <w:t xml:space="preserve"> the Working Group of the Parties to consider, in the light of these annual reports, whether changes would be required in the content or time frame of the work programme, in the event that the level of actual and/or pledged contributions does not match the level of funding needed;</w:t>
      </w:r>
    </w:p>
    <w:p w14:paraId="15526555" w14:textId="77777777" w:rsidR="00040253" w:rsidRPr="003C1C89" w:rsidRDefault="00040253" w:rsidP="00040253">
      <w:pPr>
        <w:pStyle w:val="SingleTxtG"/>
      </w:pPr>
      <w:r>
        <w:tab/>
      </w:r>
      <w:r w:rsidRPr="003C1C89">
        <w:tab/>
        <w:t>12.</w:t>
      </w:r>
      <w:r w:rsidRPr="003C1C89">
        <w:tab/>
      </w:r>
      <w:r w:rsidRPr="003C1C89">
        <w:rPr>
          <w:i/>
        </w:rPr>
        <w:t>Requests</w:t>
      </w:r>
      <w:r w:rsidRPr="003C1C89">
        <w:t xml:space="preserve"> the secretariat to prepare a comprehensive report on financial matters for each session of the Meeting of the Parties, including information on how much Parties and other participating States and organizations have contributed to the budget of the Convention in cash and in kind, and how the contributions were spent;</w:t>
      </w:r>
    </w:p>
    <w:p w14:paraId="15061AD7" w14:textId="77777777" w:rsidR="00040253" w:rsidRPr="003C1C89" w:rsidRDefault="00040253" w:rsidP="00040253">
      <w:pPr>
        <w:pStyle w:val="SingleTxtG"/>
      </w:pPr>
      <w:r>
        <w:tab/>
      </w:r>
      <w:r w:rsidRPr="003C1C89">
        <w:tab/>
        <w:t>13.</w:t>
      </w:r>
      <w:r w:rsidRPr="003C1C89">
        <w:tab/>
      </w:r>
      <w:r w:rsidRPr="003C1C89">
        <w:rPr>
          <w:i/>
        </w:rPr>
        <w:t>Agrees</w:t>
      </w:r>
      <w:r w:rsidRPr="003C1C89">
        <w:t xml:space="preserve"> to review the operation of the scheme of financial arrangements at its </w:t>
      </w:r>
      <w:r>
        <w:t>eighth</w:t>
      </w:r>
      <w:r w:rsidRPr="003C1C89">
        <w:t xml:space="preserve"> </w:t>
      </w:r>
      <w:proofErr w:type="gramStart"/>
      <w:r w:rsidRPr="003C1C89">
        <w:t>session;</w:t>
      </w:r>
      <w:proofErr w:type="gramEnd"/>
    </w:p>
    <w:p w14:paraId="26405CFC" w14:textId="77777777" w:rsidR="00040253" w:rsidRPr="003C1C89" w:rsidRDefault="00040253" w:rsidP="00040253">
      <w:pPr>
        <w:pStyle w:val="SingleTxtG"/>
      </w:pPr>
      <w:r>
        <w:tab/>
      </w:r>
      <w:r w:rsidRPr="003C1C89">
        <w:tab/>
        <w:t>14.</w:t>
      </w:r>
      <w:r w:rsidRPr="003C1C89">
        <w:tab/>
      </w:r>
      <w:r w:rsidRPr="003C1C89">
        <w:rPr>
          <w:i/>
        </w:rPr>
        <w:t>Mandates</w:t>
      </w:r>
      <w:r w:rsidRPr="003C1C89">
        <w:t xml:space="preserve"> the Bureau and the Working Group of the Parties to explore</w:t>
      </w:r>
      <w:r>
        <w:t>,</w:t>
      </w:r>
      <w:r w:rsidRPr="003C1C89">
        <w:t xml:space="preserve"> in the next intersessional period</w:t>
      </w:r>
      <w:r>
        <w:t>,</w:t>
      </w:r>
      <w:r w:rsidRPr="003C1C89">
        <w:t xml:space="preserve"> options for more predictable, stable and equitably shared funding, and requests them to make the appropriate proposals for consideration by the Meeting of the Parties at its </w:t>
      </w:r>
      <w:r>
        <w:t>eighth</w:t>
      </w:r>
      <w:r w:rsidRPr="003C1C89">
        <w:t xml:space="preserve"> session;</w:t>
      </w:r>
    </w:p>
    <w:p w14:paraId="24F9A373" w14:textId="67B5072C" w:rsidR="00AF01A0" w:rsidRDefault="00040253" w:rsidP="00AF01A0">
      <w:pPr>
        <w:pStyle w:val="SingleTxtG"/>
      </w:pPr>
      <w:r>
        <w:tab/>
      </w:r>
      <w:r w:rsidRPr="003C1C89">
        <w:tab/>
        <w:t>15.</w:t>
      </w:r>
      <w:r w:rsidRPr="003C1C89">
        <w:tab/>
      </w:r>
      <w:r w:rsidRPr="003C1C89">
        <w:rPr>
          <w:i/>
        </w:rPr>
        <w:t>Requests</w:t>
      </w:r>
      <w:r w:rsidRPr="003C1C89">
        <w:t xml:space="preserve"> the United Nations Economic Commission for Europe to allocate more resources to support the work under the Convention, noting in this connection the positive evaluation of the Environment subprogramme during the </w:t>
      </w:r>
      <w:r>
        <w:t xml:space="preserve">2013 </w:t>
      </w:r>
      <w:r w:rsidRPr="003C1C89">
        <w:rPr>
          <w:bCs/>
          <w:lang w:eastAsia="en-GB"/>
        </w:rPr>
        <w:t xml:space="preserve">review of the 2005 reform of </w:t>
      </w:r>
      <w:r w:rsidRPr="003C1C89">
        <w:t>the</w:t>
      </w:r>
      <w:r w:rsidRPr="003C1C89">
        <w:rPr>
          <w:bCs/>
          <w:lang w:eastAsia="en-GB"/>
        </w:rPr>
        <w:t xml:space="preserve"> </w:t>
      </w:r>
      <w:r w:rsidRPr="003C1C89">
        <w:t>Commission,</w:t>
      </w:r>
      <w:r w:rsidRPr="004118C5">
        <w:rPr>
          <w:vertAlign w:val="superscript"/>
        </w:rPr>
        <w:footnoteReference w:id="12"/>
      </w:r>
      <w:r w:rsidRPr="003C1C89">
        <w:t xml:space="preserve"> and considering, inter alia, the balance in the use of regular budgetary resources in the different subprogrammes.</w:t>
      </w:r>
      <w:r w:rsidR="00AF01A0">
        <w:br w:type="page"/>
      </w:r>
    </w:p>
    <w:p w14:paraId="3E7A63E6" w14:textId="0A53609B" w:rsidR="00040253" w:rsidRDefault="00FA156E" w:rsidP="00494683">
      <w:pPr>
        <w:pStyle w:val="HChG"/>
      </w:pPr>
      <w:r>
        <w:lastRenderedPageBreak/>
        <w:t xml:space="preserve"> </w:t>
      </w:r>
      <w:r w:rsidR="00040253">
        <w:t xml:space="preserve">[Annex </w:t>
      </w:r>
    </w:p>
    <w:p w14:paraId="785742EC" w14:textId="77777777" w:rsidR="00040253" w:rsidRPr="00A46135" w:rsidRDefault="00040253" w:rsidP="00040253">
      <w:pPr>
        <w:pStyle w:val="HChG"/>
      </w:pPr>
      <w:r>
        <w:tab/>
      </w:r>
      <w:r>
        <w:tab/>
      </w:r>
      <w:r w:rsidRPr="00A46135">
        <w:t xml:space="preserve">Indicative </w:t>
      </w:r>
      <w:r w:rsidRPr="00452E6C">
        <w:t>contributions</w:t>
      </w:r>
      <w:r w:rsidRPr="00A46135">
        <w:t xml:space="preserve"> for 20</w:t>
      </w:r>
      <w:r>
        <w:t>21</w:t>
      </w:r>
    </w:p>
    <w:tbl>
      <w:tblPr>
        <w:tblW w:w="7370" w:type="dxa"/>
        <w:tblInd w:w="1134" w:type="dxa"/>
        <w:tblLayout w:type="fixed"/>
        <w:tblCellMar>
          <w:left w:w="0" w:type="dxa"/>
          <w:right w:w="0" w:type="dxa"/>
        </w:tblCellMar>
        <w:tblLook w:val="04A0" w:firstRow="1" w:lastRow="0" w:firstColumn="1" w:lastColumn="0" w:noHBand="0" w:noVBand="1"/>
      </w:tblPr>
      <w:tblGrid>
        <w:gridCol w:w="2262"/>
        <w:gridCol w:w="1484"/>
        <w:gridCol w:w="1783"/>
        <w:gridCol w:w="1841"/>
      </w:tblGrid>
      <w:tr w:rsidR="00040253" w:rsidRPr="00452E6C" w14:paraId="171D628B" w14:textId="77777777" w:rsidTr="0050726A">
        <w:trPr>
          <w:tblHeader/>
        </w:trPr>
        <w:tc>
          <w:tcPr>
            <w:tcW w:w="2262" w:type="dxa"/>
            <w:tcBorders>
              <w:top w:val="single" w:sz="4" w:space="0" w:color="auto"/>
              <w:bottom w:val="single" w:sz="12" w:space="0" w:color="auto"/>
            </w:tcBorders>
            <w:shd w:val="clear" w:color="auto" w:fill="auto"/>
            <w:vAlign w:val="bottom"/>
            <w:hideMark/>
          </w:tcPr>
          <w:p w14:paraId="46AF45CE" w14:textId="77777777" w:rsidR="00040253" w:rsidRPr="00452E6C" w:rsidRDefault="00040253" w:rsidP="0050726A">
            <w:pPr>
              <w:suppressAutoHyphens w:val="0"/>
              <w:spacing w:before="80" w:after="80" w:line="200" w:lineRule="exact"/>
              <w:rPr>
                <w:bCs/>
                <w:i/>
                <w:sz w:val="16"/>
              </w:rPr>
            </w:pPr>
            <w:r w:rsidRPr="00452E6C">
              <w:rPr>
                <w:bCs/>
                <w:i/>
                <w:sz w:val="16"/>
              </w:rPr>
              <w:t xml:space="preserve">Column A: </w:t>
            </w:r>
            <w:r w:rsidRPr="00452E6C">
              <w:rPr>
                <w:bCs/>
                <w:i/>
                <w:sz w:val="16"/>
              </w:rPr>
              <w:br/>
              <w:t>Countries (Parties and Signatories)</w:t>
            </w:r>
          </w:p>
        </w:tc>
        <w:tc>
          <w:tcPr>
            <w:tcW w:w="1484" w:type="dxa"/>
            <w:tcBorders>
              <w:top w:val="single" w:sz="4" w:space="0" w:color="auto"/>
              <w:bottom w:val="single" w:sz="12" w:space="0" w:color="auto"/>
            </w:tcBorders>
            <w:shd w:val="clear" w:color="auto" w:fill="auto"/>
            <w:vAlign w:val="bottom"/>
            <w:hideMark/>
          </w:tcPr>
          <w:p w14:paraId="4D15C33B" w14:textId="77777777" w:rsidR="00040253" w:rsidRPr="00452E6C" w:rsidRDefault="00040253" w:rsidP="0050726A">
            <w:pPr>
              <w:suppressAutoHyphens w:val="0"/>
              <w:spacing w:before="80" w:after="80" w:line="200" w:lineRule="exact"/>
              <w:jc w:val="right"/>
              <w:rPr>
                <w:bCs/>
                <w:i/>
                <w:sz w:val="16"/>
              </w:rPr>
            </w:pPr>
            <w:r w:rsidRPr="00452E6C">
              <w:rPr>
                <w:bCs/>
                <w:i/>
                <w:sz w:val="16"/>
              </w:rPr>
              <w:t xml:space="preserve">Column B: </w:t>
            </w:r>
            <w:r w:rsidRPr="00452E6C">
              <w:rPr>
                <w:bCs/>
                <w:i/>
                <w:sz w:val="16"/>
              </w:rPr>
              <w:br/>
              <w:t>United Nations scale of assessments (percentage)</w:t>
            </w:r>
            <w:r w:rsidRPr="00452E6C">
              <w:rPr>
                <w:bCs/>
                <w:i/>
                <w:sz w:val="16"/>
                <w:vertAlign w:val="superscript"/>
              </w:rPr>
              <w:t>a</w:t>
            </w:r>
          </w:p>
        </w:tc>
        <w:tc>
          <w:tcPr>
            <w:tcW w:w="1783" w:type="dxa"/>
            <w:tcBorders>
              <w:top w:val="single" w:sz="4" w:space="0" w:color="auto"/>
              <w:bottom w:val="single" w:sz="12" w:space="0" w:color="auto"/>
            </w:tcBorders>
            <w:shd w:val="clear" w:color="auto" w:fill="auto"/>
            <w:vAlign w:val="bottom"/>
            <w:hideMark/>
          </w:tcPr>
          <w:p w14:paraId="56EF8EA4" w14:textId="77777777" w:rsidR="00040253" w:rsidRPr="00452E6C" w:rsidRDefault="00040253" w:rsidP="0050726A">
            <w:pPr>
              <w:suppressAutoHyphens w:val="0"/>
              <w:spacing w:before="80" w:after="80" w:line="200" w:lineRule="exact"/>
              <w:jc w:val="right"/>
              <w:rPr>
                <w:bCs/>
                <w:i/>
                <w:sz w:val="16"/>
              </w:rPr>
            </w:pPr>
            <w:r w:rsidRPr="00452E6C">
              <w:rPr>
                <w:bCs/>
                <w:i/>
                <w:sz w:val="16"/>
              </w:rPr>
              <w:t xml:space="preserve">Column C: </w:t>
            </w:r>
            <w:r w:rsidRPr="00452E6C">
              <w:rPr>
                <w:bCs/>
                <w:i/>
                <w:sz w:val="16"/>
              </w:rPr>
              <w:br/>
              <w:t>Adjusted United Nations scale of assessments (percentage)</w:t>
            </w:r>
            <w:r w:rsidRPr="00452E6C">
              <w:rPr>
                <w:bCs/>
                <w:i/>
                <w:sz w:val="16"/>
                <w:vertAlign w:val="superscript"/>
              </w:rPr>
              <w:t>b</w:t>
            </w:r>
          </w:p>
        </w:tc>
        <w:tc>
          <w:tcPr>
            <w:tcW w:w="1841" w:type="dxa"/>
            <w:tcBorders>
              <w:top w:val="single" w:sz="4" w:space="0" w:color="auto"/>
              <w:bottom w:val="single" w:sz="12" w:space="0" w:color="auto"/>
            </w:tcBorders>
            <w:shd w:val="clear" w:color="auto" w:fill="auto"/>
            <w:vAlign w:val="bottom"/>
            <w:hideMark/>
          </w:tcPr>
          <w:p w14:paraId="3F400C1C" w14:textId="77777777" w:rsidR="00040253" w:rsidRPr="00452E6C" w:rsidRDefault="00040253" w:rsidP="0050726A">
            <w:pPr>
              <w:suppressAutoHyphens w:val="0"/>
              <w:spacing w:before="80" w:after="80" w:line="200" w:lineRule="exact"/>
              <w:jc w:val="right"/>
              <w:rPr>
                <w:bCs/>
                <w:i/>
                <w:sz w:val="16"/>
              </w:rPr>
            </w:pPr>
            <w:r w:rsidRPr="00452E6C">
              <w:rPr>
                <w:bCs/>
                <w:i/>
                <w:sz w:val="16"/>
              </w:rPr>
              <w:t xml:space="preserve">Column </w:t>
            </w:r>
            <w:r>
              <w:rPr>
                <w:bCs/>
                <w:i/>
                <w:sz w:val="16"/>
              </w:rPr>
              <w:t>D:</w:t>
            </w:r>
            <w:r>
              <w:rPr>
                <w:bCs/>
                <w:i/>
                <w:sz w:val="16"/>
              </w:rPr>
              <w:br/>
            </w:r>
            <w:r w:rsidRPr="00452E6C">
              <w:rPr>
                <w:i/>
                <w:iCs/>
                <w:sz w:val="16"/>
              </w:rPr>
              <w:t>Amount to be contributed for 20</w:t>
            </w:r>
            <w:r>
              <w:rPr>
                <w:i/>
                <w:iCs/>
                <w:sz w:val="16"/>
              </w:rPr>
              <w:t>2</w:t>
            </w:r>
            <w:r w:rsidRPr="00452E6C">
              <w:rPr>
                <w:i/>
                <w:iCs/>
                <w:sz w:val="16"/>
              </w:rPr>
              <w:t>1 (United States dollars)</w:t>
            </w:r>
            <w:r w:rsidRPr="00452E6C">
              <w:rPr>
                <w:bCs/>
                <w:i/>
                <w:sz w:val="16"/>
              </w:rPr>
              <w:t>:</w:t>
            </w:r>
          </w:p>
        </w:tc>
      </w:tr>
      <w:tr w:rsidR="00040253" w:rsidRPr="00452E6C" w14:paraId="2BD85F9D" w14:textId="77777777" w:rsidTr="0050726A">
        <w:trPr>
          <w:trHeight w:hRule="exact" w:val="113"/>
          <w:tblHeader/>
        </w:trPr>
        <w:tc>
          <w:tcPr>
            <w:tcW w:w="2262" w:type="dxa"/>
            <w:tcBorders>
              <w:top w:val="single" w:sz="12" w:space="0" w:color="auto"/>
            </w:tcBorders>
            <w:shd w:val="clear" w:color="auto" w:fill="auto"/>
            <w:noWrap/>
          </w:tcPr>
          <w:p w14:paraId="5D5A3633" w14:textId="77777777" w:rsidR="00040253" w:rsidRPr="00452E6C" w:rsidRDefault="00040253" w:rsidP="0050726A">
            <w:pPr>
              <w:suppressAutoHyphens w:val="0"/>
              <w:spacing w:before="40" w:after="40" w:line="220" w:lineRule="exact"/>
              <w:rPr>
                <w:sz w:val="18"/>
              </w:rPr>
            </w:pPr>
          </w:p>
        </w:tc>
        <w:tc>
          <w:tcPr>
            <w:tcW w:w="1484" w:type="dxa"/>
            <w:tcBorders>
              <w:top w:val="single" w:sz="12" w:space="0" w:color="auto"/>
            </w:tcBorders>
            <w:shd w:val="clear" w:color="auto" w:fill="auto"/>
            <w:noWrap/>
            <w:vAlign w:val="bottom"/>
          </w:tcPr>
          <w:p w14:paraId="68DE3C35" w14:textId="77777777" w:rsidR="00040253" w:rsidRPr="00452E6C" w:rsidRDefault="00040253" w:rsidP="0050726A">
            <w:pPr>
              <w:suppressAutoHyphens w:val="0"/>
              <w:spacing w:before="40" w:after="40" w:line="220" w:lineRule="exact"/>
              <w:jc w:val="right"/>
              <w:rPr>
                <w:sz w:val="18"/>
              </w:rPr>
            </w:pPr>
          </w:p>
        </w:tc>
        <w:tc>
          <w:tcPr>
            <w:tcW w:w="1783" w:type="dxa"/>
            <w:tcBorders>
              <w:top w:val="single" w:sz="12" w:space="0" w:color="auto"/>
            </w:tcBorders>
            <w:shd w:val="clear" w:color="auto" w:fill="auto"/>
            <w:noWrap/>
            <w:vAlign w:val="bottom"/>
          </w:tcPr>
          <w:p w14:paraId="30B8BCDC" w14:textId="77777777" w:rsidR="00040253" w:rsidRPr="00452E6C" w:rsidRDefault="00040253" w:rsidP="0050726A">
            <w:pPr>
              <w:suppressAutoHyphens w:val="0"/>
              <w:spacing w:before="40" w:after="40" w:line="220" w:lineRule="exact"/>
              <w:jc w:val="right"/>
              <w:rPr>
                <w:sz w:val="18"/>
              </w:rPr>
            </w:pPr>
          </w:p>
        </w:tc>
        <w:tc>
          <w:tcPr>
            <w:tcW w:w="1841" w:type="dxa"/>
            <w:tcBorders>
              <w:top w:val="single" w:sz="12" w:space="0" w:color="auto"/>
            </w:tcBorders>
            <w:shd w:val="clear" w:color="auto" w:fill="auto"/>
            <w:vAlign w:val="bottom"/>
          </w:tcPr>
          <w:p w14:paraId="3A320436" w14:textId="77777777" w:rsidR="00040253" w:rsidRPr="00452E6C" w:rsidRDefault="00040253" w:rsidP="0050726A">
            <w:pPr>
              <w:suppressAutoHyphens w:val="0"/>
              <w:spacing w:before="40" w:after="40" w:line="220" w:lineRule="exact"/>
              <w:jc w:val="right"/>
              <w:rPr>
                <w:sz w:val="18"/>
              </w:rPr>
            </w:pPr>
          </w:p>
        </w:tc>
      </w:tr>
      <w:tr w:rsidR="00040253" w:rsidRPr="00452E6C" w14:paraId="7A916B9E" w14:textId="77777777" w:rsidTr="0050726A">
        <w:tc>
          <w:tcPr>
            <w:tcW w:w="2262" w:type="dxa"/>
            <w:shd w:val="clear" w:color="auto" w:fill="auto"/>
            <w:noWrap/>
            <w:hideMark/>
          </w:tcPr>
          <w:p w14:paraId="26D8D544" w14:textId="77777777" w:rsidR="00040253" w:rsidRPr="00452E6C" w:rsidRDefault="00040253" w:rsidP="0050726A">
            <w:pPr>
              <w:suppressAutoHyphens w:val="0"/>
              <w:spacing w:before="40" w:after="40" w:line="220" w:lineRule="exact"/>
              <w:rPr>
                <w:sz w:val="18"/>
              </w:rPr>
            </w:pPr>
            <w:r w:rsidRPr="00452E6C">
              <w:rPr>
                <w:sz w:val="18"/>
              </w:rPr>
              <w:t>Albania</w:t>
            </w:r>
          </w:p>
        </w:tc>
        <w:tc>
          <w:tcPr>
            <w:tcW w:w="1484" w:type="dxa"/>
            <w:shd w:val="clear" w:color="auto" w:fill="auto"/>
            <w:noWrap/>
            <w:vAlign w:val="bottom"/>
            <w:hideMark/>
          </w:tcPr>
          <w:p w14:paraId="677A5343" w14:textId="77777777" w:rsidR="00040253" w:rsidRPr="00452E6C" w:rsidRDefault="00040253" w:rsidP="0050726A">
            <w:pPr>
              <w:suppressAutoHyphens w:val="0"/>
              <w:spacing w:before="40" w:after="40" w:line="220" w:lineRule="exact"/>
              <w:jc w:val="right"/>
              <w:rPr>
                <w:sz w:val="18"/>
              </w:rPr>
            </w:pPr>
            <w:r w:rsidRPr="00452E6C">
              <w:rPr>
                <w:sz w:val="18"/>
              </w:rPr>
              <w:t>0.008</w:t>
            </w:r>
          </w:p>
        </w:tc>
        <w:tc>
          <w:tcPr>
            <w:tcW w:w="1783" w:type="dxa"/>
            <w:shd w:val="clear" w:color="auto" w:fill="auto"/>
            <w:noWrap/>
            <w:vAlign w:val="bottom"/>
          </w:tcPr>
          <w:p w14:paraId="5AD92F11" w14:textId="77777777" w:rsidR="00040253" w:rsidRPr="00452E6C" w:rsidRDefault="00040253" w:rsidP="0050726A">
            <w:pPr>
              <w:suppressAutoHyphens w:val="0"/>
              <w:spacing w:before="40" w:after="40" w:line="220" w:lineRule="exact"/>
              <w:jc w:val="right"/>
              <w:rPr>
                <w:sz w:val="18"/>
              </w:rPr>
            </w:pPr>
            <w:r w:rsidRPr="00452E6C">
              <w:rPr>
                <w:sz w:val="18"/>
              </w:rPr>
              <w:t>0.026</w:t>
            </w:r>
          </w:p>
        </w:tc>
        <w:tc>
          <w:tcPr>
            <w:tcW w:w="1841" w:type="dxa"/>
            <w:shd w:val="clear" w:color="auto" w:fill="auto"/>
            <w:vAlign w:val="bottom"/>
          </w:tcPr>
          <w:p w14:paraId="58EF976F" w14:textId="77777777" w:rsidR="00040253" w:rsidRPr="00452E6C" w:rsidRDefault="00040253" w:rsidP="0050726A">
            <w:pPr>
              <w:suppressAutoHyphens w:val="0"/>
              <w:spacing w:before="40" w:after="40" w:line="220" w:lineRule="exact"/>
              <w:jc w:val="right"/>
              <w:rPr>
                <w:sz w:val="18"/>
              </w:rPr>
            </w:pPr>
          </w:p>
        </w:tc>
      </w:tr>
      <w:tr w:rsidR="00040253" w:rsidRPr="00452E6C" w14:paraId="32D2288D" w14:textId="77777777" w:rsidTr="0050726A">
        <w:tc>
          <w:tcPr>
            <w:tcW w:w="2262" w:type="dxa"/>
            <w:shd w:val="clear" w:color="auto" w:fill="auto"/>
            <w:noWrap/>
            <w:hideMark/>
          </w:tcPr>
          <w:p w14:paraId="37DA74A0" w14:textId="77777777" w:rsidR="00040253" w:rsidRPr="00452E6C" w:rsidRDefault="00040253" w:rsidP="0050726A">
            <w:pPr>
              <w:suppressAutoHyphens w:val="0"/>
              <w:spacing w:before="40" w:after="40" w:line="220" w:lineRule="exact"/>
              <w:rPr>
                <w:sz w:val="18"/>
              </w:rPr>
            </w:pPr>
            <w:r w:rsidRPr="00452E6C">
              <w:rPr>
                <w:sz w:val="18"/>
              </w:rPr>
              <w:t>Armenia</w:t>
            </w:r>
          </w:p>
        </w:tc>
        <w:tc>
          <w:tcPr>
            <w:tcW w:w="1484" w:type="dxa"/>
            <w:shd w:val="clear" w:color="auto" w:fill="auto"/>
            <w:noWrap/>
            <w:vAlign w:val="bottom"/>
            <w:hideMark/>
          </w:tcPr>
          <w:p w14:paraId="52B8EB13" w14:textId="77777777" w:rsidR="00040253" w:rsidRPr="00452E6C" w:rsidRDefault="00040253" w:rsidP="0050726A">
            <w:pPr>
              <w:suppressAutoHyphens w:val="0"/>
              <w:spacing w:before="40" w:after="40" w:line="220" w:lineRule="exact"/>
              <w:jc w:val="right"/>
              <w:rPr>
                <w:sz w:val="18"/>
              </w:rPr>
            </w:pPr>
            <w:r w:rsidRPr="00452E6C">
              <w:rPr>
                <w:sz w:val="18"/>
              </w:rPr>
              <w:t>0.007</w:t>
            </w:r>
          </w:p>
        </w:tc>
        <w:tc>
          <w:tcPr>
            <w:tcW w:w="1783" w:type="dxa"/>
            <w:shd w:val="clear" w:color="auto" w:fill="auto"/>
            <w:noWrap/>
            <w:vAlign w:val="bottom"/>
          </w:tcPr>
          <w:p w14:paraId="1B1F26A6" w14:textId="77777777" w:rsidR="00040253" w:rsidRPr="00452E6C" w:rsidRDefault="00040253" w:rsidP="0050726A">
            <w:pPr>
              <w:suppressAutoHyphens w:val="0"/>
              <w:spacing w:before="40" w:after="40" w:line="220" w:lineRule="exact"/>
              <w:jc w:val="right"/>
              <w:rPr>
                <w:sz w:val="18"/>
              </w:rPr>
            </w:pPr>
            <w:r w:rsidRPr="00452E6C">
              <w:rPr>
                <w:sz w:val="18"/>
              </w:rPr>
              <w:t>0.023</w:t>
            </w:r>
          </w:p>
        </w:tc>
        <w:tc>
          <w:tcPr>
            <w:tcW w:w="1841" w:type="dxa"/>
            <w:shd w:val="clear" w:color="auto" w:fill="auto"/>
            <w:vAlign w:val="bottom"/>
          </w:tcPr>
          <w:p w14:paraId="151A739E" w14:textId="77777777" w:rsidR="00040253" w:rsidRPr="00452E6C" w:rsidRDefault="00040253" w:rsidP="0050726A">
            <w:pPr>
              <w:suppressAutoHyphens w:val="0"/>
              <w:spacing w:before="40" w:after="40" w:line="220" w:lineRule="exact"/>
              <w:jc w:val="right"/>
              <w:rPr>
                <w:sz w:val="18"/>
              </w:rPr>
            </w:pPr>
          </w:p>
        </w:tc>
      </w:tr>
      <w:tr w:rsidR="00040253" w:rsidRPr="00452E6C" w14:paraId="450BB98A" w14:textId="77777777" w:rsidTr="0050726A">
        <w:tc>
          <w:tcPr>
            <w:tcW w:w="2262" w:type="dxa"/>
            <w:shd w:val="clear" w:color="auto" w:fill="auto"/>
            <w:noWrap/>
            <w:hideMark/>
          </w:tcPr>
          <w:p w14:paraId="436A6CE2" w14:textId="77777777" w:rsidR="00040253" w:rsidRPr="00452E6C" w:rsidRDefault="00040253" w:rsidP="0050726A">
            <w:pPr>
              <w:suppressAutoHyphens w:val="0"/>
              <w:spacing w:before="40" w:after="40" w:line="220" w:lineRule="exact"/>
              <w:rPr>
                <w:sz w:val="18"/>
              </w:rPr>
            </w:pPr>
            <w:r w:rsidRPr="00452E6C">
              <w:rPr>
                <w:sz w:val="18"/>
              </w:rPr>
              <w:t>Austria</w:t>
            </w:r>
          </w:p>
        </w:tc>
        <w:tc>
          <w:tcPr>
            <w:tcW w:w="1484" w:type="dxa"/>
            <w:shd w:val="clear" w:color="auto" w:fill="auto"/>
            <w:noWrap/>
            <w:vAlign w:val="bottom"/>
            <w:hideMark/>
          </w:tcPr>
          <w:p w14:paraId="64DFF4C3" w14:textId="77777777" w:rsidR="00040253" w:rsidRPr="00452E6C" w:rsidRDefault="00040253" w:rsidP="0050726A">
            <w:pPr>
              <w:suppressAutoHyphens w:val="0"/>
              <w:spacing w:before="40" w:after="40" w:line="220" w:lineRule="exact"/>
              <w:jc w:val="right"/>
              <w:rPr>
                <w:sz w:val="18"/>
              </w:rPr>
            </w:pPr>
            <w:r w:rsidRPr="00452E6C">
              <w:rPr>
                <w:sz w:val="18"/>
              </w:rPr>
              <w:t>0.677</w:t>
            </w:r>
          </w:p>
        </w:tc>
        <w:tc>
          <w:tcPr>
            <w:tcW w:w="1783" w:type="dxa"/>
            <w:shd w:val="clear" w:color="auto" w:fill="auto"/>
            <w:noWrap/>
            <w:vAlign w:val="bottom"/>
          </w:tcPr>
          <w:p w14:paraId="7EBDD4CC" w14:textId="77777777" w:rsidR="00040253" w:rsidRPr="00452E6C" w:rsidRDefault="00040253" w:rsidP="0050726A">
            <w:pPr>
              <w:suppressAutoHyphens w:val="0"/>
              <w:spacing w:before="40" w:after="40" w:line="220" w:lineRule="exact"/>
              <w:jc w:val="right"/>
              <w:rPr>
                <w:sz w:val="18"/>
              </w:rPr>
            </w:pPr>
            <w:r w:rsidRPr="00452E6C">
              <w:rPr>
                <w:sz w:val="18"/>
              </w:rPr>
              <w:t>2.190</w:t>
            </w:r>
          </w:p>
        </w:tc>
        <w:tc>
          <w:tcPr>
            <w:tcW w:w="1841" w:type="dxa"/>
            <w:shd w:val="clear" w:color="auto" w:fill="auto"/>
            <w:vAlign w:val="bottom"/>
          </w:tcPr>
          <w:p w14:paraId="53998EE5" w14:textId="77777777" w:rsidR="00040253" w:rsidRPr="00452E6C" w:rsidRDefault="00040253" w:rsidP="0050726A">
            <w:pPr>
              <w:suppressAutoHyphens w:val="0"/>
              <w:spacing w:before="40" w:after="40" w:line="220" w:lineRule="exact"/>
              <w:jc w:val="right"/>
              <w:rPr>
                <w:sz w:val="18"/>
              </w:rPr>
            </w:pPr>
          </w:p>
        </w:tc>
      </w:tr>
      <w:tr w:rsidR="00040253" w:rsidRPr="00452E6C" w14:paraId="4CC3D0A8" w14:textId="77777777" w:rsidTr="0050726A">
        <w:tc>
          <w:tcPr>
            <w:tcW w:w="2262" w:type="dxa"/>
            <w:shd w:val="clear" w:color="auto" w:fill="auto"/>
            <w:noWrap/>
          </w:tcPr>
          <w:p w14:paraId="6DD9AE82" w14:textId="77777777" w:rsidR="00040253" w:rsidRPr="00452E6C" w:rsidRDefault="00040253" w:rsidP="0050726A">
            <w:pPr>
              <w:suppressAutoHyphens w:val="0"/>
              <w:spacing w:before="40" w:after="40" w:line="220" w:lineRule="exact"/>
              <w:rPr>
                <w:sz w:val="18"/>
              </w:rPr>
            </w:pPr>
            <w:r w:rsidRPr="00452E6C">
              <w:rPr>
                <w:sz w:val="18"/>
              </w:rPr>
              <w:t>Azerbaijan</w:t>
            </w:r>
          </w:p>
        </w:tc>
        <w:tc>
          <w:tcPr>
            <w:tcW w:w="1484" w:type="dxa"/>
            <w:shd w:val="clear" w:color="auto" w:fill="auto"/>
            <w:noWrap/>
            <w:vAlign w:val="bottom"/>
          </w:tcPr>
          <w:p w14:paraId="5308A717" w14:textId="77777777" w:rsidR="00040253" w:rsidRPr="00452E6C" w:rsidRDefault="00040253" w:rsidP="0050726A">
            <w:pPr>
              <w:suppressAutoHyphens w:val="0"/>
              <w:spacing w:before="40" w:after="40" w:line="220" w:lineRule="exact"/>
              <w:jc w:val="right"/>
              <w:rPr>
                <w:sz w:val="18"/>
              </w:rPr>
            </w:pPr>
            <w:r w:rsidRPr="00452E6C">
              <w:rPr>
                <w:sz w:val="18"/>
              </w:rPr>
              <w:t>0.049</w:t>
            </w:r>
          </w:p>
        </w:tc>
        <w:tc>
          <w:tcPr>
            <w:tcW w:w="1783" w:type="dxa"/>
            <w:shd w:val="clear" w:color="auto" w:fill="auto"/>
            <w:noWrap/>
            <w:vAlign w:val="bottom"/>
          </w:tcPr>
          <w:p w14:paraId="0DFEEC8F" w14:textId="77777777" w:rsidR="00040253" w:rsidRPr="00452E6C" w:rsidDel="000D050E" w:rsidRDefault="00040253" w:rsidP="0050726A">
            <w:pPr>
              <w:suppressAutoHyphens w:val="0"/>
              <w:spacing w:before="40" w:after="40" w:line="220" w:lineRule="exact"/>
              <w:jc w:val="right"/>
              <w:rPr>
                <w:sz w:val="18"/>
              </w:rPr>
            </w:pPr>
            <w:r w:rsidRPr="00452E6C">
              <w:rPr>
                <w:sz w:val="18"/>
              </w:rPr>
              <w:t>0.159</w:t>
            </w:r>
          </w:p>
        </w:tc>
        <w:tc>
          <w:tcPr>
            <w:tcW w:w="1841" w:type="dxa"/>
            <w:shd w:val="clear" w:color="auto" w:fill="auto"/>
            <w:vAlign w:val="bottom"/>
          </w:tcPr>
          <w:p w14:paraId="07C5DD34" w14:textId="77777777" w:rsidR="00040253" w:rsidRPr="00452E6C" w:rsidRDefault="00040253" w:rsidP="0050726A">
            <w:pPr>
              <w:suppressAutoHyphens w:val="0"/>
              <w:spacing w:before="40" w:after="40" w:line="220" w:lineRule="exact"/>
              <w:jc w:val="right"/>
              <w:rPr>
                <w:sz w:val="18"/>
              </w:rPr>
            </w:pPr>
          </w:p>
        </w:tc>
      </w:tr>
      <w:tr w:rsidR="00040253" w:rsidRPr="00452E6C" w14:paraId="2670F76E" w14:textId="77777777" w:rsidTr="0050726A">
        <w:tc>
          <w:tcPr>
            <w:tcW w:w="2262" w:type="dxa"/>
            <w:shd w:val="clear" w:color="auto" w:fill="auto"/>
            <w:noWrap/>
          </w:tcPr>
          <w:p w14:paraId="0F28A2CA" w14:textId="77777777" w:rsidR="00040253" w:rsidRPr="00452E6C" w:rsidRDefault="00040253" w:rsidP="0050726A">
            <w:pPr>
              <w:suppressAutoHyphens w:val="0"/>
              <w:spacing w:before="40" w:after="40" w:line="220" w:lineRule="exact"/>
              <w:rPr>
                <w:sz w:val="18"/>
              </w:rPr>
            </w:pPr>
            <w:r w:rsidRPr="00452E6C">
              <w:rPr>
                <w:sz w:val="18"/>
              </w:rPr>
              <w:t>Belarus</w:t>
            </w:r>
          </w:p>
        </w:tc>
        <w:tc>
          <w:tcPr>
            <w:tcW w:w="1484" w:type="dxa"/>
            <w:shd w:val="clear" w:color="auto" w:fill="auto"/>
            <w:noWrap/>
            <w:vAlign w:val="bottom"/>
          </w:tcPr>
          <w:p w14:paraId="24F9C61F" w14:textId="77777777" w:rsidR="00040253" w:rsidRPr="00452E6C" w:rsidRDefault="00040253" w:rsidP="0050726A">
            <w:pPr>
              <w:suppressAutoHyphens w:val="0"/>
              <w:spacing w:before="40" w:after="40" w:line="220" w:lineRule="exact"/>
              <w:jc w:val="right"/>
              <w:rPr>
                <w:sz w:val="18"/>
              </w:rPr>
            </w:pPr>
            <w:r w:rsidRPr="00452E6C">
              <w:rPr>
                <w:sz w:val="18"/>
              </w:rPr>
              <w:t>0.049</w:t>
            </w:r>
          </w:p>
        </w:tc>
        <w:tc>
          <w:tcPr>
            <w:tcW w:w="1783" w:type="dxa"/>
            <w:shd w:val="clear" w:color="auto" w:fill="auto"/>
            <w:noWrap/>
            <w:vAlign w:val="bottom"/>
          </w:tcPr>
          <w:p w14:paraId="1D326995" w14:textId="77777777" w:rsidR="00040253" w:rsidRPr="00452E6C" w:rsidDel="000D050E" w:rsidRDefault="00040253" w:rsidP="0050726A">
            <w:pPr>
              <w:suppressAutoHyphens w:val="0"/>
              <w:spacing w:before="40" w:after="40" w:line="220" w:lineRule="exact"/>
              <w:jc w:val="right"/>
              <w:rPr>
                <w:sz w:val="18"/>
              </w:rPr>
            </w:pPr>
            <w:r w:rsidRPr="00452E6C">
              <w:rPr>
                <w:sz w:val="18"/>
              </w:rPr>
              <w:t>0.159</w:t>
            </w:r>
          </w:p>
        </w:tc>
        <w:tc>
          <w:tcPr>
            <w:tcW w:w="1841" w:type="dxa"/>
            <w:shd w:val="clear" w:color="auto" w:fill="auto"/>
            <w:vAlign w:val="bottom"/>
          </w:tcPr>
          <w:p w14:paraId="32093632" w14:textId="77777777" w:rsidR="00040253" w:rsidRPr="00452E6C" w:rsidRDefault="00040253" w:rsidP="0050726A">
            <w:pPr>
              <w:suppressAutoHyphens w:val="0"/>
              <w:spacing w:before="40" w:after="40" w:line="220" w:lineRule="exact"/>
              <w:jc w:val="right"/>
              <w:rPr>
                <w:sz w:val="18"/>
              </w:rPr>
            </w:pPr>
          </w:p>
        </w:tc>
      </w:tr>
      <w:tr w:rsidR="00040253" w:rsidRPr="00452E6C" w14:paraId="3DDD6727" w14:textId="77777777" w:rsidTr="0050726A">
        <w:tc>
          <w:tcPr>
            <w:tcW w:w="2262" w:type="dxa"/>
            <w:shd w:val="clear" w:color="auto" w:fill="auto"/>
            <w:noWrap/>
            <w:hideMark/>
          </w:tcPr>
          <w:p w14:paraId="56D0F394" w14:textId="77777777" w:rsidR="00040253" w:rsidRPr="00452E6C" w:rsidRDefault="00040253" w:rsidP="0050726A">
            <w:pPr>
              <w:suppressAutoHyphens w:val="0"/>
              <w:spacing w:before="40" w:after="40" w:line="220" w:lineRule="exact"/>
              <w:rPr>
                <w:sz w:val="18"/>
              </w:rPr>
            </w:pPr>
            <w:r w:rsidRPr="00452E6C">
              <w:rPr>
                <w:sz w:val="18"/>
              </w:rPr>
              <w:t xml:space="preserve">Belgium </w:t>
            </w:r>
          </w:p>
        </w:tc>
        <w:tc>
          <w:tcPr>
            <w:tcW w:w="1484" w:type="dxa"/>
            <w:shd w:val="clear" w:color="auto" w:fill="auto"/>
            <w:noWrap/>
            <w:vAlign w:val="bottom"/>
            <w:hideMark/>
          </w:tcPr>
          <w:p w14:paraId="291D4C95" w14:textId="77777777" w:rsidR="00040253" w:rsidRPr="00452E6C" w:rsidRDefault="00040253" w:rsidP="0050726A">
            <w:pPr>
              <w:suppressAutoHyphens w:val="0"/>
              <w:spacing w:before="40" w:after="40" w:line="220" w:lineRule="exact"/>
              <w:jc w:val="right"/>
              <w:rPr>
                <w:sz w:val="18"/>
              </w:rPr>
            </w:pPr>
            <w:r w:rsidRPr="00452E6C">
              <w:rPr>
                <w:sz w:val="18"/>
              </w:rPr>
              <w:t>0.821</w:t>
            </w:r>
          </w:p>
        </w:tc>
        <w:tc>
          <w:tcPr>
            <w:tcW w:w="1783" w:type="dxa"/>
            <w:shd w:val="clear" w:color="auto" w:fill="auto"/>
            <w:noWrap/>
            <w:vAlign w:val="bottom"/>
          </w:tcPr>
          <w:p w14:paraId="640FC578" w14:textId="77777777" w:rsidR="00040253" w:rsidRPr="00452E6C" w:rsidRDefault="00040253" w:rsidP="0050726A">
            <w:pPr>
              <w:suppressAutoHyphens w:val="0"/>
              <w:spacing w:before="40" w:after="40" w:line="220" w:lineRule="exact"/>
              <w:jc w:val="right"/>
              <w:rPr>
                <w:sz w:val="18"/>
              </w:rPr>
            </w:pPr>
            <w:r w:rsidRPr="00452E6C">
              <w:rPr>
                <w:sz w:val="18"/>
              </w:rPr>
              <w:t>2.657</w:t>
            </w:r>
          </w:p>
        </w:tc>
        <w:tc>
          <w:tcPr>
            <w:tcW w:w="1841" w:type="dxa"/>
            <w:shd w:val="clear" w:color="auto" w:fill="auto"/>
            <w:vAlign w:val="bottom"/>
          </w:tcPr>
          <w:p w14:paraId="4C178886" w14:textId="77777777" w:rsidR="00040253" w:rsidRPr="00452E6C" w:rsidRDefault="00040253" w:rsidP="0050726A">
            <w:pPr>
              <w:suppressAutoHyphens w:val="0"/>
              <w:spacing w:before="40" w:after="40" w:line="220" w:lineRule="exact"/>
              <w:jc w:val="right"/>
              <w:rPr>
                <w:sz w:val="18"/>
              </w:rPr>
            </w:pPr>
          </w:p>
        </w:tc>
      </w:tr>
      <w:tr w:rsidR="00040253" w:rsidRPr="00452E6C" w14:paraId="79292940" w14:textId="77777777" w:rsidTr="0050726A">
        <w:tc>
          <w:tcPr>
            <w:tcW w:w="2262" w:type="dxa"/>
            <w:shd w:val="clear" w:color="auto" w:fill="auto"/>
            <w:noWrap/>
            <w:hideMark/>
          </w:tcPr>
          <w:p w14:paraId="71CB2146" w14:textId="77777777" w:rsidR="00040253" w:rsidRPr="00452E6C" w:rsidRDefault="00040253" w:rsidP="0050726A">
            <w:pPr>
              <w:suppressAutoHyphens w:val="0"/>
              <w:spacing w:before="40" w:after="40" w:line="220" w:lineRule="exact"/>
              <w:rPr>
                <w:sz w:val="18"/>
              </w:rPr>
            </w:pPr>
            <w:r w:rsidRPr="00452E6C">
              <w:rPr>
                <w:sz w:val="18"/>
              </w:rPr>
              <w:t>Bosnia and Herzegovina</w:t>
            </w:r>
          </w:p>
        </w:tc>
        <w:tc>
          <w:tcPr>
            <w:tcW w:w="1484" w:type="dxa"/>
            <w:shd w:val="clear" w:color="auto" w:fill="auto"/>
            <w:noWrap/>
            <w:vAlign w:val="bottom"/>
            <w:hideMark/>
          </w:tcPr>
          <w:p w14:paraId="18C88008" w14:textId="77777777" w:rsidR="00040253" w:rsidRPr="00452E6C" w:rsidRDefault="00040253" w:rsidP="0050726A">
            <w:pPr>
              <w:suppressAutoHyphens w:val="0"/>
              <w:spacing w:before="40" w:after="40" w:line="220" w:lineRule="exact"/>
              <w:jc w:val="right"/>
              <w:rPr>
                <w:sz w:val="18"/>
              </w:rPr>
            </w:pPr>
            <w:r w:rsidRPr="00452E6C">
              <w:rPr>
                <w:sz w:val="18"/>
              </w:rPr>
              <w:t>0.012</w:t>
            </w:r>
          </w:p>
        </w:tc>
        <w:tc>
          <w:tcPr>
            <w:tcW w:w="1783" w:type="dxa"/>
            <w:shd w:val="clear" w:color="auto" w:fill="auto"/>
            <w:noWrap/>
            <w:vAlign w:val="bottom"/>
          </w:tcPr>
          <w:p w14:paraId="5EE46149" w14:textId="77777777" w:rsidR="00040253" w:rsidRPr="00452E6C" w:rsidRDefault="00040253" w:rsidP="0050726A">
            <w:pPr>
              <w:suppressAutoHyphens w:val="0"/>
              <w:spacing w:before="40" w:after="40" w:line="220" w:lineRule="exact"/>
              <w:jc w:val="right"/>
              <w:rPr>
                <w:sz w:val="18"/>
              </w:rPr>
            </w:pPr>
            <w:r w:rsidRPr="00452E6C">
              <w:rPr>
                <w:sz w:val="18"/>
              </w:rPr>
              <w:t>0.039</w:t>
            </w:r>
          </w:p>
        </w:tc>
        <w:tc>
          <w:tcPr>
            <w:tcW w:w="1841" w:type="dxa"/>
            <w:shd w:val="clear" w:color="auto" w:fill="auto"/>
            <w:vAlign w:val="bottom"/>
          </w:tcPr>
          <w:p w14:paraId="7A751810" w14:textId="77777777" w:rsidR="00040253" w:rsidRPr="00452E6C" w:rsidRDefault="00040253" w:rsidP="0050726A">
            <w:pPr>
              <w:suppressAutoHyphens w:val="0"/>
              <w:spacing w:before="40" w:after="40" w:line="220" w:lineRule="exact"/>
              <w:jc w:val="right"/>
              <w:rPr>
                <w:sz w:val="18"/>
              </w:rPr>
            </w:pPr>
          </w:p>
        </w:tc>
      </w:tr>
      <w:tr w:rsidR="00040253" w:rsidRPr="00452E6C" w14:paraId="1B080A40" w14:textId="77777777" w:rsidTr="0050726A">
        <w:tc>
          <w:tcPr>
            <w:tcW w:w="2262" w:type="dxa"/>
            <w:shd w:val="clear" w:color="auto" w:fill="auto"/>
            <w:noWrap/>
            <w:hideMark/>
          </w:tcPr>
          <w:p w14:paraId="3B207DCD" w14:textId="77777777" w:rsidR="00040253" w:rsidRPr="00452E6C" w:rsidRDefault="00040253" w:rsidP="0050726A">
            <w:pPr>
              <w:suppressAutoHyphens w:val="0"/>
              <w:spacing w:before="40" w:after="40" w:line="220" w:lineRule="exact"/>
              <w:rPr>
                <w:sz w:val="18"/>
              </w:rPr>
            </w:pPr>
            <w:r w:rsidRPr="00452E6C">
              <w:rPr>
                <w:sz w:val="18"/>
              </w:rPr>
              <w:t>Bulgaria</w:t>
            </w:r>
          </w:p>
        </w:tc>
        <w:tc>
          <w:tcPr>
            <w:tcW w:w="1484" w:type="dxa"/>
            <w:shd w:val="clear" w:color="auto" w:fill="auto"/>
            <w:noWrap/>
            <w:vAlign w:val="bottom"/>
            <w:hideMark/>
          </w:tcPr>
          <w:p w14:paraId="6886FD8F" w14:textId="77777777" w:rsidR="00040253" w:rsidRPr="00452E6C" w:rsidRDefault="00040253" w:rsidP="0050726A">
            <w:pPr>
              <w:suppressAutoHyphens w:val="0"/>
              <w:spacing w:before="40" w:after="40" w:line="220" w:lineRule="exact"/>
              <w:jc w:val="right"/>
              <w:rPr>
                <w:sz w:val="18"/>
              </w:rPr>
            </w:pPr>
            <w:r w:rsidRPr="00452E6C">
              <w:rPr>
                <w:sz w:val="18"/>
              </w:rPr>
              <w:t>0.046</w:t>
            </w:r>
          </w:p>
        </w:tc>
        <w:tc>
          <w:tcPr>
            <w:tcW w:w="1783" w:type="dxa"/>
            <w:shd w:val="clear" w:color="auto" w:fill="auto"/>
            <w:noWrap/>
            <w:vAlign w:val="bottom"/>
          </w:tcPr>
          <w:p w14:paraId="1DBA39DB" w14:textId="77777777" w:rsidR="00040253" w:rsidRPr="00452E6C" w:rsidRDefault="00040253" w:rsidP="0050726A">
            <w:pPr>
              <w:suppressAutoHyphens w:val="0"/>
              <w:spacing w:before="40" w:after="40" w:line="220" w:lineRule="exact"/>
              <w:jc w:val="right"/>
              <w:rPr>
                <w:sz w:val="18"/>
              </w:rPr>
            </w:pPr>
            <w:r w:rsidRPr="00452E6C">
              <w:rPr>
                <w:sz w:val="18"/>
              </w:rPr>
              <w:t>0.149</w:t>
            </w:r>
          </w:p>
        </w:tc>
        <w:tc>
          <w:tcPr>
            <w:tcW w:w="1841" w:type="dxa"/>
            <w:shd w:val="clear" w:color="auto" w:fill="auto"/>
            <w:vAlign w:val="bottom"/>
          </w:tcPr>
          <w:p w14:paraId="0C4A5769" w14:textId="77777777" w:rsidR="00040253" w:rsidRPr="00452E6C" w:rsidRDefault="00040253" w:rsidP="0050726A">
            <w:pPr>
              <w:suppressAutoHyphens w:val="0"/>
              <w:spacing w:before="40" w:after="40" w:line="220" w:lineRule="exact"/>
              <w:jc w:val="right"/>
              <w:rPr>
                <w:sz w:val="18"/>
              </w:rPr>
            </w:pPr>
          </w:p>
        </w:tc>
      </w:tr>
      <w:tr w:rsidR="00040253" w:rsidRPr="00452E6C" w14:paraId="78AD3FAB" w14:textId="77777777" w:rsidTr="0050726A">
        <w:tc>
          <w:tcPr>
            <w:tcW w:w="2262" w:type="dxa"/>
            <w:shd w:val="clear" w:color="auto" w:fill="auto"/>
            <w:noWrap/>
            <w:hideMark/>
          </w:tcPr>
          <w:p w14:paraId="1E7DE815" w14:textId="77777777" w:rsidR="00040253" w:rsidRPr="00452E6C" w:rsidRDefault="00040253" w:rsidP="0050726A">
            <w:pPr>
              <w:suppressAutoHyphens w:val="0"/>
              <w:spacing w:before="40" w:after="40" w:line="220" w:lineRule="exact"/>
              <w:rPr>
                <w:sz w:val="18"/>
              </w:rPr>
            </w:pPr>
            <w:r w:rsidRPr="00452E6C">
              <w:rPr>
                <w:sz w:val="18"/>
              </w:rPr>
              <w:t>Croatia</w:t>
            </w:r>
          </w:p>
        </w:tc>
        <w:tc>
          <w:tcPr>
            <w:tcW w:w="1484" w:type="dxa"/>
            <w:shd w:val="clear" w:color="auto" w:fill="auto"/>
            <w:noWrap/>
            <w:vAlign w:val="bottom"/>
            <w:hideMark/>
          </w:tcPr>
          <w:p w14:paraId="5F3D3542" w14:textId="77777777" w:rsidR="00040253" w:rsidRPr="00452E6C" w:rsidRDefault="00040253" w:rsidP="0050726A">
            <w:pPr>
              <w:suppressAutoHyphens w:val="0"/>
              <w:spacing w:before="40" w:after="40" w:line="220" w:lineRule="exact"/>
              <w:jc w:val="right"/>
              <w:rPr>
                <w:sz w:val="18"/>
              </w:rPr>
            </w:pPr>
            <w:r w:rsidRPr="00452E6C">
              <w:rPr>
                <w:sz w:val="18"/>
              </w:rPr>
              <w:t>0.077</w:t>
            </w:r>
          </w:p>
        </w:tc>
        <w:tc>
          <w:tcPr>
            <w:tcW w:w="1783" w:type="dxa"/>
            <w:shd w:val="clear" w:color="auto" w:fill="auto"/>
            <w:noWrap/>
            <w:vAlign w:val="bottom"/>
          </w:tcPr>
          <w:p w14:paraId="4A3117B1" w14:textId="77777777" w:rsidR="00040253" w:rsidRPr="00452E6C" w:rsidRDefault="00040253" w:rsidP="0050726A">
            <w:pPr>
              <w:suppressAutoHyphens w:val="0"/>
              <w:spacing w:before="40" w:after="40" w:line="220" w:lineRule="exact"/>
              <w:jc w:val="right"/>
              <w:rPr>
                <w:sz w:val="18"/>
              </w:rPr>
            </w:pPr>
            <w:r w:rsidRPr="00452E6C">
              <w:rPr>
                <w:sz w:val="18"/>
              </w:rPr>
              <w:t>0.249</w:t>
            </w:r>
          </w:p>
        </w:tc>
        <w:tc>
          <w:tcPr>
            <w:tcW w:w="1841" w:type="dxa"/>
            <w:shd w:val="clear" w:color="auto" w:fill="auto"/>
            <w:vAlign w:val="bottom"/>
          </w:tcPr>
          <w:p w14:paraId="5866BEA9" w14:textId="77777777" w:rsidR="00040253" w:rsidRPr="00452E6C" w:rsidRDefault="00040253" w:rsidP="0050726A">
            <w:pPr>
              <w:suppressAutoHyphens w:val="0"/>
              <w:spacing w:before="40" w:after="40" w:line="220" w:lineRule="exact"/>
              <w:jc w:val="right"/>
              <w:rPr>
                <w:sz w:val="18"/>
              </w:rPr>
            </w:pPr>
          </w:p>
        </w:tc>
      </w:tr>
      <w:tr w:rsidR="00040253" w:rsidRPr="00452E6C" w14:paraId="486BD605" w14:textId="77777777" w:rsidTr="0050726A">
        <w:tc>
          <w:tcPr>
            <w:tcW w:w="2262" w:type="dxa"/>
            <w:shd w:val="clear" w:color="auto" w:fill="auto"/>
            <w:noWrap/>
            <w:hideMark/>
          </w:tcPr>
          <w:p w14:paraId="29708101" w14:textId="77777777" w:rsidR="00040253" w:rsidRPr="00452E6C" w:rsidRDefault="00040253" w:rsidP="0050726A">
            <w:pPr>
              <w:suppressAutoHyphens w:val="0"/>
              <w:spacing w:before="40" w:after="40" w:line="220" w:lineRule="exact"/>
              <w:rPr>
                <w:sz w:val="18"/>
              </w:rPr>
            </w:pPr>
            <w:r w:rsidRPr="00452E6C">
              <w:rPr>
                <w:sz w:val="18"/>
              </w:rPr>
              <w:t>Cyprus</w:t>
            </w:r>
          </w:p>
        </w:tc>
        <w:tc>
          <w:tcPr>
            <w:tcW w:w="1484" w:type="dxa"/>
            <w:shd w:val="clear" w:color="auto" w:fill="auto"/>
            <w:noWrap/>
            <w:vAlign w:val="bottom"/>
            <w:hideMark/>
          </w:tcPr>
          <w:p w14:paraId="5C11BCD5" w14:textId="77777777" w:rsidR="00040253" w:rsidRPr="00452E6C" w:rsidRDefault="00040253" w:rsidP="0050726A">
            <w:pPr>
              <w:suppressAutoHyphens w:val="0"/>
              <w:spacing w:before="40" w:after="40" w:line="220" w:lineRule="exact"/>
              <w:jc w:val="right"/>
              <w:rPr>
                <w:sz w:val="18"/>
              </w:rPr>
            </w:pPr>
            <w:r w:rsidRPr="00452E6C">
              <w:rPr>
                <w:sz w:val="18"/>
              </w:rPr>
              <w:t>0.036</w:t>
            </w:r>
          </w:p>
        </w:tc>
        <w:tc>
          <w:tcPr>
            <w:tcW w:w="1783" w:type="dxa"/>
            <w:shd w:val="clear" w:color="auto" w:fill="auto"/>
            <w:noWrap/>
            <w:vAlign w:val="bottom"/>
          </w:tcPr>
          <w:p w14:paraId="2F861D6F" w14:textId="77777777" w:rsidR="00040253" w:rsidRPr="00452E6C" w:rsidRDefault="00040253" w:rsidP="0050726A">
            <w:pPr>
              <w:suppressAutoHyphens w:val="0"/>
              <w:spacing w:before="40" w:after="40" w:line="220" w:lineRule="exact"/>
              <w:jc w:val="right"/>
              <w:rPr>
                <w:sz w:val="18"/>
              </w:rPr>
            </w:pPr>
            <w:r w:rsidRPr="00452E6C">
              <w:rPr>
                <w:sz w:val="18"/>
              </w:rPr>
              <w:t>0.116</w:t>
            </w:r>
          </w:p>
        </w:tc>
        <w:tc>
          <w:tcPr>
            <w:tcW w:w="1841" w:type="dxa"/>
            <w:shd w:val="clear" w:color="auto" w:fill="auto"/>
            <w:vAlign w:val="bottom"/>
          </w:tcPr>
          <w:p w14:paraId="4723EDEF" w14:textId="77777777" w:rsidR="00040253" w:rsidRPr="00452E6C" w:rsidRDefault="00040253" w:rsidP="0050726A">
            <w:pPr>
              <w:suppressAutoHyphens w:val="0"/>
              <w:spacing w:before="40" w:after="40" w:line="220" w:lineRule="exact"/>
              <w:jc w:val="right"/>
              <w:rPr>
                <w:sz w:val="18"/>
              </w:rPr>
            </w:pPr>
          </w:p>
        </w:tc>
      </w:tr>
      <w:tr w:rsidR="00040253" w:rsidRPr="00452E6C" w14:paraId="5AC7CD3F" w14:textId="77777777" w:rsidTr="0050726A">
        <w:tc>
          <w:tcPr>
            <w:tcW w:w="2262" w:type="dxa"/>
            <w:shd w:val="clear" w:color="auto" w:fill="auto"/>
            <w:noWrap/>
            <w:hideMark/>
          </w:tcPr>
          <w:p w14:paraId="6BFE62BE" w14:textId="77777777" w:rsidR="00040253" w:rsidRPr="00452E6C" w:rsidRDefault="00040253" w:rsidP="0050726A">
            <w:pPr>
              <w:suppressAutoHyphens w:val="0"/>
              <w:spacing w:before="40" w:after="40" w:line="220" w:lineRule="exact"/>
              <w:rPr>
                <w:sz w:val="18"/>
              </w:rPr>
            </w:pPr>
            <w:r w:rsidRPr="00452E6C">
              <w:rPr>
                <w:sz w:val="18"/>
              </w:rPr>
              <w:t>Czechia</w:t>
            </w:r>
          </w:p>
        </w:tc>
        <w:tc>
          <w:tcPr>
            <w:tcW w:w="1484" w:type="dxa"/>
            <w:shd w:val="clear" w:color="auto" w:fill="auto"/>
            <w:noWrap/>
            <w:vAlign w:val="bottom"/>
            <w:hideMark/>
          </w:tcPr>
          <w:p w14:paraId="191F0691" w14:textId="77777777" w:rsidR="00040253" w:rsidRPr="00452E6C" w:rsidRDefault="00040253" w:rsidP="0050726A">
            <w:pPr>
              <w:suppressAutoHyphens w:val="0"/>
              <w:spacing w:before="40" w:after="40" w:line="220" w:lineRule="exact"/>
              <w:jc w:val="right"/>
              <w:rPr>
                <w:sz w:val="18"/>
              </w:rPr>
            </w:pPr>
            <w:r w:rsidRPr="00452E6C">
              <w:rPr>
                <w:sz w:val="18"/>
              </w:rPr>
              <w:t>0.311</w:t>
            </w:r>
          </w:p>
        </w:tc>
        <w:tc>
          <w:tcPr>
            <w:tcW w:w="1783" w:type="dxa"/>
            <w:shd w:val="clear" w:color="auto" w:fill="auto"/>
            <w:noWrap/>
            <w:vAlign w:val="bottom"/>
          </w:tcPr>
          <w:p w14:paraId="564B9FBF" w14:textId="77777777" w:rsidR="00040253" w:rsidRPr="00452E6C" w:rsidRDefault="00040253" w:rsidP="0050726A">
            <w:pPr>
              <w:suppressAutoHyphens w:val="0"/>
              <w:spacing w:before="40" w:after="40" w:line="220" w:lineRule="exact"/>
              <w:jc w:val="right"/>
              <w:rPr>
                <w:sz w:val="18"/>
              </w:rPr>
            </w:pPr>
            <w:r w:rsidRPr="00452E6C">
              <w:rPr>
                <w:sz w:val="18"/>
              </w:rPr>
              <w:t>1.006</w:t>
            </w:r>
          </w:p>
        </w:tc>
        <w:tc>
          <w:tcPr>
            <w:tcW w:w="1841" w:type="dxa"/>
            <w:shd w:val="clear" w:color="auto" w:fill="auto"/>
            <w:vAlign w:val="bottom"/>
          </w:tcPr>
          <w:p w14:paraId="2E3C4FA2" w14:textId="77777777" w:rsidR="00040253" w:rsidRPr="00452E6C" w:rsidRDefault="00040253" w:rsidP="0050726A">
            <w:pPr>
              <w:suppressAutoHyphens w:val="0"/>
              <w:spacing w:before="40" w:after="40" w:line="220" w:lineRule="exact"/>
              <w:jc w:val="right"/>
              <w:rPr>
                <w:sz w:val="18"/>
              </w:rPr>
            </w:pPr>
          </w:p>
        </w:tc>
      </w:tr>
      <w:tr w:rsidR="00040253" w:rsidRPr="00452E6C" w14:paraId="28CA31A8" w14:textId="77777777" w:rsidTr="0050726A">
        <w:tc>
          <w:tcPr>
            <w:tcW w:w="2262" w:type="dxa"/>
            <w:shd w:val="clear" w:color="auto" w:fill="auto"/>
            <w:noWrap/>
            <w:hideMark/>
          </w:tcPr>
          <w:p w14:paraId="3E19CA18" w14:textId="77777777" w:rsidR="00040253" w:rsidRPr="00452E6C" w:rsidRDefault="00040253" w:rsidP="0050726A">
            <w:pPr>
              <w:suppressAutoHyphens w:val="0"/>
              <w:spacing w:before="40" w:after="40" w:line="220" w:lineRule="exact"/>
              <w:rPr>
                <w:sz w:val="18"/>
              </w:rPr>
            </w:pPr>
            <w:r w:rsidRPr="00452E6C">
              <w:rPr>
                <w:sz w:val="18"/>
              </w:rPr>
              <w:t>Denmark</w:t>
            </w:r>
          </w:p>
        </w:tc>
        <w:tc>
          <w:tcPr>
            <w:tcW w:w="1484" w:type="dxa"/>
            <w:shd w:val="clear" w:color="auto" w:fill="auto"/>
            <w:noWrap/>
            <w:vAlign w:val="bottom"/>
            <w:hideMark/>
          </w:tcPr>
          <w:p w14:paraId="7E6ADD3F" w14:textId="77777777" w:rsidR="00040253" w:rsidRPr="00452E6C" w:rsidRDefault="00040253" w:rsidP="0050726A">
            <w:pPr>
              <w:suppressAutoHyphens w:val="0"/>
              <w:spacing w:before="40" w:after="40" w:line="220" w:lineRule="exact"/>
              <w:jc w:val="right"/>
              <w:rPr>
                <w:sz w:val="18"/>
              </w:rPr>
            </w:pPr>
            <w:r w:rsidRPr="00452E6C">
              <w:rPr>
                <w:sz w:val="18"/>
              </w:rPr>
              <w:t>0.554</w:t>
            </w:r>
          </w:p>
        </w:tc>
        <w:tc>
          <w:tcPr>
            <w:tcW w:w="1783" w:type="dxa"/>
            <w:shd w:val="clear" w:color="auto" w:fill="auto"/>
            <w:noWrap/>
            <w:vAlign w:val="bottom"/>
          </w:tcPr>
          <w:p w14:paraId="64B6B49E" w14:textId="77777777" w:rsidR="00040253" w:rsidRPr="00452E6C" w:rsidRDefault="00040253" w:rsidP="0050726A">
            <w:pPr>
              <w:suppressAutoHyphens w:val="0"/>
              <w:spacing w:before="40" w:after="40" w:line="220" w:lineRule="exact"/>
              <w:jc w:val="right"/>
              <w:rPr>
                <w:sz w:val="18"/>
              </w:rPr>
            </w:pPr>
            <w:r w:rsidRPr="00452E6C">
              <w:rPr>
                <w:sz w:val="18"/>
              </w:rPr>
              <w:t>1.793</w:t>
            </w:r>
          </w:p>
        </w:tc>
        <w:tc>
          <w:tcPr>
            <w:tcW w:w="1841" w:type="dxa"/>
            <w:shd w:val="clear" w:color="auto" w:fill="auto"/>
            <w:vAlign w:val="bottom"/>
          </w:tcPr>
          <w:p w14:paraId="503BFF9E" w14:textId="77777777" w:rsidR="00040253" w:rsidRPr="00452E6C" w:rsidRDefault="00040253" w:rsidP="0050726A">
            <w:pPr>
              <w:suppressAutoHyphens w:val="0"/>
              <w:spacing w:before="40" w:after="40" w:line="220" w:lineRule="exact"/>
              <w:jc w:val="right"/>
              <w:rPr>
                <w:sz w:val="18"/>
              </w:rPr>
            </w:pPr>
          </w:p>
        </w:tc>
      </w:tr>
      <w:tr w:rsidR="00040253" w:rsidRPr="00452E6C" w14:paraId="498E9B16" w14:textId="77777777" w:rsidTr="0050726A">
        <w:tc>
          <w:tcPr>
            <w:tcW w:w="2262" w:type="dxa"/>
            <w:shd w:val="clear" w:color="auto" w:fill="auto"/>
            <w:noWrap/>
            <w:hideMark/>
          </w:tcPr>
          <w:p w14:paraId="6FDFCB07" w14:textId="77777777" w:rsidR="00040253" w:rsidRPr="00452E6C" w:rsidRDefault="00040253" w:rsidP="0050726A">
            <w:pPr>
              <w:suppressAutoHyphens w:val="0"/>
              <w:spacing w:before="40" w:after="40" w:line="220" w:lineRule="exact"/>
              <w:rPr>
                <w:sz w:val="18"/>
              </w:rPr>
            </w:pPr>
            <w:r w:rsidRPr="00452E6C">
              <w:rPr>
                <w:sz w:val="18"/>
              </w:rPr>
              <w:t>Estonia</w:t>
            </w:r>
          </w:p>
        </w:tc>
        <w:tc>
          <w:tcPr>
            <w:tcW w:w="1484" w:type="dxa"/>
            <w:shd w:val="clear" w:color="auto" w:fill="auto"/>
            <w:noWrap/>
            <w:vAlign w:val="bottom"/>
            <w:hideMark/>
          </w:tcPr>
          <w:p w14:paraId="777CB2F1" w14:textId="77777777" w:rsidR="00040253" w:rsidRPr="00452E6C" w:rsidRDefault="00040253" w:rsidP="0050726A">
            <w:pPr>
              <w:suppressAutoHyphens w:val="0"/>
              <w:spacing w:before="40" w:after="40" w:line="220" w:lineRule="exact"/>
              <w:jc w:val="right"/>
              <w:rPr>
                <w:sz w:val="18"/>
              </w:rPr>
            </w:pPr>
            <w:r w:rsidRPr="00452E6C">
              <w:rPr>
                <w:sz w:val="18"/>
              </w:rPr>
              <w:t>0.039</w:t>
            </w:r>
          </w:p>
        </w:tc>
        <w:tc>
          <w:tcPr>
            <w:tcW w:w="1783" w:type="dxa"/>
            <w:shd w:val="clear" w:color="auto" w:fill="auto"/>
            <w:noWrap/>
            <w:vAlign w:val="bottom"/>
          </w:tcPr>
          <w:p w14:paraId="05E9BADF" w14:textId="77777777" w:rsidR="00040253" w:rsidRPr="00452E6C" w:rsidRDefault="00040253" w:rsidP="0050726A">
            <w:pPr>
              <w:suppressAutoHyphens w:val="0"/>
              <w:spacing w:before="40" w:after="40" w:line="220" w:lineRule="exact"/>
              <w:jc w:val="right"/>
              <w:rPr>
                <w:sz w:val="18"/>
              </w:rPr>
            </w:pPr>
            <w:r w:rsidRPr="00452E6C">
              <w:rPr>
                <w:sz w:val="18"/>
              </w:rPr>
              <w:t>0.126</w:t>
            </w:r>
          </w:p>
        </w:tc>
        <w:tc>
          <w:tcPr>
            <w:tcW w:w="1841" w:type="dxa"/>
            <w:shd w:val="clear" w:color="auto" w:fill="auto"/>
            <w:vAlign w:val="bottom"/>
          </w:tcPr>
          <w:p w14:paraId="72B29F1A" w14:textId="77777777" w:rsidR="00040253" w:rsidRPr="00452E6C" w:rsidRDefault="00040253" w:rsidP="0050726A">
            <w:pPr>
              <w:suppressAutoHyphens w:val="0"/>
              <w:spacing w:before="40" w:after="40" w:line="220" w:lineRule="exact"/>
              <w:jc w:val="right"/>
              <w:rPr>
                <w:sz w:val="18"/>
              </w:rPr>
            </w:pPr>
          </w:p>
        </w:tc>
      </w:tr>
      <w:tr w:rsidR="00040253" w:rsidRPr="00452E6C" w14:paraId="3A9D3323" w14:textId="77777777" w:rsidTr="0050726A">
        <w:tc>
          <w:tcPr>
            <w:tcW w:w="2262" w:type="dxa"/>
            <w:shd w:val="clear" w:color="auto" w:fill="auto"/>
            <w:noWrap/>
            <w:hideMark/>
          </w:tcPr>
          <w:p w14:paraId="7EE07188" w14:textId="77777777" w:rsidR="00040253" w:rsidRPr="00452E6C" w:rsidRDefault="00040253" w:rsidP="0050726A">
            <w:pPr>
              <w:suppressAutoHyphens w:val="0"/>
              <w:spacing w:before="40" w:after="40" w:line="220" w:lineRule="exact"/>
              <w:rPr>
                <w:sz w:val="18"/>
              </w:rPr>
            </w:pPr>
            <w:r w:rsidRPr="00452E6C">
              <w:rPr>
                <w:sz w:val="18"/>
              </w:rPr>
              <w:t xml:space="preserve">European </w:t>
            </w:r>
            <w:proofErr w:type="spellStart"/>
            <w:r w:rsidRPr="00452E6C">
              <w:rPr>
                <w:sz w:val="18"/>
              </w:rPr>
              <w:t>Union</w:t>
            </w:r>
            <w:r w:rsidRPr="00452E6C">
              <w:rPr>
                <w:sz w:val="18"/>
                <w:vertAlign w:val="superscript"/>
              </w:rPr>
              <w:t>c</w:t>
            </w:r>
            <w:proofErr w:type="spellEnd"/>
            <w:r w:rsidRPr="00452E6C">
              <w:rPr>
                <w:sz w:val="18"/>
                <w:vertAlign w:val="superscript"/>
              </w:rPr>
              <w:t>, d</w:t>
            </w:r>
          </w:p>
        </w:tc>
        <w:tc>
          <w:tcPr>
            <w:tcW w:w="1484" w:type="dxa"/>
            <w:shd w:val="clear" w:color="auto" w:fill="auto"/>
            <w:noWrap/>
            <w:vAlign w:val="bottom"/>
            <w:hideMark/>
          </w:tcPr>
          <w:p w14:paraId="037066BF" w14:textId="77777777" w:rsidR="00040253" w:rsidRPr="00452E6C" w:rsidRDefault="00040253" w:rsidP="0050726A">
            <w:pPr>
              <w:suppressAutoHyphens w:val="0"/>
              <w:spacing w:before="40" w:after="40" w:line="220" w:lineRule="exact"/>
              <w:jc w:val="right"/>
              <w:rPr>
                <w:sz w:val="18"/>
              </w:rPr>
            </w:pPr>
            <w:r w:rsidRPr="00452E6C">
              <w:rPr>
                <w:sz w:val="18"/>
              </w:rPr>
              <w:t>—</w:t>
            </w:r>
          </w:p>
        </w:tc>
        <w:tc>
          <w:tcPr>
            <w:tcW w:w="1783" w:type="dxa"/>
            <w:shd w:val="clear" w:color="auto" w:fill="auto"/>
            <w:noWrap/>
            <w:vAlign w:val="bottom"/>
            <w:hideMark/>
          </w:tcPr>
          <w:p w14:paraId="0A225614" w14:textId="77777777" w:rsidR="00040253" w:rsidRPr="00452E6C" w:rsidRDefault="00040253" w:rsidP="0050726A">
            <w:pPr>
              <w:suppressAutoHyphens w:val="0"/>
              <w:spacing w:before="40" w:after="40" w:line="220" w:lineRule="exact"/>
              <w:jc w:val="right"/>
              <w:rPr>
                <w:sz w:val="18"/>
              </w:rPr>
            </w:pPr>
            <w:r w:rsidRPr="00452E6C">
              <w:rPr>
                <w:sz w:val="18"/>
              </w:rPr>
              <w:t>—</w:t>
            </w:r>
          </w:p>
        </w:tc>
        <w:tc>
          <w:tcPr>
            <w:tcW w:w="1841" w:type="dxa"/>
            <w:shd w:val="clear" w:color="auto" w:fill="auto"/>
            <w:vAlign w:val="bottom"/>
          </w:tcPr>
          <w:p w14:paraId="624CE294" w14:textId="77777777" w:rsidR="00040253" w:rsidRPr="00452E6C" w:rsidRDefault="00040253" w:rsidP="0050726A">
            <w:pPr>
              <w:suppressAutoHyphens w:val="0"/>
              <w:spacing w:before="40" w:after="40" w:line="220" w:lineRule="exact"/>
              <w:jc w:val="right"/>
              <w:rPr>
                <w:sz w:val="18"/>
              </w:rPr>
            </w:pPr>
          </w:p>
        </w:tc>
      </w:tr>
      <w:tr w:rsidR="00040253" w:rsidRPr="00452E6C" w14:paraId="65550D9B" w14:textId="77777777" w:rsidTr="0050726A">
        <w:tc>
          <w:tcPr>
            <w:tcW w:w="2262" w:type="dxa"/>
            <w:shd w:val="clear" w:color="auto" w:fill="auto"/>
            <w:noWrap/>
            <w:hideMark/>
          </w:tcPr>
          <w:p w14:paraId="3BBFAAB8" w14:textId="77777777" w:rsidR="00040253" w:rsidRPr="00452E6C" w:rsidRDefault="00040253" w:rsidP="0050726A">
            <w:pPr>
              <w:suppressAutoHyphens w:val="0"/>
              <w:spacing w:before="40" w:after="40" w:line="220" w:lineRule="exact"/>
              <w:rPr>
                <w:sz w:val="18"/>
              </w:rPr>
            </w:pPr>
            <w:r w:rsidRPr="00452E6C">
              <w:rPr>
                <w:sz w:val="18"/>
              </w:rPr>
              <w:t>Finland</w:t>
            </w:r>
          </w:p>
        </w:tc>
        <w:tc>
          <w:tcPr>
            <w:tcW w:w="1484" w:type="dxa"/>
            <w:shd w:val="clear" w:color="auto" w:fill="auto"/>
            <w:noWrap/>
            <w:vAlign w:val="bottom"/>
            <w:hideMark/>
          </w:tcPr>
          <w:p w14:paraId="430528FD" w14:textId="77777777" w:rsidR="00040253" w:rsidRPr="00452E6C" w:rsidRDefault="00040253" w:rsidP="0050726A">
            <w:pPr>
              <w:suppressAutoHyphens w:val="0"/>
              <w:spacing w:before="40" w:after="40" w:line="220" w:lineRule="exact"/>
              <w:jc w:val="right"/>
              <w:rPr>
                <w:sz w:val="18"/>
              </w:rPr>
            </w:pPr>
            <w:r w:rsidRPr="00452E6C">
              <w:rPr>
                <w:sz w:val="18"/>
              </w:rPr>
              <w:t>0.421</w:t>
            </w:r>
          </w:p>
        </w:tc>
        <w:tc>
          <w:tcPr>
            <w:tcW w:w="1783" w:type="dxa"/>
            <w:shd w:val="clear" w:color="auto" w:fill="auto"/>
            <w:noWrap/>
            <w:vAlign w:val="bottom"/>
          </w:tcPr>
          <w:p w14:paraId="38024B13" w14:textId="77777777" w:rsidR="00040253" w:rsidRPr="00452E6C" w:rsidRDefault="00040253" w:rsidP="0050726A">
            <w:pPr>
              <w:suppressAutoHyphens w:val="0"/>
              <w:spacing w:before="40" w:after="40" w:line="220" w:lineRule="exact"/>
              <w:jc w:val="right"/>
              <w:rPr>
                <w:sz w:val="18"/>
              </w:rPr>
            </w:pPr>
            <w:r w:rsidRPr="00452E6C">
              <w:rPr>
                <w:sz w:val="18"/>
              </w:rPr>
              <w:t>1.362</w:t>
            </w:r>
          </w:p>
        </w:tc>
        <w:tc>
          <w:tcPr>
            <w:tcW w:w="1841" w:type="dxa"/>
            <w:shd w:val="clear" w:color="auto" w:fill="auto"/>
            <w:vAlign w:val="bottom"/>
          </w:tcPr>
          <w:p w14:paraId="4B06F796" w14:textId="77777777" w:rsidR="00040253" w:rsidRPr="00452E6C" w:rsidRDefault="00040253" w:rsidP="0050726A">
            <w:pPr>
              <w:suppressAutoHyphens w:val="0"/>
              <w:spacing w:before="40" w:after="40" w:line="220" w:lineRule="exact"/>
              <w:jc w:val="right"/>
              <w:rPr>
                <w:sz w:val="18"/>
              </w:rPr>
            </w:pPr>
          </w:p>
        </w:tc>
      </w:tr>
      <w:tr w:rsidR="00040253" w:rsidRPr="00452E6C" w14:paraId="23F38FDA" w14:textId="77777777" w:rsidTr="0050726A">
        <w:tc>
          <w:tcPr>
            <w:tcW w:w="2262" w:type="dxa"/>
            <w:shd w:val="clear" w:color="auto" w:fill="auto"/>
            <w:noWrap/>
            <w:hideMark/>
          </w:tcPr>
          <w:p w14:paraId="0AF7E487" w14:textId="77777777" w:rsidR="00040253" w:rsidRPr="00452E6C" w:rsidRDefault="00040253" w:rsidP="0050726A">
            <w:pPr>
              <w:suppressAutoHyphens w:val="0"/>
              <w:spacing w:before="40" w:after="40" w:line="220" w:lineRule="exact"/>
              <w:rPr>
                <w:sz w:val="18"/>
              </w:rPr>
            </w:pPr>
            <w:r w:rsidRPr="00452E6C">
              <w:rPr>
                <w:sz w:val="18"/>
              </w:rPr>
              <w:t>France</w:t>
            </w:r>
          </w:p>
        </w:tc>
        <w:tc>
          <w:tcPr>
            <w:tcW w:w="1484" w:type="dxa"/>
            <w:shd w:val="clear" w:color="auto" w:fill="auto"/>
            <w:noWrap/>
            <w:vAlign w:val="bottom"/>
            <w:hideMark/>
          </w:tcPr>
          <w:p w14:paraId="6306D420" w14:textId="77777777" w:rsidR="00040253" w:rsidRPr="00452E6C" w:rsidRDefault="00040253" w:rsidP="0050726A">
            <w:pPr>
              <w:suppressAutoHyphens w:val="0"/>
              <w:spacing w:before="40" w:after="40" w:line="220" w:lineRule="exact"/>
              <w:jc w:val="right"/>
              <w:rPr>
                <w:sz w:val="18"/>
              </w:rPr>
            </w:pPr>
            <w:r w:rsidRPr="00452E6C">
              <w:rPr>
                <w:sz w:val="18"/>
              </w:rPr>
              <w:t>4.427</w:t>
            </w:r>
          </w:p>
        </w:tc>
        <w:tc>
          <w:tcPr>
            <w:tcW w:w="1783" w:type="dxa"/>
            <w:shd w:val="clear" w:color="auto" w:fill="auto"/>
            <w:noWrap/>
            <w:vAlign w:val="bottom"/>
          </w:tcPr>
          <w:p w14:paraId="1804BB99" w14:textId="77777777" w:rsidR="00040253" w:rsidRPr="00452E6C" w:rsidRDefault="00040253" w:rsidP="0050726A">
            <w:pPr>
              <w:suppressAutoHyphens w:val="0"/>
              <w:spacing w:before="40" w:after="40" w:line="220" w:lineRule="exact"/>
              <w:jc w:val="right"/>
              <w:rPr>
                <w:sz w:val="18"/>
              </w:rPr>
            </w:pPr>
            <w:r w:rsidRPr="00452E6C">
              <w:rPr>
                <w:sz w:val="18"/>
              </w:rPr>
              <w:t>14.326</w:t>
            </w:r>
          </w:p>
        </w:tc>
        <w:tc>
          <w:tcPr>
            <w:tcW w:w="1841" w:type="dxa"/>
            <w:shd w:val="clear" w:color="auto" w:fill="auto"/>
            <w:vAlign w:val="bottom"/>
          </w:tcPr>
          <w:p w14:paraId="089DAC9C" w14:textId="77777777" w:rsidR="00040253" w:rsidRPr="00452E6C" w:rsidRDefault="00040253" w:rsidP="0050726A">
            <w:pPr>
              <w:suppressAutoHyphens w:val="0"/>
              <w:spacing w:before="40" w:after="40" w:line="220" w:lineRule="exact"/>
              <w:jc w:val="right"/>
              <w:rPr>
                <w:sz w:val="18"/>
              </w:rPr>
            </w:pPr>
          </w:p>
        </w:tc>
      </w:tr>
      <w:tr w:rsidR="00040253" w:rsidRPr="00452E6C" w14:paraId="01EF4490" w14:textId="77777777" w:rsidTr="0050726A">
        <w:tc>
          <w:tcPr>
            <w:tcW w:w="2262" w:type="dxa"/>
            <w:shd w:val="clear" w:color="auto" w:fill="auto"/>
            <w:noWrap/>
            <w:hideMark/>
          </w:tcPr>
          <w:p w14:paraId="51E253FE" w14:textId="77777777" w:rsidR="00040253" w:rsidRPr="00452E6C" w:rsidRDefault="00040253" w:rsidP="0050726A">
            <w:pPr>
              <w:suppressAutoHyphens w:val="0"/>
              <w:spacing w:before="40" w:after="40" w:line="220" w:lineRule="exact"/>
              <w:rPr>
                <w:sz w:val="18"/>
              </w:rPr>
            </w:pPr>
            <w:r w:rsidRPr="00452E6C">
              <w:rPr>
                <w:sz w:val="18"/>
              </w:rPr>
              <w:t>Georgia</w:t>
            </w:r>
          </w:p>
        </w:tc>
        <w:tc>
          <w:tcPr>
            <w:tcW w:w="1484" w:type="dxa"/>
            <w:shd w:val="clear" w:color="auto" w:fill="auto"/>
            <w:noWrap/>
            <w:vAlign w:val="bottom"/>
            <w:hideMark/>
          </w:tcPr>
          <w:p w14:paraId="72BD2125" w14:textId="77777777" w:rsidR="00040253" w:rsidRPr="00452E6C" w:rsidRDefault="00040253" w:rsidP="0050726A">
            <w:pPr>
              <w:suppressAutoHyphens w:val="0"/>
              <w:spacing w:before="40" w:after="40" w:line="220" w:lineRule="exact"/>
              <w:jc w:val="right"/>
              <w:rPr>
                <w:sz w:val="18"/>
              </w:rPr>
            </w:pPr>
            <w:r w:rsidRPr="00452E6C">
              <w:rPr>
                <w:sz w:val="18"/>
              </w:rPr>
              <w:t>0.008</w:t>
            </w:r>
          </w:p>
        </w:tc>
        <w:tc>
          <w:tcPr>
            <w:tcW w:w="1783" w:type="dxa"/>
            <w:shd w:val="clear" w:color="auto" w:fill="auto"/>
            <w:noWrap/>
            <w:vAlign w:val="bottom"/>
          </w:tcPr>
          <w:p w14:paraId="5CAD7B88" w14:textId="77777777" w:rsidR="00040253" w:rsidRPr="00452E6C" w:rsidRDefault="00040253" w:rsidP="0050726A">
            <w:pPr>
              <w:suppressAutoHyphens w:val="0"/>
              <w:spacing w:before="40" w:after="40" w:line="220" w:lineRule="exact"/>
              <w:jc w:val="right"/>
              <w:rPr>
                <w:sz w:val="18"/>
              </w:rPr>
            </w:pPr>
            <w:r w:rsidRPr="00452E6C">
              <w:rPr>
                <w:sz w:val="18"/>
              </w:rPr>
              <w:t>0.026</w:t>
            </w:r>
          </w:p>
        </w:tc>
        <w:tc>
          <w:tcPr>
            <w:tcW w:w="1841" w:type="dxa"/>
            <w:shd w:val="clear" w:color="auto" w:fill="auto"/>
            <w:vAlign w:val="bottom"/>
          </w:tcPr>
          <w:p w14:paraId="0668EA40" w14:textId="77777777" w:rsidR="00040253" w:rsidRPr="00452E6C" w:rsidRDefault="00040253" w:rsidP="0050726A">
            <w:pPr>
              <w:suppressAutoHyphens w:val="0"/>
              <w:spacing w:before="40" w:after="40" w:line="220" w:lineRule="exact"/>
              <w:jc w:val="right"/>
              <w:rPr>
                <w:sz w:val="18"/>
              </w:rPr>
            </w:pPr>
          </w:p>
        </w:tc>
      </w:tr>
      <w:tr w:rsidR="00040253" w:rsidRPr="00452E6C" w14:paraId="2F96D493" w14:textId="77777777" w:rsidTr="0050726A">
        <w:tc>
          <w:tcPr>
            <w:tcW w:w="2262" w:type="dxa"/>
            <w:shd w:val="clear" w:color="auto" w:fill="auto"/>
            <w:noWrap/>
            <w:hideMark/>
          </w:tcPr>
          <w:p w14:paraId="5325FB56" w14:textId="77777777" w:rsidR="00040253" w:rsidRPr="00452E6C" w:rsidRDefault="00040253" w:rsidP="0050726A">
            <w:pPr>
              <w:suppressAutoHyphens w:val="0"/>
              <w:spacing w:before="40" w:after="40" w:line="220" w:lineRule="exact"/>
              <w:rPr>
                <w:sz w:val="18"/>
              </w:rPr>
            </w:pPr>
            <w:r w:rsidRPr="00452E6C">
              <w:rPr>
                <w:sz w:val="18"/>
              </w:rPr>
              <w:t>Germany</w:t>
            </w:r>
          </w:p>
        </w:tc>
        <w:tc>
          <w:tcPr>
            <w:tcW w:w="1484" w:type="dxa"/>
            <w:shd w:val="clear" w:color="auto" w:fill="auto"/>
            <w:noWrap/>
            <w:vAlign w:val="bottom"/>
            <w:hideMark/>
          </w:tcPr>
          <w:p w14:paraId="732806D5" w14:textId="77777777" w:rsidR="00040253" w:rsidRPr="00452E6C" w:rsidRDefault="00040253" w:rsidP="0050726A">
            <w:pPr>
              <w:suppressAutoHyphens w:val="0"/>
              <w:spacing w:before="40" w:after="40" w:line="220" w:lineRule="exact"/>
              <w:jc w:val="right"/>
              <w:rPr>
                <w:sz w:val="18"/>
              </w:rPr>
            </w:pPr>
            <w:r w:rsidRPr="00452E6C">
              <w:rPr>
                <w:sz w:val="18"/>
              </w:rPr>
              <w:t>6.090</w:t>
            </w:r>
          </w:p>
        </w:tc>
        <w:tc>
          <w:tcPr>
            <w:tcW w:w="1783" w:type="dxa"/>
            <w:shd w:val="clear" w:color="auto" w:fill="auto"/>
            <w:noWrap/>
            <w:vAlign w:val="bottom"/>
          </w:tcPr>
          <w:p w14:paraId="619AFC22" w14:textId="77777777" w:rsidR="00040253" w:rsidRPr="00452E6C" w:rsidRDefault="00040253" w:rsidP="0050726A">
            <w:pPr>
              <w:suppressAutoHyphens w:val="0"/>
              <w:spacing w:before="40" w:after="40" w:line="220" w:lineRule="exact"/>
              <w:jc w:val="right"/>
              <w:rPr>
                <w:sz w:val="18"/>
              </w:rPr>
            </w:pPr>
            <w:r w:rsidRPr="00452E6C">
              <w:rPr>
                <w:sz w:val="18"/>
              </w:rPr>
              <w:t>19.707</w:t>
            </w:r>
          </w:p>
        </w:tc>
        <w:tc>
          <w:tcPr>
            <w:tcW w:w="1841" w:type="dxa"/>
            <w:shd w:val="clear" w:color="auto" w:fill="auto"/>
            <w:vAlign w:val="bottom"/>
          </w:tcPr>
          <w:p w14:paraId="11C78DC7" w14:textId="77777777" w:rsidR="00040253" w:rsidRPr="00452E6C" w:rsidRDefault="00040253" w:rsidP="0050726A">
            <w:pPr>
              <w:suppressAutoHyphens w:val="0"/>
              <w:spacing w:before="40" w:after="40" w:line="220" w:lineRule="exact"/>
              <w:jc w:val="right"/>
              <w:rPr>
                <w:sz w:val="18"/>
              </w:rPr>
            </w:pPr>
          </w:p>
        </w:tc>
      </w:tr>
      <w:tr w:rsidR="00040253" w:rsidRPr="00452E6C" w14:paraId="1B274B29" w14:textId="77777777" w:rsidTr="0050726A">
        <w:tc>
          <w:tcPr>
            <w:tcW w:w="2262" w:type="dxa"/>
            <w:shd w:val="clear" w:color="auto" w:fill="auto"/>
            <w:noWrap/>
            <w:hideMark/>
          </w:tcPr>
          <w:p w14:paraId="4865D79B" w14:textId="77777777" w:rsidR="00040253" w:rsidRPr="00452E6C" w:rsidRDefault="00040253" w:rsidP="0050726A">
            <w:pPr>
              <w:suppressAutoHyphens w:val="0"/>
              <w:spacing w:before="40" w:after="40" w:line="220" w:lineRule="exact"/>
              <w:rPr>
                <w:sz w:val="18"/>
              </w:rPr>
            </w:pPr>
            <w:r w:rsidRPr="00452E6C">
              <w:rPr>
                <w:sz w:val="18"/>
              </w:rPr>
              <w:t>Greece</w:t>
            </w:r>
          </w:p>
        </w:tc>
        <w:tc>
          <w:tcPr>
            <w:tcW w:w="1484" w:type="dxa"/>
            <w:shd w:val="clear" w:color="auto" w:fill="auto"/>
            <w:noWrap/>
            <w:vAlign w:val="bottom"/>
            <w:hideMark/>
          </w:tcPr>
          <w:p w14:paraId="060D24BD" w14:textId="77777777" w:rsidR="00040253" w:rsidRPr="00452E6C" w:rsidRDefault="00040253" w:rsidP="0050726A">
            <w:pPr>
              <w:suppressAutoHyphens w:val="0"/>
              <w:spacing w:before="40" w:after="40" w:line="220" w:lineRule="exact"/>
              <w:jc w:val="right"/>
              <w:rPr>
                <w:sz w:val="18"/>
              </w:rPr>
            </w:pPr>
            <w:r w:rsidRPr="00452E6C">
              <w:rPr>
                <w:sz w:val="18"/>
              </w:rPr>
              <w:t>0.366</w:t>
            </w:r>
          </w:p>
        </w:tc>
        <w:tc>
          <w:tcPr>
            <w:tcW w:w="1783" w:type="dxa"/>
            <w:shd w:val="clear" w:color="auto" w:fill="auto"/>
            <w:noWrap/>
            <w:vAlign w:val="bottom"/>
          </w:tcPr>
          <w:p w14:paraId="41470874" w14:textId="77777777" w:rsidR="00040253" w:rsidRPr="00452E6C" w:rsidRDefault="00040253" w:rsidP="0050726A">
            <w:pPr>
              <w:suppressAutoHyphens w:val="0"/>
              <w:spacing w:before="40" w:after="40" w:line="220" w:lineRule="exact"/>
              <w:jc w:val="right"/>
              <w:rPr>
                <w:sz w:val="18"/>
              </w:rPr>
            </w:pPr>
            <w:r w:rsidRPr="00452E6C">
              <w:rPr>
                <w:sz w:val="18"/>
              </w:rPr>
              <w:t>1.184</w:t>
            </w:r>
          </w:p>
        </w:tc>
        <w:tc>
          <w:tcPr>
            <w:tcW w:w="1841" w:type="dxa"/>
            <w:shd w:val="clear" w:color="auto" w:fill="auto"/>
            <w:vAlign w:val="bottom"/>
          </w:tcPr>
          <w:p w14:paraId="5D1C20E8" w14:textId="77777777" w:rsidR="00040253" w:rsidRPr="00452E6C" w:rsidRDefault="00040253" w:rsidP="0050726A">
            <w:pPr>
              <w:suppressAutoHyphens w:val="0"/>
              <w:spacing w:before="40" w:after="40" w:line="220" w:lineRule="exact"/>
              <w:jc w:val="right"/>
              <w:rPr>
                <w:sz w:val="18"/>
              </w:rPr>
            </w:pPr>
          </w:p>
        </w:tc>
      </w:tr>
      <w:tr w:rsidR="00040253" w:rsidRPr="00452E6C" w14:paraId="1FE2B580" w14:textId="77777777" w:rsidTr="0050726A">
        <w:tc>
          <w:tcPr>
            <w:tcW w:w="2262" w:type="dxa"/>
            <w:shd w:val="clear" w:color="auto" w:fill="auto"/>
            <w:noWrap/>
            <w:hideMark/>
          </w:tcPr>
          <w:p w14:paraId="4D7B266E" w14:textId="77777777" w:rsidR="00040253" w:rsidRPr="00452E6C" w:rsidRDefault="00040253" w:rsidP="0050726A">
            <w:pPr>
              <w:suppressAutoHyphens w:val="0"/>
              <w:spacing w:before="40" w:after="40" w:line="220" w:lineRule="exact"/>
              <w:rPr>
                <w:sz w:val="18"/>
              </w:rPr>
            </w:pPr>
            <w:r w:rsidRPr="00452E6C">
              <w:rPr>
                <w:sz w:val="18"/>
              </w:rPr>
              <w:t>Hungary</w:t>
            </w:r>
          </w:p>
        </w:tc>
        <w:tc>
          <w:tcPr>
            <w:tcW w:w="1484" w:type="dxa"/>
            <w:shd w:val="clear" w:color="auto" w:fill="auto"/>
            <w:noWrap/>
            <w:vAlign w:val="bottom"/>
            <w:hideMark/>
          </w:tcPr>
          <w:p w14:paraId="087E2F31" w14:textId="77777777" w:rsidR="00040253" w:rsidRPr="00452E6C" w:rsidRDefault="00040253" w:rsidP="0050726A">
            <w:pPr>
              <w:suppressAutoHyphens w:val="0"/>
              <w:spacing w:before="40" w:after="40" w:line="220" w:lineRule="exact"/>
              <w:jc w:val="right"/>
              <w:rPr>
                <w:sz w:val="18"/>
              </w:rPr>
            </w:pPr>
            <w:r w:rsidRPr="00452E6C">
              <w:rPr>
                <w:sz w:val="18"/>
              </w:rPr>
              <w:t>0.206</w:t>
            </w:r>
          </w:p>
        </w:tc>
        <w:tc>
          <w:tcPr>
            <w:tcW w:w="1783" w:type="dxa"/>
            <w:shd w:val="clear" w:color="auto" w:fill="auto"/>
            <w:noWrap/>
            <w:vAlign w:val="bottom"/>
          </w:tcPr>
          <w:p w14:paraId="6BE52D7C" w14:textId="77777777" w:rsidR="00040253" w:rsidRPr="00452E6C" w:rsidRDefault="00040253" w:rsidP="0050726A">
            <w:pPr>
              <w:suppressAutoHyphens w:val="0"/>
              <w:spacing w:before="40" w:after="40" w:line="220" w:lineRule="exact"/>
              <w:jc w:val="right"/>
              <w:rPr>
                <w:sz w:val="18"/>
              </w:rPr>
            </w:pPr>
            <w:r w:rsidRPr="00452E6C">
              <w:rPr>
                <w:sz w:val="18"/>
              </w:rPr>
              <w:t>0.667</w:t>
            </w:r>
          </w:p>
        </w:tc>
        <w:tc>
          <w:tcPr>
            <w:tcW w:w="1841" w:type="dxa"/>
            <w:shd w:val="clear" w:color="auto" w:fill="auto"/>
            <w:vAlign w:val="bottom"/>
          </w:tcPr>
          <w:p w14:paraId="520EE136" w14:textId="77777777" w:rsidR="00040253" w:rsidRPr="00452E6C" w:rsidRDefault="00040253" w:rsidP="0050726A">
            <w:pPr>
              <w:suppressAutoHyphens w:val="0"/>
              <w:spacing w:before="40" w:after="40" w:line="220" w:lineRule="exact"/>
              <w:jc w:val="right"/>
              <w:rPr>
                <w:sz w:val="18"/>
              </w:rPr>
            </w:pPr>
          </w:p>
        </w:tc>
      </w:tr>
      <w:tr w:rsidR="00040253" w:rsidRPr="00452E6C" w14:paraId="3867F487" w14:textId="77777777" w:rsidTr="0050726A">
        <w:tc>
          <w:tcPr>
            <w:tcW w:w="2262" w:type="dxa"/>
            <w:shd w:val="clear" w:color="auto" w:fill="auto"/>
            <w:noWrap/>
          </w:tcPr>
          <w:p w14:paraId="5759C405" w14:textId="77777777" w:rsidR="00040253" w:rsidRPr="00452E6C" w:rsidRDefault="00040253" w:rsidP="0050726A">
            <w:pPr>
              <w:suppressAutoHyphens w:val="0"/>
              <w:spacing w:before="40" w:after="40" w:line="220" w:lineRule="exact"/>
              <w:rPr>
                <w:sz w:val="18"/>
              </w:rPr>
            </w:pPr>
            <w:r w:rsidRPr="00452E6C">
              <w:rPr>
                <w:sz w:val="18"/>
              </w:rPr>
              <w:t>Iceland</w:t>
            </w:r>
          </w:p>
        </w:tc>
        <w:tc>
          <w:tcPr>
            <w:tcW w:w="1484" w:type="dxa"/>
            <w:shd w:val="clear" w:color="auto" w:fill="auto"/>
            <w:noWrap/>
            <w:vAlign w:val="bottom"/>
          </w:tcPr>
          <w:p w14:paraId="29C1C976" w14:textId="77777777" w:rsidR="00040253" w:rsidRPr="00452E6C" w:rsidRDefault="00040253" w:rsidP="0050726A">
            <w:pPr>
              <w:suppressAutoHyphens w:val="0"/>
              <w:spacing w:before="40" w:after="40" w:line="220" w:lineRule="exact"/>
              <w:jc w:val="right"/>
              <w:rPr>
                <w:sz w:val="18"/>
              </w:rPr>
            </w:pPr>
            <w:r w:rsidRPr="00452E6C">
              <w:rPr>
                <w:sz w:val="18"/>
              </w:rPr>
              <w:t>0.028</w:t>
            </w:r>
          </w:p>
        </w:tc>
        <w:tc>
          <w:tcPr>
            <w:tcW w:w="1783" w:type="dxa"/>
            <w:shd w:val="clear" w:color="auto" w:fill="auto"/>
            <w:noWrap/>
            <w:vAlign w:val="bottom"/>
          </w:tcPr>
          <w:p w14:paraId="0A5A7EF3" w14:textId="77777777" w:rsidR="00040253" w:rsidRPr="00452E6C" w:rsidRDefault="00040253" w:rsidP="0050726A">
            <w:pPr>
              <w:suppressAutoHyphens w:val="0"/>
              <w:spacing w:before="40" w:after="40" w:line="220" w:lineRule="exact"/>
              <w:jc w:val="right"/>
              <w:rPr>
                <w:sz w:val="18"/>
              </w:rPr>
            </w:pPr>
            <w:r w:rsidRPr="00452E6C">
              <w:rPr>
                <w:sz w:val="18"/>
              </w:rPr>
              <w:t>0.091</w:t>
            </w:r>
          </w:p>
        </w:tc>
        <w:tc>
          <w:tcPr>
            <w:tcW w:w="1841" w:type="dxa"/>
            <w:shd w:val="clear" w:color="auto" w:fill="auto"/>
            <w:vAlign w:val="bottom"/>
          </w:tcPr>
          <w:p w14:paraId="4CC4E3E7" w14:textId="77777777" w:rsidR="00040253" w:rsidRPr="00452E6C" w:rsidRDefault="00040253" w:rsidP="0050726A">
            <w:pPr>
              <w:suppressAutoHyphens w:val="0"/>
              <w:spacing w:before="40" w:after="40" w:line="220" w:lineRule="exact"/>
              <w:jc w:val="right"/>
              <w:rPr>
                <w:sz w:val="18"/>
              </w:rPr>
            </w:pPr>
          </w:p>
        </w:tc>
      </w:tr>
      <w:tr w:rsidR="00040253" w:rsidRPr="00452E6C" w14:paraId="398B7647" w14:textId="77777777" w:rsidTr="0050726A">
        <w:tc>
          <w:tcPr>
            <w:tcW w:w="2262" w:type="dxa"/>
            <w:shd w:val="clear" w:color="auto" w:fill="auto"/>
            <w:noWrap/>
            <w:hideMark/>
          </w:tcPr>
          <w:p w14:paraId="071CB032" w14:textId="77777777" w:rsidR="00040253" w:rsidRPr="00452E6C" w:rsidRDefault="00040253" w:rsidP="0050726A">
            <w:pPr>
              <w:suppressAutoHyphens w:val="0"/>
              <w:spacing w:before="40" w:after="40" w:line="220" w:lineRule="exact"/>
              <w:rPr>
                <w:sz w:val="18"/>
              </w:rPr>
            </w:pPr>
            <w:r w:rsidRPr="00452E6C">
              <w:rPr>
                <w:sz w:val="18"/>
              </w:rPr>
              <w:t>Ireland</w:t>
            </w:r>
          </w:p>
        </w:tc>
        <w:tc>
          <w:tcPr>
            <w:tcW w:w="1484" w:type="dxa"/>
            <w:shd w:val="clear" w:color="auto" w:fill="auto"/>
            <w:noWrap/>
            <w:vAlign w:val="bottom"/>
            <w:hideMark/>
          </w:tcPr>
          <w:p w14:paraId="72A016C6" w14:textId="77777777" w:rsidR="00040253" w:rsidRPr="00452E6C" w:rsidRDefault="00040253" w:rsidP="0050726A">
            <w:pPr>
              <w:suppressAutoHyphens w:val="0"/>
              <w:spacing w:before="40" w:after="40" w:line="220" w:lineRule="exact"/>
              <w:jc w:val="right"/>
              <w:rPr>
                <w:sz w:val="18"/>
              </w:rPr>
            </w:pPr>
            <w:r w:rsidRPr="00452E6C">
              <w:rPr>
                <w:sz w:val="18"/>
              </w:rPr>
              <w:t>0.371</w:t>
            </w:r>
          </w:p>
        </w:tc>
        <w:tc>
          <w:tcPr>
            <w:tcW w:w="1783" w:type="dxa"/>
            <w:shd w:val="clear" w:color="auto" w:fill="auto"/>
            <w:noWrap/>
            <w:vAlign w:val="bottom"/>
          </w:tcPr>
          <w:p w14:paraId="02969502" w14:textId="77777777" w:rsidR="00040253" w:rsidRPr="00452E6C" w:rsidRDefault="00040253" w:rsidP="0050726A">
            <w:pPr>
              <w:suppressAutoHyphens w:val="0"/>
              <w:spacing w:before="40" w:after="40" w:line="220" w:lineRule="exact"/>
              <w:jc w:val="right"/>
              <w:rPr>
                <w:sz w:val="18"/>
              </w:rPr>
            </w:pPr>
            <w:r w:rsidRPr="00452E6C">
              <w:rPr>
                <w:sz w:val="18"/>
              </w:rPr>
              <w:t>1.201</w:t>
            </w:r>
          </w:p>
        </w:tc>
        <w:tc>
          <w:tcPr>
            <w:tcW w:w="1841" w:type="dxa"/>
            <w:shd w:val="clear" w:color="auto" w:fill="auto"/>
            <w:vAlign w:val="bottom"/>
          </w:tcPr>
          <w:p w14:paraId="65DF1091" w14:textId="77777777" w:rsidR="00040253" w:rsidRPr="00452E6C" w:rsidRDefault="00040253" w:rsidP="0050726A">
            <w:pPr>
              <w:suppressAutoHyphens w:val="0"/>
              <w:spacing w:before="40" w:after="40" w:line="220" w:lineRule="exact"/>
              <w:jc w:val="right"/>
              <w:rPr>
                <w:sz w:val="18"/>
              </w:rPr>
            </w:pPr>
          </w:p>
        </w:tc>
      </w:tr>
      <w:tr w:rsidR="00040253" w:rsidRPr="00452E6C" w14:paraId="507F2A51" w14:textId="77777777" w:rsidTr="0050726A">
        <w:tc>
          <w:tcPr>
            <w:tcW w:w="2262" w:type="dxa"/>
            <w:shd w:val="clear" w:color="auto" w:fill="auto"/>
            <w:noWrap/>
          </w:tcPr>
          <w:p w14:paraId="364545FB" w14:textId="77777777" w:rsidR="00040253" w:rsidRPr="00452E6C" w:rsidRDefault="00040253" w:rsidP="0050726A">
            <w:pPr>
              <w:suppressAutoHyphens w:val="0"/>
              <w:spacing w:before="40" w:after="40" w:line="220" w:lineRule="exact"/>
              <w:rPr>
                <w:sz w:val="18"/>
              </w:rPr>
            </w:pPr>
            <w:r w:rsidRPr="00452E6C">
              <w:rPr>
                <w:sz w:val="18"/>
              </w:rPr>
              <w:t>Italy</w:t>
            </w:r>
          </w:p>
        </w:tc>
        <w:tc>
          <w:tcPr>
            <w:tcW w:w="1484" w:type="dxa"/>
            <w:shd w:val="clear" w:color="auto" w:fill="auto"/>
            <w:noWrap/>
            <w:vAlign w:val="bottom"/>
          </w:tcPr>
          <w:p w14:paraId="1A9A6CE7" w14:textId="77777777" w:rsidR="00040253" w:rsidRPr="00452E6C" w:rsidRDefault="00040253" w:rsidP="0050726A">
            <w:pPr>
              <w:suppressAutoHyphens w:val="0"/>
              <w:spacing w:before="40" w:after="40" w:line="220" w:lineRule="exact"/>
              <w:jc w:val="right"/>
              <w:rPr>
                <w:sz w:val="18"/>
              </w:rPr>
            </w:pPr>
            <w:r w:rsidRPr="00452E6C">
              <w:rPr>
                <w:sz w:val="18"/>
              </w:rPr>
              <w:t>3.307</w:t>
            </w:r>
          </w:p>
        </w:tc>
        <w:tc>
          <w:tcPr>
            <w:tcW w:w="1783" w:type="dxa"/>
            <w:shd w:val="clear" w:color="auto" w:fill="auto"/>
            <w:noWrap/>
            <w:vAlign w:val="bottom"/>
          </w:tcPr>
          <w:p w14:paraId="31508EAB" w14:textId="77777777" w:rsidR="00040253" w:rsidRPr="00452E6C" w:rsidRDefault="00040253" w:rsidP="0050726A">
            <w:pPr>
              <w:suppressAutoHyphens w:val="0"/>
              <w:spacing w:before="40" w:after="40" w:line="220" w:lineRule="exact"/>
              <w:jc w:val="right"/>
              <w:rPr>
                <w:sz w:val="18"/>
              </w:rPr>
            </w:pPr>
            <w:r w:rsidRPr="00452E6C">
              <w:rPr>
                <w:sz w:val="18"/>
              </w:rPr>
              <w:t>10.701</w:t>
            </w:r>
          </w:p>
        </w:tc>
        <w:tc>
          <w:tcPr>
            <w:tcW w:w="1841" w:type="dxa"/>
            <w:shd w:val="clear" w:color="auto" w:fill="auto"/>
            <w:vAlign w:val="bottom"/>
          </w:tcPr>
          <w:p w14:paraId="7A7E0B29" w14:textId="77777777" w:rsidR="00040253" w:rsidRPr="00452E6C" w:rsidRDefault="00040253" w:rsidP="0050726A">
            <w:pPr>
              <w:suppressAutoHyphens w:val="0"/>
              <w:spacing w:before="40" w:after="40" w:line="220" w:lineRule="exact"/>
              <w:jc w:val="right"/>
              <w:rPr>
                <w:sz w:val="18"/>
              </w:rPr>
            </w:pPr>
          </w:p>
        </w:tc>
      </w:tr>
      <w:tr w:rsidR="00040253" w:rsidRPr="00452E6C" w14:paraId="29FA1C20" w14:textId="77777777" w:rsidTr="0050726A">
        <w:tc>
          <w:tcPr>
            <w:tcW w:w="2262" w:type="dxa"/>
            <w:shd w:val="clear" w:color="auto" w:fill="auto"/>
            <w:noWrap/>
          </w:tcPr>
          <w:p w14:paraId="39873A2C" w14:textId="77777777" w:rsidR="00040253" w:rsidRPr="00452E6C" w:rsidRDefault="00040253" w:rsidP="0050726A">
            <w:pPr>
              <w:suppressAutoHyphens w:val="0"/>
              <w:spacing w:before="40" w:after="40" w:line="220" w:lineRule="exact"/>
              <w:rPr>
                <w:sz w:val="18"/>
              </w:rPr>
            </w:pPr>
            <w:r w:rsidRPr="00452E6C">
              <w:rPr>
                <w:sz w:val="18"/>
              </w:rPr>
              <w:t>Kazakhstan</w:t>
            </w:r>
          </w:p>
        </w:tc>
        <w:tc>
          <w:tcPr>
            <w:tcW w:w="1484" w:type="dxa"/>
            <w:shd w:val="clear" w:color="auto" w:fill="auto"/>
            <w:noWrap/>
            <w:vAlign w:val="bottom"/>
          </w:tcPr>
          <w:p w14:paraId="13CF6E2C" w14:textId="77777777" w:rsidR="00040253" w:rsidRPr="00452E6C" w:rsidRDefault="00040253" w:rsidP="0050726A">
            <w:pPr>
              <w:suppressAutoHyphens w:val="0"/>
              <w:spacing w:before="40" w:after="40" w:line="220" w:lineRule="exact"/>
              <w:jc w:val="right"/>
              <w:rPr>
                <w:sz w:val="18"/>
              </w:rPr>
            </w:pPr>
            <w:r w:rsidRPr="00452E6C">
              <w:rPr>
                <w:sz w:val="18"/>
              </w:rPr>
              <w:t>0.178</w:t>
            </w:r>
          </w:p>
        </w:tc>
        <w:tc>
          <w:tcPr>
            <w:tcW w:w="1783" w:type="dxa"/>
            <w:shd w:val="clear" w:color="auto" w:fill="auto"/>
            <w:noWrap/>
            <w:vAlign w:val="bottom"/>
          </w:tcPr>
          <w:p w14:paraId="17C24CB4" w14:textId="77777777" w:rsidR="00040253" w:rsidRPr="00452E6C" w:rsidRDefault="00040253" w:rsidP="0050726A">
            <w:pPr>
              <w:suppressAutoHyphens w:val="0"/>
              <w:spacing w:before="40" w:after="40" w:line="220" w:lineRule="exact"/>
              <w:jc w:val="right"/>
              <w:rPr>
                <w:sz w:val="18"/>
              </w:rPr>
            </w:pPr>
            <w:r w:rsidRPr="00452E6C">
              <w:rPr>
                <w:sz w:val="18"/>
              </w:rPr>
              <w:t>0.576</w:t>
            </w:r>
          </w:p>
        </w:tc>
        <w:tc>
          <w:tcPr>
            <w:tcW w:w="1841" w:type="dxa"/>
            <w:shd w:val="clear" w:color="auto" w:fill="auto"/>
            <w:vAlign w:val="bottom"/>
          </w:tcPr>
          <w:p w14:paraId="14054A25" w14:textId="77777777" w:rsidR="00040253" w:rsidRPr="00452E6C" w:rsidRDefault="00040253" w:rsidP="0050726A">
            <w:pPr>
              <w:suppressAutoHyphens w:val="0"/>
              <w:spacing w:before="40" w:after="40" w:line="220" w:lineRule="exact"/>
              <w:jc w:val="right"/>
              <w:rPr>
                <w:sz w:val="18"/>
              </w:rPr>
            </w:pPr>
          </w:p>
        </w:tc>
      </w:tr>
      <w:tr w:rsidR="00040253" w:rsidRPr="00452E6C" w14:paraId="4988B271" w14:textId="77777777" w:rsidTr="0050726A">
        <w:tc>
          <w:tcPr>
            <w:tcW w:w="2262" w:type="dxa"/>
            <w:shd w:val="clear" w:color="auto" w:fill="auto"/>
            <w:noWrap/>
          </w:tcPr>
          <w:p w14:paraId="7B15B151" w14:textId="77777777" w:rsidR="00040253" w:rsidRPr="00452E6C" w:rsidRDefault="00040253" w:rsidP="0050726A">
            <w:pPr>
              <w:suppressAutoHyphens w:val="0"/>
              <w:spacing w:before="40" w:after="40" w:line="220" w:lineRule="exact"/>
              <w:rPr>
                <w:sz w:val="18"/>
              </w:rPr>
            </w:pPr>
            <w:r w:rsidRPr="00452E6C">
              <w:rPr>
                <w:sz w:val="18"/>
              </w:rPr>
              <w:t>Kyrgyzstan</w:t>
            </w:r>
          </w:p>
        </w:tc>
        <w:tc>
          <w:tcPr>
            <w:tcW w:w="1484" w:type="dxa"/>
            <w:shd w:val="clear" w:color="auto" w:fill="auto"/>
            <w:noWrap/>
            <w:vAlign w:val="bottom"/>
          </w:tcPr>
          <w:p w14:paraId="0A406B63" w14:textId="77777777" w:rsidR="00040253" w:rsidRPr="00452E6C" w:rsidRDefault="00040253" w:rsidP="0050726A">
            <w:pPr>
              <w:suppressAutoHyphens w:val="0"/>
              <w:spacing w:before="40" w:after="40" w:line="220" w:lineRule="exact"/>
              <w:jc w:val="right"/>
              <w:rPr>
                <w:sz w:val="18"/>
              </w:rPr>
            </w:pPr>
            <w:r w:rsidRPr="00452E6C">
              <w:rPr>
                <w:sz w:val="18"/>
              </w:rPr>
              <w:t>0.002</w:t>
            </w:r>
          </w:p>
        </w:tc>
        <w:tc>
          <w:tcPr>
            <w:tcW w:w="1783" w:type="dxa"/>
            <w:shd w:val="clear" w:color="auto" w:fill="auto"/>
            <w:noWrap/>
            <w:vAlign w:val="bottom"/>
          </w:tcPr>
          <w:p w14:paraId="64646B49" w14:textId="77777777" w:rsidR="00040253" w:rsidRPr="00452E6C" w:rsidRDefault="00040253" w:rsidP="0050726A">
            <w:pPr>
              <w:suppressAutoHyphens w:val="0"/>
              <w:spacing w:before="40" w:after="40" w:line="220" w:lineRule="exact"/>
              <w:jc w:val="right"/>
              <w:rPr>
                <w:sz w:val="18"/>
              </w:rPr>
            </w:pPr>
            <w:r w:rsidRPr="00452E6C">
              <w:rPr>
                <w:sz w:val="18"/>
              </w:rPr>
              <w:t>0.006</w:t>
            </w:r>
          </w:p>
        </w:tc>
        <w:tc>
          <w:tcPr>
            <w:tcW w:w="1841" w:type="dxa"/>
            <w:shd w:val="clear" w:color="auto" w:fill="auto"/>
            <w:vAlign w:val="bottom"/>
          </w:tcPr>
          <w:p w14:paraId="7B74C3CE" w14:textId="77777777" w:rsidR="00040253" w:rsidRPr="00452E6C" w:rsidRDefault="00040253" w:rsidP="0050726A">
            <w:pPr>
              <w:suppressAutoHyphens w:val="0"/>
              <w:spacing w:before="40" w:after="40" w:line="220" w:lineRule="exact"/>
              <w:jc w:val="right"/>
              <w:rPr>
                <w:sz w:val="18"/>
              </w:rPr>
            </w:pPr>
          </w:p>
        </w:tc>
      </w:tr>
      <w:tr w:rsidR="00040253" w:rsidRPr="00452E6C" w14:paraId="0EDC2020" w14:textId="77777777" w:rsidTr="0050726A">
        <w:tc>
          <w:tcPr>
            <w:tcW w:w="2262" w:type="dxa"/>
            <w:shd w:val="clear" w:color="auto" w:fill="auto"/>
            <w:noWrap/>
            <w:hideMark/>
          </w:tcPr>
          <w:p w14:paraId="1C327597" w14:textId="77777777" w:rsidR="00040253" w:rsidRPr="00452E6C" w:rsidRDefault="00040253" w:rsidP="0050726A">
            <w:pPr>
              <w:suppressAutoHyphens w:val="0"/>
              <w:spacing w:before="40" w:after="40" w:line="220" w:lineRule="exact"/>
              <w:rPr>
                <w:sz w:val="18"/>
              </w:rPr>
            </w:pPr>
            <w:r w:rsidRPr="00452E6C">
              <w:rPr>
                <w:sz w:val="18"/>
              </w:rPr>
              <w:t>Latvia</w:t>
            </w:r>
          </w:p>
        </w:tc>
        <w:tc>
          <w:tcPr>
            <w:tcW w:w="1484" w:type="dxa"/>
            <w:shd w:val="clear" w:color="auto" w:fill="auto"/>
            <w:noWrap/>
            <w:vAlign w:val="bottom"/>
          </w:tcPr>
          <w:p w14:paraId="56D5E1D8" w14:textId="77777777" w:rsidR="00040253" w:rsidRPr="00452E6C" w:rsidRDefault="00040253" w:rsidP="0050726A">
            <w:pPr>
              <w:suppressAutoHyphens w:val="0"/>
              <w:spacing w:before="40" w:after="40" w:line="220" w:lineRule="exact"/>
              <w:jc w:val="right"/>
              <w:rPr>
                <w:sz w:val="18"/>
              </w:rPr>
            </w:pPr>
            <w:r w:rsidRPr="00452E6C">
              <w:rPr>
                <w:sz w:val="18"/>
              </w:rPr>
              <w:t>0.047</w:t>
            </w:r>
          </w:p>
        </w:tc>
        <w:tc>
          <w:tcPr>
            <w:tcW w:w="1783" w:type="dxa"/>
            <w:shd w:val="clear" w:color="auto" w:fill="auto"/>
            <w:noWrap/>
            <w:vAlign w:val="bottom"/>
          </w:tcPr>
          <w:p w14:paraId="6645F9F4" w14:textId="77777777" w:rsidR="00040253" w:rsidRPr="00452E6C" w:rsidRDefault="00040253" w:rsidP="0050726A">
            <w:pPr>
              <w:suppressAutoHyphens w:val="0"/>
              <w:spacing w:before="40" w:after="40" w:line="220" w:lineRule="exact"/>
              <w:jc w:val="right"/>
              <w:rPr>
                <w:sz w:val="18"/>
              </w:rPr>
            </w:pPr>
            <w:r w:rsidRPr="00452E6C">
              <w:rPr>
                <w:sz w:val="18"/>
              </w:rPr>
              <w:t>0.152</w:t>
            </w:r>
          </w:p>
        </w:tc>
        <w:tc>
          <w:tcPr>
            <w:tcW w:w="1841" w:type="dxa"/>
            <w:shd w:val="clear" w:color="auto" w:fill="auto"/>
            <w:vAlign w:val="bottom"/>
          </w:tcPr>
          <w:p w14:paraId="2592E15B" w14:textId="77777777" w:rsidR="00040253" w:rsidRPr="00452E6C" w:rsidRDefault="00040253" w:rsidP="0050726A">
            <w:pPr>
              <w:suppressAutoHyphens w:val="0"/>
              <w:spacing w:before="40" w:after="40" w:line="220" w:lineRule="exact"/>
              <w:jc w:val="right"/>
              <w:rPr>
                <w:sz w:val="18"/>
              </w:rPr>
            </w:pPr>
          </w:p>
        </w:tc>
      </w:tr>
      <w:tr w:rsidR="00040253" w:rsidRPr="00452E6C" w14:paraId="50AC8F1E" w14:textId="77777777" w:rsidTr="0050726A">
        <w:tc>
          <w:tcPr>
            <w:tcW w:w="2262" w:type="dxa"/>
            <w:shd w:val="clear" w:color="auto" w:fill="auto"/>
            <w:noWrap/>
          </w:tcPr>
          <w:p w14:paraId="2DC92AB7" w14:textId="77777777" w:rsidR="00040253" w:rsidRPr="00452E6C" w:rsidRDefault="00040253" w:rsidP="0050726A">
            <w:pPr>
              <w:suppressAutoHyphens w:val="0"/>
              <w:spacing w:before="40" w:after="40" w:line="220" w:lineRule="exact"/>
              <w:rPr>
                <w:sz w:val="18"/>
              </w:rPr>
            </w:pPr>
            <w:r w:rsidRPr="00452E6C">
              <w:rPr>
                <w:sz w:val="18"/>
              </w:rPr>
              <w:t>Liechtenstein</w:t>
            </w:r>
          </w:p>
        </w:tc>
        <w:tc>
          <w:tcPr>
            <w:tcW w:w="1484" w:type="dxa"/>
            <w:shd w:val="clear" w:color="auto" w:fill="auto"/>
            <w:noWrap/>
            <w:vAlign w:val="bottom"/>
          </w:tcPr>
          <w:p w14:paraId="19788613" w14:textId="77777777" w:rsidR="00040253" w:rsidRPr="00452E6C" w:rsidRDefault="00040253" w:rsidP="0050726A">
            <w:pPr>
              <w:suppressAutoHyphens w:val="0"/>
              <w:spacing w:before="40" w:after="40" w:line="220" w:lineRule="exact"/>
              <w:jc w:val="right"/>
              <w:rPr>
                <w:sz w:val="18"/>
              </w:rPr>
            </w:pPr>
            <w:r w:rsidRPr="00452E6C">
              <w:rPr>
                <w:sz w:val="18"/>
              </w:rPr>
              <w:t>0.009</w:t>
            </w:r>
          </w:p>
        </w:tc>
        <w:tc>
          <w:tcPr>
            <w:tcW w:w="1783" w:type="dxa"/>
            <w:shd w:val="clear" w:color="auto" w:fill="auto"/>
            <w:noWrap/>
            <w:vAlign w:val="bottom"/>
          </w:tcPr>
          <w:p w14:paraId="3FBC4757" w14:textId="77777777" w:rsidR="00040253" w:rsidRPr="00452E6C" w:rsidRDefault="00040253" w:rsidP="0050726A">
            <w:pPr>
              <w:suppressAutoHyphens w:val="0"/>
              <w:spacing w:before="40" w:after="40" w:line="220" w:lineRule="exact"/>
              <w:jc w:val="right"/>
              <w:rPr>
                <w:sz w:val="18"/>
              </w:rPr>
            </w:pPr>
            <w:r w:rsidRPr="00452E6C">
              <w:rPr>
                <w:sz w:val="18"/>
              </w:rPr>
              <w:t>0.029</w:t>
            </w:r>
          </w:p>
        </w:tc>
        <w:tc>
          <w:tcPr>
            <w:tcW w:w="1841" w:type="dxa"/>
            <w:shd w:val="clear" w:color="auto" w:fill="auto"/>
            <w:vAlign w:val="bottom"/>
          </w:tcPr>
          <w:p w14:paraId="3509B68A" w14:textId="77777777" w:rsidR="00040253" w:rsidRPr="00452E6C" w:rsidRDefault="00040253" w:rsidP="0050726A">
            <w:pPr>
              <w:suppressAutoHyphens w:val="0"/>
              <w:spacing w:before="40" w:after="40" w:line="220" w:lineRule="exact"/>
              <w:jc w:val="right"/>
              <w:rPr>
                <w:sz w:val="18"/>
              </w:rPr>
            </w:pPr>
          </w:p>
        </w:tc>
      </w:tr>
      <w:tr w:rsidR="00040253" w:rsidRPr="00452E6C" w14:paraId="1D7FA1EF" w14:textId="77777777" w:rsidTr="0050726A">
        <w:tc>
          <w:tcPr>
            <w:tcW w:w="2262" w:type="dxa"/>
            <w:shd w:val="clear" w:color="auto" w:fill="auto"/>
            <w:noWrap/>
            <w:hideMark/>
          </w:tcPr>
          <w:p w14:paraId="06FB5A94" w14:textId="77777777" w:rsidR="00040253" w:rsidRPr="00452E6C" w:rsidRDefault="00040253" w:rsidP="0050726A">
            <w:pPr>
              <w:suppressAutoHyphens w:val="0"/>
              <w:spacing w:before="40" w:after="40" w:line="220" w:lineRule="exact"/>
              <w:rPr>
                <w:sz w:val="18"/>
              </w:rPr>
            </w:pPr>
            <w:r w:rsidRPr="00452E6C">
              <w:rPr>
                <w:sz w:val="18"/>
              </w:rPr>
              <w:t>Lithuania</w:t>
            </w:r>
          </w:p>
        </w:tc>
        <w:tc>
          <w:tcPr>
            <w:tcW w:w="1484" w:type="dxa"/>
            <w:shd w:val="clear" w:color="auto" w:fill="auto"/>
            <w:noWrap/>
            <w:vAlign w:val="bottom"/>
          </w:tcPr>
          <w:p w14:paraId="73CE89B9" w14:textId="77777777" w:rsidR="00040253" w:rsidRPr="00452E6C" w:rsidRDefault="00040253" w:rsidP="0050726A">
            <w:pPr>
              <w:suppressAutoHyphens w:val="0"/>
              <w:spacing w:before="40" w:after="40" w:line="220" w:lineRule="exact"/>
              <w:jc w:val="right"/>
              <w:rPr>
                <w:sz w:val="18"/>
              </w:rPr>
            </w:pPr>
            <w:r w:rsidRPr="00452E6C">
              <w:rPr>
                <w:sz w:val="18"/>
              </w:rPr>
              <w:t>0.071</w:t>
            </w:r>
          </w:p>
        </w:tc>
        <w:tc>
          <w:tcPr>
            <w:tcW w:w="1783" w:type="dxa"/>
            <w:shd w:val="clear" w:color="auto" w:fill="auto"/>
            <w:noWrap/>
            <w:vAlign w:val="bottom"/>
          </w:tcPr>
          <w:p w14:paraId="5586739E" w14:textId="77777777" w:rsidR="00040253" w:rsidRPr="00452E6C" w:rsidRDefault="00040253" w:rsidP="0050726A">
            <w:pPr>
              <w:suppressAutoHyphens w:val="0"/>
              <w:spacing w:before="40" w:after="40" w:line="220" w:lineRule="exact"/>
              <w:jc w:val="right"/>
              <w:rPr>
                <w:sz w:val="18"/>
              </w:rPr>
            </w:pPr>
            <w:r w:rsidRPr="00452E6C">
              <w:rPr>
                <w:sz w:val="18"/>
              </w:rPr>
              <w:t>0.230</w:t>
            </w:r>
          </w:p>
        </w:tc>
        <w:tc>
          <w:tcPr>
            <w:tcW w:w="1841" w:type="dxa"/>
            <w:shd w:val="clear" w:color="auto" w:fill="auto"/>
            <w:vAlign w:val="bottom"/>
          </w:tcPr>
          <w:p w14:paraId="220E6684" w14:textId="77777777" w:rsidR="00040253" w:rsidRPr="00452E6C" w:rsidRDefault="00040253" w:rsidP="0050726A">
            <w:pPr>
              <w:suppressAutoHyphens w:val="0"/>
              <w:spacing w:before="40" w:after="40" w:line="220" w:lineRule="exact"/>
              <w:jc w:val="right"/>
              <w:rPr>
                <w:sz w:val="18"/>
              </w:rPr>
            </w:pPr>
          </w:p>
        </w:tc>
      </w:tr>
      <w:tr w:rsidR="00040253" w:rsidRPr="00452E6C" w14:paraId="26BE6E40" w14:textId="77777777" w:rsidTr="0050726A">
        <w:tc>
          <w:tcPr>
            <w:tcW w:w="2262" w:type="dxa"/>
            <w:shd w:val="clear" w:color="auto" w:fill="auto"/>
            <w:noWrap/>
            <w:hideMark/>
          </w:tcPr>
          <w:p w14:paraId="44740858" w14:textId="77777777" w:rsidR="00040253" w:rsidRPr="00452E6C" w:rsidRDefault="00040253" w:rsidP="0050726A">
            <w:pPr>
              <w:suppressAutoHyphens w:val="0"/>
              <w:spacing w:before="40" w:after="40" w:line="220" w:lineRule="exact"/>
              <w:rPr>
                <w:sz w:val="18"/>
              </w:rPr>
            </w:pPr>
            <w:r w:rsidRPr="00452E6C">
              <w:rPr>
                <w:sz w:val="18"/>
              </w:rPr>
              <w:t>Luxembourg</w:t>
            </w:r>
          </w:p>
        </w:tc>
        <w:tc>
          <w:tcPr>
            <w:tcW w:w="1484" w:type="dxa"/>
            <w:shd w:val="clear" w:color="auto" w:fill="auto"/>
            <w:noWrap/>
            <w:vAlign w:val="bottom"/>
          </w:tcPr>
          <w:p w14:paraId="3270EC7D" w14:textId="77777777" w:rsidR="00040253" w:rsidRPr="00452E6C" w:rsidRDefault="00040253" w:rsidP="0050726A">
            <w:pPr>
              <w:suppressAutoHyphens w:val="0"/>
              <w:spacing w:before="40" w:after="40" w:line="220" w:lineRule="exact"/>
              <w:jc w:val="right"/>
              <w:rPr>
                <w:sz w:val="18"/>
              </w:rPr>
            </w:pPr>
            <w:r w:rsidRPr="00452E6C">
              <w:rPr>
                <w:sz w:val="18"/>
              </w:rPr>
              <w:t>0.067</w:t>
            </w:r>
          </w:p>
        </w:tc>
        <w:tc>
          <w:tcPr>
            <w:tcW w:w="1783" w:type="dxa"/>
            <w:shd w:val="clear" w:color="auto" w:fill="auto"/>
            <w:noWrap/>
            <w:vAlign w:val="bottom"/>
          </w:tcPr>
          <w:p w14:paraId="312D4D0E" w14:textId="77777777" w:rsidR="00040253" w:rsidRPr="00452E6C" w:rsidRDefault="00040253" w:rsidP="0050726A">
            <w:pPr>
              <w:suppressAutoHyphens w:val="0"/>
              <w:spacing w:before="40" w:after="40" w:line="220" w:lineRule="exact"/>
              <w:jc w:val="right"/>
              <w:rPr>
                <w:sz w:val="18"/>
              </w:rPr>
            </w:pPr>
            <w:r w:rsidRPr="00452E6C">
              <w:rPr>
                <w:sz w:val="18"/>
              </w:rPr>
              <w:t>0.217</w:t>
            </w:r>
          </w:p>
        </w:tc>
        <w:tc>
          <w:tcPr>
            <w:tcW w:w="1841" w:type="dxa"/>
            <w:shd w:val="clear" w:color="auto" w:fill="auto"/>
            <w:vAlign w:val="bottom"/>
          </w:tcPr>
          <w:p w14:paraId="31F1DD2A" w14:textId="77777777" w:rsidR="00040253" w:rsidRPr="00452E6C" w:rsidRDefault="00040253" w:rsidP="0050726A">
            <w:pPr>
              <w:suppressAutoHyphens w:val="0"/>
              <w:spacing w:before="40" w:after="40" w:line="220" w:lineRule="exact"/>
              <w:jc w:val="right"/>
              <w:rPr>
                <w:sz w:val="18"/>
              </w:rPr>
            </w:pPr>
          </w:p>
        </w:tc>
      </w:tr>
      <w:tr w:rsidR="00040253" w:rsidRPr="00452E6C" w14:paraId="41932DDA" w14:textId="77777777" w:rsidTr="0050726A">
        <w:tc>
          <w:tcPr>
            <w:tcW w:w="2262" w:type="dxa"/>
            <w:shd w:val="clear" w:color="auto" w:fill="auto"/>
            <w:noWrap/>
            <w:hideMark/>
          </w:tcPr>
          <w:p w14:paraId="7298467E" w14:textId="77777777" w:rsidR="00040253" w:rsidRPr="00452E6C" w:rsidRDefault="00040253" w:rsidP="0050726A">
            <w:pPr>
              <w:suppressAutoHyphens w:val="0"/>
              <w:spacing w:before="40" w:after="40" w:line="220" w:lineRule="exact"/>
              <w:rPr>
                <w:sz w:val="18"/>
              </w:rPr>
            </w:pPr>
            <w:r w:rsidRPr="00452E6C">
              <w:rPr>
                <w:sz w:val="18"/>
              </w:rPr>
              <w:t>Malta</w:t>
            </w:r>
          </w:p>
        </w:tc>
        <w:tc>
          <w:tcPr>
            <w:tcW w:w="1484" w:type="dxa"/>
            <w:shd w:val="clear" w:color="auto" w:fill="auto"/>
            <w:noWrap/>
            <w:vAlign w:val="bottom"/>
          </w:tcPr>
          <w:p w14:paraId="56D54748" w14:textId="77777777" w:rsidR="00040253" w:rsidRPr="00452E6C" w:rsidRDefault="00040253" w:rsidP="0050726A">
            <w:pPr>
              <w:suppressAutoHyphens w:val="0"/>
              <w:spacing w:before="40" w:after="40" w:line="220" w:lineRule="exact"/>
              <w:jc w:val="right"/>
              <w:rPr>
                <w:sz w:val="18"/>
              </w:rPr>
            </w:pPr>
            <w:r w:rsidRPr="00452E6C">
              <w:rPr>
                <w:sz w:val="18"/>
              </w:rPr>
              <w:t>0.017</w:t>
            </w:r>
          </w:p>
        </w:tc>
        <w:tc>
          <w:tcPr>
            <w:tcW w:w="1783" w:type="dxa"/>
            <w:shd w:val="clear" w:color="auto" w:fill="auto"/>
            <w:noWrap/>
            <w:vAlign w:val="bottom"/>
          </w:tcPr>
          <w:p w14:paraId="4F1C8A91" w14:textId="77777777" w:rsidR="00040253" w:rsidRPr="00452E6C" w:rsidRDefault="00040253" w:rsidP="0050726A">
            <w:pPr>
              <w:suppressAutoHyphens w:val="0"/>
              <w:spacing w:before="40" w:after="40" w:line="220" w:lineRule="exact"/>
              <w:jc w:val="right"/>
              <w:rPr>
                <w:sz w:val="18"/>
              </w:rPr>
            </w:pPr>
            <w:r w:rsidRPr="00452E6C">
              <w:rPr>
                <w:sz w:val="18"/>
              </w:rPr>
              <w:t>0.055</w:t>
            </w:r>
          </w:p>
        </w:tc>
        <w:tc>
          <w:tcPr>
            <w:tcW w:w="1841" w:type="dxa"/>
            <w:shd w:val="clear" w:color="auto" w:fill="auto"/>
            <w:vAlign w:val="bottom"/>
          </w:tcPr>
          <w:p w14:paraId="14FCCEB8" w14:textId="77777777" w:rsidR="00040253" w:rsidRPr="00452E6C" w:rsidRDefault="00040253" w:rsidP="0050726A">
            <w:pPr>
              <w:suppressAutoHyphens w:val="0"/>
              <w:spacing w:before="40" w:after="40" w:line="220" w:lineRule="exact"/>
              <w:jc w:val="right"/>
              <w:rPr>
                <w:sz w:val="18"/>
              </w:rPr>
            </w:pPr>
          </w:p>
        </w:tc>
      </w:tr>
      <w:tr w:rsidR="00040253" w:rsidRPr="00452E6C" w14:paraId="5A944CC4" w14:textId="77777777" w:rsidTr="0050726A">
        <w:tc>
          <w:tcPr>
            <w:tcW w:w="2262" w:type="dxa"/>
            <w:shd w:val="clear" w:color="auto" w:fill="auto"/>
            <w:noWrap/>
          </w:tcPr>
          <w:p w14:paraId="4652E933" w14:textId="77777777" w:rsidR="00040253" w:rsidRPr="00452E6C" w:rsidRDefault="00040253" w:rsidP="0050726A">
            <w:pPr>
              <w:suppressAutoHyphens w:val="0"/>
              <w:spacing w:before="40" w:after="40" w:line="220" w:lineRule="exact"/>
              <w:rPr>
                <w:sz w:val="18"/>
              </w:rPr>
            </w:pPr>
            <w:r w:rsidRPr="00452E6C">
              <w:rPr>
                <w:sz w:val="18"/>
              </w:rPr>
              <w:t>Monaco</w:t>
            </w:r>
          </w:p>
        </w:tc>
        <w:tc>
          <w:tcPr>
            <w:tcW w:w="1484" w:type="dxa"/>
            <w:shd w:val="clear" w:color="auto" w:fill="auto"/>
            <w:noWrap/>
            <w:vAlign w:val="bottom"/>
          </w:tcPr>
          <w:p w14:paraId="75C91DAB" w14:textId="77777777" w:rsidR="00040253" w:rsidRPr="00452E6C" w:rsidRDefault="00040253" w:rsidP="0050726A">
            <w:pPr>
              <w:suppressAutoHyphens w:val="0"/>
              <w:spacing w:before="40" w:after="40" w:line="220" w:lineRule="exact"/>
              <w:jc w:val="right"/>
              <w:rPr>
                <w:sz w:val="18"/>
              </w:rPr>
            </w:pPr>
            <w:r w:rsidRPr="00452E6C">
              <w:rPr>
                <w:sz w:val="18"/>
              </w:rPr>
              <w:t>0.011</w:t>
            </w:r>
          </w:p>
        </w:tc>
        <w:tc>
          <w:tcPr>
            <w:tcW w:w="1783" w:type="dxa"/>
            <w:shd w:val="clear" w:color="auto" w:fill="auto"/>
            <w:noWrap/>
            <w:vAlign w:val="bottom"/>
          </w:tcPr>
          <w:p w14:paraId="3F8428A6" w14:textId="77777777" w:rsidR="00040253" w:rsidRPr="00452E6C" w:rsidRDefault="00040253" w:rsidP="0050726A">
            <w:pPr>
              <w:suppressAutoHyphens w:val="0"/>
              <w:spacing w:before="40" w:after="40" w:line="220" w:lineRule="exact"/>
              <w:jc w:val="right"/>
              <w:rPr>
                <w:sz w:val="18"/>
              </w:rPr>
            </w:pPr>
            <w:r w:rsidRPr="00452E6C">
              <w:rPr>
                <w:sz w:val="18"/>
              </w:rPr>
              <w:t>0.036</w:t>
            </w:r>
          </w:p>
        </w:tc>
        <w:tc>
          <w:tcPr>
            <w:tcW w:w="1841" w:type="dxa"/>
            <w:shd w:val="clear" w:color="auto" w:fill="auto"/>
            <w:vAlign w:val="bottom"/>
          </w:tcPr>
          <w:p w14:paraId="4C184823" w14:textId="77777777" w:rsidR="00040253" w:rsidRPr="00452E6C" w:rsidRDefault="00040253" w:rsidP="0050726A">
            <w:pPr>
              <w:suppressAutoHyphens w:val="0"/>
              <w:spacing w:before="40" w:after="40" w:line="220" w:lineRule="exact"/>
              <w:jc w:val="right"/>
              <w:rPr>
                <w:sz w:val="18"/>
              </w:rPr>
            </w:pPr>
          </w:p>
        </w:tc>
      </w:tr>
      <w:tr w:rsidR="00040253" w:rsidRPr="00452E6C" w14:paraId="1FA49A38" w14:textId="77777777" w:rsidTr="0050726A">
        <w:tc>
          <w:tcPr>
            <w:tcW w:w="2262" w:type="dxa"/>
            <w:shd w:val="clear" w:color="auto" w:fill="auto"/>
            <w:noWrap/>
            <w:hideMark/>
          </w:tcPr>
          <w:p w14:paraId="0651E42E" w14:textId="77777777" w:rsidR="00040253" w:rsidRPr="00452E6C" w:rsidRDefault="00040253" w:rsidP="0050726A">
            <w:pPr>
              <w:suppressAutoHyphens w:val="0"/>
              <w:spacing w:before="40" w:after="40" w:line="220" w:lineRule="exact"/>
              <w:rPr>
                <w:sz w:val="18"/>
              </w:rPr>
            </w:pPr>
            <w:r w:rsidRPr="00452E6C">
              <w:rPr>
                <w:sz w:val="18"/>
              </w:rPr>
              <w:t>Montenegro</w:t>
            </w:r>
          </w:p>
        </w:tc>
        <w:tc>
          <w:tcPr>
            <w:tcW w:w="1484" w:type="dxa"/>
            <w:shd w:val="clear" w:color="auto" w:fill="auto"/>
            <w:noWrap/>
            <w:vAlign w:val="bottom"/>
          </w:tcPr>
          <w:p w14:paraId="0EAB7E8C" w14:textId="77777777" w:rsidR="00040253" w:rsidRPr="00452E6C" w:rsidRDefault="00040253" w:rsidP="0050726A">
            <w:pPr>
              <w:suppressAutoHyphens w:val="0"/>
              <w:spacing w:before="40" w:after="40" w:line="220" w:lineRule="exact"/>
              <w:jc w:val="right"/>
              <w:rPr>
                <w:sz w:val="18"/>
              </w:rPr>
            </w:pPr>
            <w:r w:rsidRPr="00452E6C">
              <w:rPr>
                <w:sz w:val="18"/>
              </w:rPr>
              <w:t>0.004</w:t>
            </w:r>
          </w:p>
        </w:tc>
        <w:tc>
          <w:tcPr>
            <w:tcW w:w="1783" w:type="dxa"/>
            <w:shd w:val="clear" w:color="auto" w:fill="auto"/>
            <w:noWrap/>
            <w:vAlign w:val="bottom"/>
          </w:tcPr>
          <w:p w14:paraId="64227F6C" w14:textId="77777777" w:rsidR="00040253" w:rsidRPr="00452E6C" w:rsidRDefault="00040253" w:rsidP="0050726A">
            <w:pPr>
              <w:suppressAutoHyphens w:val="0"/>
              <w:spacing w:before="40" w:after="40" w:line="220" w:lineRule="exact"/>
              <w:jc w:val="right"/>
              <w:rPr>
                <w:sz w:val="18"/>
              </w:rPr>
            </w:pPr>
            <w:r w:rsidRPr="00452E6C">
              <w:rPr>
                <w:sz w:val="18"/>
              </w:rPr>
              <w:t>0.013</w:t>
            </w:r>
          </w:p>
        </w:tc>
        <w:tc>
          <w:tcPr>
            <w:tcW w:w="1841" w:type="dxa"/>
            <w:shd w:val="clear" w:color="auto" w:fill="auto"/>
            <w:vAlign w:val="bottom"/>
          </w:tcPr>
          <w:p w14:paraId="1A7F45C7" w14:textId="77777777" w:rsidR="00040253" w:rsidRPr="00452E6C" w:rsidRDefault="00040253" w:rsidP="0050726A">
            <w:pPr>
              <w:suppressAutoHyphens w:val="0"/>
              <w:spacing w:before="40" w:after="40" w:line="220" w:lineRule="exact"/>
              <w:jc w:val="right"/>
              <w:rPr>
                <w:sz w:val="18"/>
              </w:rPr>
            </w:pPr>
          </w:p>
        </w:tc>
      </w:tr>
      <w:tr w:rsidR="00040253" w:rsidRPr="00452E6C" w14:paraId="08BA3B15" w14:textId="77777777" w:rsidTr="0050726A">
        <w:tc>
          <w:tcPr>
            <w:tcW w:w="2262" w:type="dxa"/>
            <w:shd w:val="clear" w:color="auto" w:fill="auto"/>
            <w:noWrap/>
            <w:hideMark/>
          </w:tcPr>
          <w:p w14:paraId="08BD0F4B" w14:textId="77777777" w:rsidR="00040253" w:rsidRPr="00452E6C" w:rsidRDefault="00040253" w:rsidP="0050726A">
            <w:pPr>
              <w:suppressAutoHyphens w:val="0"/>
              <w:spacing w:before="40" w:after="40" w:line="220" w:lineRule="exact"/>
              <w:rPr>
                <w:sz w:val="18"/>
              </w:rPr>
            </w:pPr>
            <w:r w:rsidRPr="00452E6C">
              <w:rPr>
                <w:sz w:val="18"/>
              </w:rPr>
              <w:t>Netherlands</w:t>
            </w:r>
          </w:p>
        </w:tc>
        <w:tc>
          <w:tcPr>
            <w:tcW w:w="1484" w:type="dxa"/>
            <w:shd w:val="clear" w:color="auto" w:fill="auto"/>
            <w:noWrap/>
            <w:vAlign w:val="bottom"/>
          </w:tcPr>
          <w:p w14:paraId="58006585" w14:textId="77777777" w:rsidR="00040253" w:rsidRPr="00452E6C" w:rsidRDefault="00040253" w:rsidP="0050726A">
            <w:pPr>
              <w:suppressAutoHyphens w:val="0"/>
              <w:spacing w:before="40" w:after="40" w:line="220" w:lineRule="exact"/>
              <w:jc w:val="right"/>
              <w:rPr>
                <w:sz w:val="18"/>
              </w:rPr>
            </w:pPr>
            <w:r w:rsidRPr="00452E6C">
              <w:rPr>
                <w:sz w:val="18"/>
              </w:rPr>
              <w:t>1.356</w:t>
            </w:r>
          </w:p>
        </w:tc>
        <w:tc>
          <w:tcPr>
            <w:tcW w:w="1783" w:type="dxa"/>
            <w:shd w:val="clear" w:color="auto" w:fill="auto"/>
            <w:noWrap/>
            <w:vAlign w:val="bottom"/>
          </w:tcPr>
          <w:p w14:paraId="22437EC7" w14:textId="77777777" w:rsidR="00040253" w:rsidRPr="00452E6C" w:rsidRDefault="00040253" w:rsidP="0050726A">
            <w:pPr>
              <w:suppressAutoHyphens w:val="0"/>
              <w:spacing w:before="40" w:after="40" w:line="220" w:lineRule="exact"/>
              <w:jc w:val="right"/>
              <w:rPr>
                <w:sz w:val="18"/>
              </w:rPr>
            </w:pPr>
            <w:r w:rsidRPr="00452E6C">
              <w:rPr>
                <w:sz w:val="18"/>
              </w:rPr>
              <w:t>4.388</w:t>
            </w:r>
          </w:p>
        </w:tc>
        <w:tc>
          <w:tcPr>
            <w:tcW w:w="1841" w:type="dxa"/>
            <w:shd w:val="clear" w:color="auto" w:fill="auto"/>
            <w:vAlign w:val="bottom"/>
          </w:tcPr>
          <w:p w14:paraId="12635B82" w14:textId="77777777" w:rsidR="00040253" w:rsidRPr="00452E6C" w:rsidRDefault="00040253" w:rsidP="0050726A">
            <w:pPr>
              <w:suppressAutoHyphens w:val="0"/>
              <w:spacing w:before="40" w:after="40" w:line="220" w:lineRule="exact"/>
              <w:jc w:val="right"/>
              <w:rPr>
                <w:sz w:val="18"/>
              </w:rPr>
            </w:pPr>
          </w:p>
        </w:tc>
      </w:tr>
      <w:tr w:rsidR="00040253" w:rsidRPr="00452E6C" w14:paraId="5200F2B3" w14:textId="77777777" w:rsidTr="0050726A">
        <w:tc>
          <w:tcPr>
            <w:tcW w:w="2262" w:type="dxa"/>
            <w:shd w:val="clear" w:color="auto" w:fill="auto"/>
            <w:noWrap/>
          </w:tcPr>
          <w:p w14:paraId="6B795896" w14:textId="77777777" w:rsidR="00040253" w:rsidRPr="00452E6C" w:rsidRDefault="00040253" w:rsidP="0050726A">
            <w:pPr>
              <w:suppressAutoHyphens w:val="0"/>
              <w:spacing w:before="40" w:after="40" w:line="220" w:lineRule="exact"/>
              <w:rPr>
                <w:sz w:val="18"/>
              </w:rPr>
            </w:pPr>
            <w:r w:rsidRPr="00452E6C">
              <w:rPr>
                <w:sz w:val="18"/>
              </w:rPr>
              <w:t>North Macedonia</w:t>
            </w:r>
          </w:p>
        </w:tc>
        <w:tc>
          <w:tcPr>
            <w:tcW w:w="1484" w:type="dxa"/>
            <w:shd w:val="clear" w:color="auto" w:fill="auto"/>
            <w:noWrap/>
            <w:vAlign w:val="bottom"/>
          </w:tcPr>
          <w:p w14:paraId="29486908" w14:textId="77777777" w:rsidR="00040253" w:rsidRPr="00452E6C" w:rsidRDefault="00040253" w:rsidP="0050726A">
            <w:pPr>
              <w:suppressAutoHyphens w:val="0"/>
              <w:spacing w:before="40" w:after="40" w:line="220" w:lineRule="exact"/>
              <w:jc w:val="right"/>
              <w:rPr>
                <w:sz w:val="18"/>
              </w:rPr>
            </w:pPr>
            <w:r w:rsidRPr="00452E6C">
              <w:rPr>
                <w:sz w:val="18"/>
              </w:rPr>
              <w:t>0.007</w:t>
            </w:r>
          </w:p>
        </w:tc>
        <w:tc>
          <w:tcPr>
            <w:tcW w:w="1783" w:type="dxa"/>
            <w:shd w:val="clear" w:color="auto" w:fill="auto"/>
            <w:noWrap/>
            <w:vAlign w:val="bottom"/>
          </w:tcPr>
          <w:p w14:paraId="59F2192B" w14:textId="77777777" w:rsidR="00040253" w:rsidRPr="00452E6C" w:rsidRDefault="00040253" w:rsidP="0050726A">
            <w:pPr>
              <w:suppressAutoHyphens w:val="0"/>
              <w:spacing w:before="40" w:after="40" w:line="220" w:lineRule="exact"/>
              <w:jc w:val="right"/>
              <w:rPr>
                <w:sz w:val="18"/>
              </w:rPr>
            </w:pPr>
            <w:r w:rsidRPr="00452E6C">
              <w:rPr>
                <w:sz w:val="18"/>
              </w:rPr>
              <w:t>0.023</w:t>
            </w:r>
          </w:p>
        </w:tc>
        <w:tc>
          <w:tcPr>
            <w:tcW w:w="1841" w:type="dxa"/>
            <w:shd w:val="clear" w:color="auto" w:fill="auto"/>
            <w:vAlign w:val="bottom"/>
          </w:tcPr>
          <w:p w14:paraId="37BC687A" w14:textId="77777777" w:rsidR="00040253" w:rsidRPr="00452E6C" w:rsidRDefault="00040253" w:rsidP="0050726A">
            <w:pPr>
              <w:suppressAutoHyphens w:val="0"/>
              <w:spacing w:before="40" w:after="40" w:line="220" w:lineRule="exact"/>
              <w:jc w:val="right"/>
              <w:rPr>
                <w:sz w:val="18"/>
              </w:rPr>
            </w:pPr>
          </w:p>
        </w:tc>
      </w:tr>
      <w:tr w:rsidR="00040253" w:rsidRPr="00452E6C" w14:paraId="4292BB4A" w14:textId="77777777" w:rsidTr="0050726A">
        <w:tc>
          <w:tcPr>
            <w:tcW w:w="2262" w:type="dxa"/>
            <w:shd w:val="clear" w:color="auto" w:fill="auto"/>
            <w:noWrap/>
            <w:hideMark/>
          </w:tcPr>
          <w:p w14:paraId="096BA9D4" w14:textId="77777777" w:rsidR="00040253" w:rsidRPr="00452E6C" w:rsidRDefault="00040253" w:rsidP="0050726A">
            <w:pPr>
              <w:suppressAutoHyphens w:val="0"/>
              <w:spacing w:before="40" w:after="40" w:line="220" w:lineRule="exact"/>
              <w:rPr>
                <w:sz w:val="18"/>
              </w:rPr>
            </w:pPr>
            <w:r w:rsidRPr="00452E6C">
              <w:rPr>
                <w:sz w:val="18"/>
              </w:rPr>
              <w:t>Norway</w:t>
            </w:r>
          </w:p>
        </w:tc>
        <w:tc>
          <w:tcPr>
            <w:tcW w:w="1484" w:type="dxa"/>
            <w:shd w:val="clear" w:color="auto" w:fill="auto"/>
            <w:noWrap/>
            <w:vAlign w:val="bottom"/>
          </w:tcPr>
          <w:p w14:paraId="025ED39B" w14:textId="77777777" w:rsidR="00040253" w:rsidRPr="00452E6C" w:rsidRDefault="00040253" w:rsidP="0050726A">
            <w:pPr>
              <w:suppressAutoHyphens w:val="0"/>
              <w:spacing w:before="40" w:after="40" w:line="220" w:lineRule="exact"/>
              <w:jc w:val="right"/>
              <w:rPr>
                <w:sz w:val="18"/>
              </w:rPr>
            </w:pPr>
            <w:r w:rsidRPr="00452E6C">
              <w:rPr>
                <w:sz w:val="18"/>
              </w:rPr>
              <w:t>0.754</w:t>
            </w:r>
          </w:p>
        </w:tc>
        <w:tc>
          <w:tcPr>
            <w:tcW w:w="1783" w:type="dxa"/>
            <w:shd w:val="clear" w:color="auto" w:fill="auto"/>
            <w:noWrap/>
            <w:vAlign w:val="bottom"/>
          </w:tcPr>
          <w:p w14:paraId="0AE88D85" w14:textId="77777777" w:rsidR="00040253" w:rsidRPr="00452E6C" w:rsidRDefault="00040253" w:rsidP="0050726A">
            <w:pPr>
              <w:suppressAutoHyphens w:val="0"/>
              <w:spacing w:before="40" w:after="40" w:line="220" w:lineRule="exact"/>
              <w:jc w:val="right"/>
              <w:rPr>
                <w:sz w:val="18"/>
              </w:rPr>
            </w:pPr>
            <w:r w:rsidRPr="00452E6C">
              <w:rPr>
                <w:sz w:val="18"/>
              </w:rPr>
              <w:t>2.440</w:t>
            </w:r>
          </w:p>
        </w:tc>
        <w:tc>
          <w:tcPr>
            <w:tcW w:w="1841" w:type="dxa"/>
            <w:shd w:val="clear" w:color="auto" w:fill="auto"/>
            <w:vAlign w:val="bottom"/>
          </w:tcPr>
          <w:p w14:paraId="1689E13E" w14:textId="77777777" w:rsidR="00040253" w:rsidRPr="00452E6C" w:rsidRDefault="00040253" w:rsidP="0050726A">
            <w:pPr>
              <w:suppressAutoHyphens w:val="0"/>
              <w:spacing w:before="40" w:after="40" w:line="220" w:lineRule="exact"/>
              <w:jc w:val="right"/>
              <w:rPr>
                <w:sz w:val="18"/>
              </w:rPr>
            </w:pPr>
          </w:p>
        </w:tc>
      </w:tr>
      <w:tr w:rsidR="00040253" w:rsidRPr="00452E6C" w14:paraId="758D9A49" w14:textId="77777777" w:rsidTr="0050726A">
        <w:tc>
          <w:tcPr>
            <w:tcW w:w="2262" w:type="dxa"/>
            <w:shd w:val="clear" w:color="auto" w:fill="auto"/>
            <w:noWrap/>
            <w:hideMark/>
          </w:tcPr>
          <w:p w14:paraId="1227E42F" w14:textId="77777777" w:rsidR="00040253" w:rsidRPr="00452E6C" w:rsidRDefault="00040253" w:rsidP="0050726A">
            <w:pPr>
              <w:suppressAutoHyphens w:val="0"/>
              <w:spacing w:before="40" w:after="40" w:line="220" w:lineRule="exact"/>
              <w:rPr>
                <w:sz w:val="18"/>
              </w:rPr>
            </w:pPr>
            <w:r w:rsidRPr="00452E6C">
              <w:rPr>
                <w:sz w:val="18"/>
              </w:rPr>
              <w:t>Poland</w:t>
            </w:r>
          </w:p>
        </w:tc>
        <w:tc>
          <w:tcPr>
            <w:tcW w:w="1484" w:type="dxa"/>
            <w:shd w:val="clear" w:color="auto" w:fill="auto"/>
            <w:noWrap/>
            <w:vAlign w:val="bottom"/>
          </w:tcPr>
          <w:p w14:paraId="1F699639" w14:textId="77777777" w:rsidR="00040253" w:rsidRPr="00452E6C" w:rsidRDefault="00040253" w:rsidP="0050726A">
            <w:pPr>
              <w:suppressAutoHyphens w:val="0"/>
              <w:spacing w:before="40" w:after="40" w:line="220" w:lineRule="exact"/>
              <w:jc w:val="right"/>
              <w:rPr>
                <w:sz w:val="18"/>
              </w:rPr>
            </w:pPr>
            <w:r w:rsidRPr="00452E6C">
              <w:rPr>
                <w:sz w:val="18"/>
              </w:rPr>
              <w:t>0.802</w:t>
            </w:r>
          </w:p>
        </w:tc>
        <w:tc>
          <w:tcPr>
            <w:tcW w:w="1783" w:type="dxa"/>
            <w:shd w:val="clear" w:color="auto" w:fill="auto"/>
            <w:noWrap/>
            <w:vAlign w:val="bottom"/>
          </w:tcPr>
          <w:p w14:paraId="30B4D68F" w14:textId="77777777" w:rsidR="00040253" w:rsidRPr="00452E6C" w:rsidRDefault="00040253" w:rsidP="0050726A">
            <w:pPr>
              <w:suppressAutoHyphens w:val="0"/>
              <w:spacing w:before="40" w:after="40" w:line="220" w:lineRule="exact"/>
              <w:jc w:val="right"/>
              <w:rPr>
                <w:sz w:val="18"/>
              </w:rPr>
            </w:pPr>
            <w:r w:rsidRPr="00452E6C">
              <w:rPr>
                <w:sz w:val="18"/>
              </w:rPr>
              <w:t>2.595</w:t>
            </w:r>
          </w:p>
        </w:tc>
        <w:tc>
          <w:tcPr>
            <w:tcW w:w="1841" w:type="dxa"/>
            <w:shd w:val="clear" w:color="auto" w:fill="auto"/>
            <w:vAlign w:val="bottom"/>
          </w:tcPr>
          <w:p w14:paraId="2497FB3A" w14:textId="77777777" w:rsidR="00040253" w:rsidRPr="00452E6C" w:rsidRDefault="00040253" w:rsidP="0050726A">
            <w:pPr>
              <w:suppressAutoHyphens w:val="0"/>
              <w:spacing w:before="40" w:after="40" w:line="220" w:lineRule="exact"/>
              <w:jc w:val="right"/>
              <w:rPr>
                <w:sz w:val="18"/>
              </w:rPr>
            </w:pPr>
          </w:p>
        </w:tc>
      </w:tr>
      <w:tr w:rsidR="00040253" w:rsidRPr="00452E6C" w14:paraId="72E3E331" w14:textId="77777777" w:rsidTr="0050726A">
        <w:tc>
          <w:tcPr>
            <w:tcW w:w="2262" w:type="dxa"/>
            <w:shd w:val="clear" w:color="auto" w:fill="auto"/>
            <w:noWrap/>
            <w:hideMark/>
          </w:tcPr>
          <w:p w14:paraId="5464E7E4" w14:textId="77777777" w:rsidR="00040253" w:rsidRPr="00452E6C" w:rsidRDefault="00040253" w:rsidP="0050726A">
            <w:pPr>
              <w:suppressAutoHyphens w:val="0"/>
              <w:spacing w:before="40" w:after="40" w:line="220" w:lineRule="exact"/>
              <w:rPr>
                <w:sz w:val="18"/>
              </w:rPr>
            </w:pPr>
            <w:r w:rsidRPr="00452E6C">
              <w:rPr>
                <w:sz w:val="18"/>
              </w:rPr>
              <w:t>Portugal</w:t>
            </w:r>
          </w:p>
        </w:tc>
        <w:tc>
          <w:tcPr>
            <w:tcW w:w="1484" w:type="dxa"/>
            <w:shd w:val="clear" w:color="auto" w:fill="auto"/>
            <w:noWrap/>
            <w:vAlign w:val="bottom"/>
          </w:tcPr>
          <w:p w14:paraId="3E20FBF5" w14:textId="77777777" w:rsidR="00040253" w:rsidRPr="00452E6C" w:rsidRDefault="00040253" w:rsidP="0050726A">
            <w:pPr>
              <w:suppressAutoHyphens w:val="0"/>
              <w:spacing w:before="40" w:after="40" w:line="220" w:lineRule="exact"/>
              <w:jc w:val="right"/>
              <w:rPr>
                <w:sz w:val="18"/>
              </w:rPr>
            </w:pPr>
            <w:r w:rsidRPr="00452E6C">
              <w:rPr>
                <w:sz w:val="18"/>
              </w:rPr>
              <w:t>0.350</w:t>
            </w:r>
          </w:p>
        </w:tc>
        <w:tc>
          <w:tcPr>
            <w:tcW w:w="1783" w:type="dxa"/>
            <w:shd w:val="clear" w:color="auto" w:fill="auto"/>
            <w:noWrap/>
            <w:vAlign w:val="bottom"/>
          </w:tcPr>
          <w:p w14:paraId="126EAF96" w14:textId="77777777" w:rsidR="00040253" w:rsidRPr="00452E6C" w:rsidRDefault="00040253" w:rsidP="0050726A">
            <w:pPr>
              <w:suppressAutoHyphens w:val="0"/>
              <w:spacing w:before="40" w:after="40" w:line="220" w:lineRule="exact"/>
              <w:jc w:val="right"/>
              <w:rPr>
                <w:sz w:val="18"/>
              </w:rPr>
            </w:pPr>
            <w:r w:rsidRPr="00452E6C">
              <w:rPr>
                <w:sz w:val="18"/>
              </w:rPr>
              <w:t>1.133</w:t>
            </w:r>
          </w:p>
        </w:tc>
        <w:tc>
          <w:tcPr>
            <w:tcW w:w="1841" w:type="dxa"/>
            <w:shd w:val="clear" w:color="auto" w:fill="auto"/>
            <w:vAlign w:val="bottom"/>
          </w:tcPr>
          <w:p w14:paraId="3B52CF34" w14:textId="77777777" w:rsidR="00040253" w:rsidRPr="00452E6C" w:rsidRDefault="00040253" w:rsidP="0050726A">
            <w:pPr>
              <w:suppressAutoHyphens w:val="0"/>
              <w:spacing w:before="40" w:after="40" w:line="220" w:lineRule="exact"/>
              <w:jc w:val="right"/>
              <w:rPr>
                <w:sz w:val="18"/>
              </w:rPr>
            </w:pPr>
          </w:p>
        </w:tc>
      </w:tr>
      <w:tr w:rsidR="00040253" w:rsidRPr="00452E6C" w14:paraId="713C4E03" w14:textId="77777777" w:rsidTr="0050726A">
        <w:tc>
          <w:tcPr>
            <w:tcW w:w="2262" w:type="dxa"/>
            <w:shd w:val="clear" w:color="auto" w:fill="auto"/>
            <w:noWrap/>
            <w:hideMark/>
          </w:tcPr>
          <w:p w14:paraId="2B8FBED2" w14:textId="77777777" w:rsidR="00040253" w:rsidRPr="00452E6C" w:rsidRDefault="00040253" w:rsidP="0050726A">
            <w:pPr>
              <w:suppressAutoHyphens w:val="0"/>
              <w:spacing w:before="40" w:after="40" w:line="220" w:lineRule="exact"/>
              <w:rPr>
                <w:sz w:val="18"/>
              </w:rPr>
            </w:pPr>
            <w:r w:rsidRPr="00452E6C">
              <w:rPr>
                <w:sz w:val="18"/>
              </w:rPr>
              <w:t>Republic of Moldova</w:t>
            </w:r>
          </w:p>
        </w:tc>
        <w:tc>
          <w:tcPr>
            <w:tcW w:w="1484" w:type="dxa"/>
            <w:shd w:val="clear" w:color="auto" w:fill="auto"/>
            <w:noWrap/>
            <w:vAlign w:val="bottom"/>
          </w:tcPr>
          <w:p w14:paraId="4498470B" w14:textId="77777777" w:rsidR="00040253" w:rsidRPr="00452E6C" w:rsidRDefault="00040253" w:rsidP="0050726A">
            <w:pPr>
              <w:suppressAutoHyphens w:val="0"/>
              <w:spacing w:before="40" w:after="40" w:line="220" w:lineRule="exact"/>
              <w:jc w:val="right"/>
              <w:rPr>
                <w:sz w:val="18"/>
              </w:rPr>
            </w:pPr>
            <w:r w:rsidRPr="00452E6C">
              <w:rPr>
                <w:sz w:val="18"/>
              </w:rPr>
              <w:t>0.003</w:t>
            </w:r>
          </w:p>
        </w:tc>
        <w:tc>
          <w:tcPr>
            <w:tcW w:w="1783" w:type="dxa"/>
            <w:shd w:val="clear" w:color="auto" w:fill="auto"/>
            <w:noWrap/>
            <w:vAlign w:val="bottom"/>
          </w:tcPr>
          <w:p w14:paraId="20EA5926" w14:textId="77777777" w:rsidR="00040253" w:rsidRPr="00452E6C" w:rsidRDefault="00040253" w:rsidP="0050726A">
            <w:pPr>
              <w:suppressAutoHyphens w:val="0"/>
              <w:spacing w:before="40" w:after="40" w:line="220" w:lineRule="exact"/>
              <w:jc w:val="right"/>
              <w:rPr>
                <w:sz w:val="18"/>
              </w:rPr>
            </w:pPr>
            <w:r w:rsidRPr="00452E6C">
              <w:rPr>
                <w:sz w:val="18"/>
              </w:rPr>
              <w:t>0.010</w:t>
            </w:r>
          </w:p>
        </w:tc>
        <w:tc>
          <w:tcPr>
            <w:tcW w:w="1841" w:type="dxa"/>
            <w:shd w:val="clear" w:color="auto" w:fill="auto"/>
            <w:vAlign w:val="bottom"/>
          </w:tcPr>
          <w:p w14:paraId="596ACCB6" w14:textId="77777777" w:rsidR="00040253" w:rsidRPr="00452E6C" w:rsidRDefault="00040253" w:rsidP="0050726A">
            <w:pPr>
              <w:suppressAutoHyphens w:val="0"/>
              <w:spacing w:before="40" w:after="40" w:line="220" w:lineRule="exact"/>
              <w:jc w:val="right"/>
              <w:rPr>
                <w:sz w:val="18"/>
              </w:rPr>
            </w:pPr>
          </w:p>
        </w:tc>
      </w:tr>
      <w:tr w:rsidR="00040253" w:rsidRPr="00452E6C" w14:paraId="0F3EAF7B" w14:textId="77777777" w:rsidTr="0050726A">
        <w:tc>
          <w:tcPr>
            <w:tcW w:w="2262" w:type="dxa"/>
            <w:shd w:val="clear" w:color="auto" w:fill="auto"/>
            <w:noWrap/>
            <w:hideMark/>
          </w:tcPr>
          <w:p w14:paraId="3189B882" w14:textId="77777777" w:rsidR="00040253" w:rsidRPr="00452E6C" w:rsidRDefault="00040253" w:rsidP="0050726A">
            <w:pPr>
              <w:suppressAutoHyphens w:val="0"/>
              <w:spacing w:before="40" w:after="40" w:line="220" w:lineRule="exact"/>
              <w:rPr>
                <w:sz w:val="18"/>
              </w:rPr>
            </w:pPr>
            <w:r w:rsidRPr="00452E6C">
              <w:rPr>
                <w:sz w:val="18"/>
              </w:rPr>
              <w:t>Romania</w:t>
            </w:r>
          </w:p>
        </w:tc>
        <w:tc>
          <w:tcPr>
            <w:tcW w:w="1484" w:type="dxa"/>
            <w:shd w:val="clear" w:color="auto" w:fill="auto"/>
            <w:noWrap/>
            <w:vAlign w:val="bottom"/>
          </w:tcPr>
          <w:p w14:paraId="0B7830F7" w14:textId="77777777" w:rsidR="00040253" w:rsidRPr="00452E6C" w:rsidRDefault="00040253" w:rsidP="0050726A">
            <w:pPr>
              <w:suppressAutoHyphens w:val="0"/>
              <w:spacing w:before="40" w:after="40" w:line="220" w:lineRule="exact"/>
              <w:jc w:val="right"/>
              <w:rPr>
                <w:sz w:val="18"/>
              </w:rPr>
            </w:pPr>
            <w:r w:rsidRPr="00452E6C">
              <w:rPr>
                <w:sz w:val="18"/>
              </w:rPr>
              <w:t>0.198</w:t>
            </w:r>
          </w:p>
        </w:tc>
        <w:tc>
          <w:tcPr>
            <w:tcW w:w="1783" w:type="dxa"/>
            <w:shd w:val="clear" w:color="auto" w:fill="auto"/>
            <w:noWrap/>
            <w:vAlign w:val="bottom"/>
          </w:tcPr>
          <w:p w14:paraId="1CFB3020" w14:textId="77777777" w:rsidR="00040253" w:rsidRPr="00452E6C" w:rsidRDefault="00040253" w:rsidP="0050726A">
            <w:pPr>
              <w:suppressAutoHyphens w:val="0"/>
              <w:spacing w:before="40" w:after="40" w:line="220" w:lineRule="exact"/>
              <w:jc w:val="right"/>
              <w:rPr>
                <w:sz w:val="18"/>
              </w:rPr>
            </w:pPr>
            <w:r w:rsidRPr="00452E6C">
              <w:rPr>
                <w:sz w:val="18"/>
              </w:rPr>
              <w:t>0.641</w:t>
            </w:r>
          </w:p>
        </w:tc>
        <w:tc>
          <w:tcPr>
            <w:tcW w:w="1841" w:type="dxa"/>
            <w:shd w:val="clear" w:color="auto" w:fill="auto"/>
            <w:vAlign w:val="bottom"/>
          </w:tcPr>
          <w:p w14:paraId="6B71FE89" w14:textId="77777777" w:rsidR="00040253" w:rsidRPr="00452E6C" w:rsidRDefault="00040253" w:rsidP="0050726A">
            <w:pPr>
              <w:suppressAutoHyphens w:val="0"/>
              <w:spacing w:before="40" w:after="40" w:line="220" w:lineRule="exact"/>
              <w:jc w:val="right"/>
              <w:rPr>
                <w:sz w:val="18"/>
              </w:rPr>
            </w:pPr>
          </w:p>
        </w:tc>
      </w:tr>
      <w:tr w:rsidR="00040253" w:rsidRPr="00452E6C" w14:paraId="13F9F563" w14:textId="77777777" w:rsidTr="0050726A">
        <w:tc>
          <w:tcPr>
            <w:tcW w:w="2262" w:type="dxa"/>
            <w:shd w:val="clear" w:color="auto" w:fill="auto"/>
            <w:noWrap/>
            <w:hideMark/>
          </w:tcPr>
          <w:p w14:paraId="72DEAFC3" w14:textId="77777777" w:rsidR="00040253" w:rsidRPr="00452E6C" w:rsidRDefault="00040253" w:rsidP="0050726A">
            <w:pPr>
              <w:suppressAutoHyphens w:val="0"/>
              <w:spacing w:before="40" w:after="40" w:line="220" w:lineRule="exact"/>
              <w:rPr>
                <w:sz w:val="18"/>
              </w:rPr>
            </w:pPr>
            <w:r w:rsidRPr="00452E6C">
              <w:rPr>
                <w:sz w:val="18"/>
              </w:rPr>
              <w:t>Serbia</w:t>
            </w:r>
          </w:p>
        </w:tc>
        <w:tc>
          <w:tcPr>
            <w:tcW w:w="1484" w:type="dxa"/>
            <w:shd w:val="clear" w:color="auto" w:fill="auto"/>
            <w:noWrap/>
            <w:vAlign w:val="bottom"/>
          </w:tcPr>
          <w:p w14:paraId="6409C0E0" w14:textId="77777777" w:rsidR="00040253" w:rsidRPr="00452E6C" w:rsidRDefault="00040253" w:rsidP="0050726A">
            <w:pPr>
              <w:suppressAutoHyphens w:val="0"/>
              <w:spacing w:before="40" w:after="40" w:line="220" w:lineRule="exact"/>
              <w:jc w:val="right"/>
              <w:rPr>
                <w:sz w:val="18"/>
              </w:rPr>
            </w:pPr>
            <w:r w:rsidRPr="00452E6C">
              <w:rPr>
                <w:sz w:val="18"/>
              </w:rPr>
              <w:t>0.028</w:t>
            </w:r>
          </w:p>
        </w:tc>
        <w:tc>
          <w:tcPr>
            <w:tcW w:w="1783" w:type="dxa"/>
            <w:shd w:val="clear" w:color="auto" w:fill="auto"/>
            <w:noWrap/>
            <w:vAlign w:val="bottom"/>
          </w:tcPr>
          <w:p w14:paraId="65394716" w14:textId="77777777" w:rsidR="00040253" w:rsidRPr="00452E6C" w:rsidRDefault="00040253" w:rsidP="0050726A">
            <w:pPr>
              <w:suppressAutoHyphens w:val="0"/>
              <w:spacing w:before="40" w:after="40" w:line="220" w:lineRule="exact"/>
              <w:jc w:val="right"/>
              <w:rPr>
                <w:sz w:val="18"/>
              </w:rPr>
            </w:pPr>
            <w:r w:rsidRPr="00452E6C">
              <w:rPr>
                <w:sz w:val="18"/>
              </w:rPr>
              <w:t>0.091</w:t>
            </w:r>
          </w:p>
        </w:tc>
        <w:tc>
          <w:tcPr>
            <w:tcW w:w="1841" w:type="dxa"/>
            <w:shd w:val="clear" w:color="auto" w:fill="auto"/>
            <w:vAlign w:val="bottom"/>
          </w:tcPr>
          <w:p w14:paraId="6168FE8B" w14:textId="77777777" w:rsidR="00040253" w:rsidRPr="00452E6C" w:rsidRDefault="00040253" w:rsidP="0050726A">
            <w:pPr>
              <w:suppressAutoHyphens w:val="0"/>
              <w:spacing w:before="40" w:after="40" w:line="220" w:lineRule="exact"/>
              <w:jc w:val="right"/>
              <w:rPr>
                <w:sz w:val="18"/>
              </w:rPr>
            </w:pPr>
          </w:p>
        </w:tc>
      </w:tr>
      <w:tr w:rsidR="00040253" w:rsidRPr="00452E6C" w14:paraId="37846334" w14:textId="77777777" w:rsidTr="0050726A">
        <w:tc>
          <w:tcPr>
            <w:tcW w:w="2262" w:type="dxa"/>
            <w:shd w:val="clear" w:color="auto" w:fill="auto"/>
            <w:noWrap/>
            <w:hideMark/>
          </w:tcPr>
          <w:p w14:paraId="7747971A" w14:textId="77777777" w:rsidR="00040253" w:rsidRPr="00452E6C" w:rsidRDefault="00040253" w:rsidP="0050726A">
            <w:pPr>
              <w:suppressAutoHyphens w:val="0"/>
              <w:spacing w:before="40" w:after="40" w:line="220" w:lineRule="exact"/>
              <w:rPr>
                <w:sz w:val="18"/>
              </w:rPr>
            </w:pPr>
            <w:r w:rsidRPr="00452E6C">
              <w:rPr>
                <w:sz w:val="18"/>
              </w:rPr>
              <w:lastRenderedPageBreak/>
              <w:t>Slovakia</w:t>
            </w:r>
          </w:p>
        </w:tc>
        <w:tc>
          <w:tcPr>
            <w:tcW w:w="1484" w:type="dxa"/>
            <w:shd w:val="clear" w:color="auto" w:fill="auto"/>
            <w:noWrap/>
            <w:vAlign w:val="bottom"/>
          </w:tcPr>
          <w:p w14:paraId="107CACDF" w14:textId="77777777" w:rsidR="00040253" w:rsidRPr="00452E6C" w:rsidRDefault="00040253" w:rsidP="0050726A">
            <w:pPr>
              <w:suppressAutoHyphens w:val="0"/>
              <w:spacing w:before="40" w:after="40" w:line="220" w:lineRule="exact"/>
              <w:jc w:val="right"/>
              <w:rPr>
                <w:sz w:val="18"/>
              </w:rPr>
            </w:pPr>
            <w:r w:rsidRPr="00452E6C">
              <w:rPr>
                <w:sz w:val="18"/>
              </w:rPr>
              <w:t>0.153</w:t>
            </w:r>
          </w:p>
        </w:tc>
        <w:tc>
          <w:tcPr>
            <w:tcW w:w="1783" w:type="dxa"/>
            <w:shd w:val="clear" w:color="auto" w:fill="auto"/>
            <w:noWrap/>
            <w:vAlign w:val="bottom"/>
          </w:tcPr>
          <w:p w14:paraId="1A009432" w14:textId="77777777" w:rsidR="00040253" w:rsidRPr="00452E6C" w:rsidRDefault="00040253" w:rsidP="0050726A">
            <w:pPr>
              <w:suppressAutoHyphens w:val="0"/>
              <w:spacing w:before="40" w:after="40" w:line="220" w:lineRule="exact"/>
              <w:jc w:val="right"/>
              <w:rPr>
                <w:sz w:val="18"/>
              </w:rPr>
            </w:pPr>
            <w:r w:rsidRPr="00452E6C">
              <w:rPr>
                <w:sz w:val="18"/>
              </w:rPr>
              <w:t>0.495</w:t>
            </w:r>
          </w:p>
        </w:tc>
        <w:tc>
          <w:tcPr>
            <w:tcW w:w="1841" w:type="dxa"/>
            <w:shd w:val="clear" w:color="auto" w:fill="auto"/>
            <w:vAlign w:val="bottom"/>
          </w:tcPr>
          <w:p w14:paraId="234209F3" w14:textId="77777777" w:rsidR="00040253" w:rsidRPr="00452E6C" w:rsidRDefault="00040253" w:rsidP="0050726A">
            <w:pPr>
              <w:suppressAutoHyphens w:val="0"/>
              <w:spacing w:before="40" w:after="40" w:line="220" w:lineRule="exact"/>
              <w:jc w:val="right"/>
              <w:rPr>
                <w:sz w:val="18"/>
              </w:rPr>
            </w:pPr>
          </w:p>
        </w:tc>
      </w:tr>
      <w:tr w:rsidR="00040253" w:rsidRPr="00452E6C" w14:paraId="3C4B1903" w14:textId="77777777" w:rsidTr="0050726A">
        <w:tc>
          <w:tcPr>
            <w:tcW w:w="2262" w:type="dxa"/>
            <w:shd w:val="clear" w:color="auto" w:fill="auto"/>
            <w:noWrap/>
            <w:hideMark/>
          </w:tcPr>
          <w:p w14:paraId="6CDE9702" w14:textId="77777777" w:rsidR="00040253" w:rsidRPr="00452E6C" w:rsidRDefault="00040253" w:rsidP="0050726A">
            <w:pPr>
              <w:suppressAutoHyphens w:val="0"/>
              <w:spacing w:before="40" w:after="40" w:line="220" w:lineRule="exact"/>
              <w:rPr>
                <w:sz w:val="18"/>
              </w:rPr>
            </w:pPr>
            <w:r w:rsidRPr="00452E6C">
              <w:rPr>
                <w:sz w:val="18"/>
              </w:rPr>
              <w:t>Slovenia</w:t>
            </w:r>
          </w:p>
        </w:tc>
        <w:tc>
          <w:tcPr>
            <w:tcW w:w="1484" w:type="dxa"/>
            <w:shd w:val="clear" w:color="auto" w:fill="auto"/>
            <w:noWrap/>
            <w:vAlign w:val="bottom"/>
          </w:tcPr>
          <w:p w14:paraId="32540EC1" w14:textId="77777777" w:rsidR="00040253" w:rsidRPr="00452E6C" w:rsidRDefault="00040253" w:rsidP="0050726A">
            <w:pPr>
              <w:suppressAutoHyphens w:val="0"/>
              <w:spacing w:before="40" w:after="40" w:line="220" w:lineRule="exact"/>
              <w:jc w:val="right"/>
              <w:rPr>
                <w:sz w:val="18"/>
              </w:rPr>
            </w:pPr>
            <w:r w:rsidRPr="00452E6C">
              <w:rPr>
                <w:sz w:val="18"/>
              </w:rPr>
              <w:t>0.076</w:t>
            </w:r>
          </w:p>
        </w:tc>
        <w:tc>
          <w:tcPr>
            <w:tcW w:w="1783" w:type="dxa"/>
            <w:shd w:val="clear" w:color="auto" w:fill="auto"/>
            <w:noWrap/>
            <w:vAlign w:val="bottom"/>
          </w:tcPr>
          <w:p w14:paraId="5DC6D2A9" w14:textId="77777777" w:rsidR="00040253" w:rsidRPr="00452E6C" w:rsidRDefault="00040253" w:rsidP="0050726A">
            <w:pPr>
              <w:suppressAutoHyphens w:val="0"/>
              <w:spacing w:before="40" w:after="40" w:line="220" w:lineRule="exact"/>
              <w:jc w:val="right"/>
              <w:rPr>
                <w:sz w:val="18"/>
              </w:rPr>
            </w:pPr>
            <w:r w:rsidRPr="00452E6C">
              <w:rPr>
                <w:sz w:val="18"/>
              </w:rPr>
              <w:t>0.246</w:t>
            </w:r>
          </w:p>
        </w:tc>
        <w:tc>
          <w:tcPr>
            <w:tcW w:w="1841" w:type="dxa"/>
            <w:shd w:val="clear" w:color="auto" w:fill="auto"/>
            <w:vAlign w:val="bottom"/>
          </w:tcPr>
          <w:p w14:paraId="2F8C815A" w14:textId="77777777" w:rsidR="00040253" w:rsidRPr="00452E6C" w:rsidRDefault="00040253" w:rsidP="0050726A">
            <w:pPr>
              <w:suppressAutoHyphens w:val="0"/>
              <w:spacing w:before="40" w:after="40" w:line="220" w:lineRule="exact"/>
              <w:jc w:val="right"/>
              <w:rPr>
                <w:sz w:val="18"/>
              </w:rPr>
            </w:pPr>
          </w:p>
        </w:tc>
      </w:tr>
      <w:tr w:rsidR="00040253" w:rsidRPr="00452E6C" w14:paraId="1B88C1F6" w14:textId="77777777" w:rsidTr="0050726A">
        <w:tc>
          <w:tcPr>
            <w:tcW w:w="2262" w:type="dxa"/>
            <w:shd w:val="clear" w:color="auto" w:fill="auto"/>
            <w:noWrap/>
            <w:hideMark/>
          </w:tcPr>
          <w:p w14:paraId="280B4E39" w14:textId="77777777" w:rsidR="00040253" w:rsidRPr="00452E6C" w:rsidRDefault="00040253" w:rsidP="0050726A">
            <w:pPr>
              <w:suppressAutoHyphens w:val="0"/>
              <w:spacing w:before="40" w:after="40" w:line="220" w:lineRule="exact"/>
              <w:rPr>
                <w:sz w:val="18"/>
              </w:rPr>
            </w:pPr>
            <w:r w:rsidRPr="00452E6C">
              <w:rPr>
                <w:sz w:val="18"/>
              </w:rPr>
              <w:t>Spain</w:t>
            </w:r>
          </w:p>
        </w:tc>
        <w:tc>
          <w:tcPr>
            <w:tcW w:w="1484" w:type="dxa"/>
            <w:shd w:val="clear" w:color="auto" w:fill="auto"/>
            <w:noWrap/>
            <w:vAlign w:val="bottom"/>
          </w:tcPr>
          <w:p w14:paraId="54C4BB25" w14:textId="77777777" w:rsidR="00040253" w:rsidRPr="00452E6C" w:rsidRDefault="00040253" w:rsidP="0050726A">
            <w:pPr>
              <w:suppressAutoHyphens w:val="0"/>
              <w:spacing w:before="40" w:after="40" w:line="220" w:lineRule="exact"/>
              <w:jc w:val="right"/>
              <w:rPr>
                <w:sz w:val="18"/>
              </w:rPr>
            </w:pPr>
            <w:r w:rsidRPr="00452E6C">
              <w:rPr>
                <w:sz w:val="18"/>
              </w:rPr>
              <w:t>2.146</w:t>
            </w:r>
          </w:p>
        </w:tc>
        <w:tc>
          <w:tcPr>
            <w:tcW w:w="1783" w:type="dxa"/>
            <w:shd w:val="clear" w:color="auto" w:fill="auto"/>
            <w:noWrap/>
            <w:vAlign w:val="bottom"/>
          </w:tcPr>
          <w:p w14:paraId="1A4C5D80" w14:textId="77777777" w:rsidR="00040253" w:rsidRPr="00452E6C" w:rsidRDefault="00040253" w:rsidP="0050726A">
            <w:pPr>
              <w:suppressAutoHyphens w:val="0"/>
              <w:spacing w:before="40" w:after="40" w:line="220" w:lineRule="exact"/>
              <w:jc w:val="right"/>
              <w:rPr>
                <w:sz w:val="18"/>
              </w:rPr>
            </w:pPr>
            <w:r w:rsidRPr="00452E6C">
              <w:rPr>
                <w:sz w:val="18"/>
              </w:rPr>
              <w:t>6.944</w:t>
            </w:r>
          </w:p>
        </w:tc>
        <w:tc>
          <w:tcPr>
            <w:tcW w:w="1841" w:type="dxa"/>
            <w:shd w:val="clear" w:color="auto" w:fill="auto"/>
            <w:vAlign w:val="bottom"/>
          </w:tcPr>
          <w:p w14:paraId="7EABAFEB" w14:textId="77777777" w:rsidR="00040253" w:rsidRPr="00452E6C" w:rsidRDefault="00040253" w:rsidP="0050726A">
            <w:pPr>
              <w:suppressAutoHyphens w:val="0"/>
              <w:spacing w:before="40" w:after="40" w:line="220" w:lineRule="exact"/>
              <w:jc w:val="right"/>
              <w:rPr>
                <w:sz w:val="18"/>
              </w:rPr>
            </w:pPr>
          </w:p>
        </w:tc>
      </w:tr>
      <w:tr w:rsidR="00040253" w:rsidRPr="00452E6C" w14:paraId="4CC044B9" w14:textId="77777777" w:rsidTr="0050726A">
        <w:tc>
          <w:tcPr>
            <w:tcW w:w="2262" w:type="dxa"/>
            <w:shd w:val="clear" w:color="auto" w:fill="auto"/>
            <w:noWrap/>
            <w:hideMark/>
          </w:tcPr>
          <w:p w14:paraId="6885A9F2" w14:textId="77777777" w:rsidR="00040253" w:rsidRPr="00452E6C" w:rsidRDefault="00040253" w:rsidP="0050726A">
            <w:pPr>
              <w:suppressAutoHyphens w:val="0"/>
              <w:spacing w:before="40" w:after="40" w:line="220" w:lineRule="exact"/>
              <w:rPr>
                <w:sz w:val="18"/>
              </w:rPr>
            </w:pPr>
            <w:r w:rsidRPr="00452E6C">
              <w:rPr>
                <w:sz w:val="18"/>
              </w:rPr>
              <w:t>Sweden</w:t>
            </w:r>
          </w:p>
        </w:tc>
        <w:tc>
          <w:tcPr>
            <w:tcW w:w="1484" w:type="dxa"/>
            <w:shd w:val="clear" w:color="auto" w:fill="auto"/>
            <w:noWrap/>
            <w:vAlign w:val="bottom"/>
          </w:tcPr>
          <w:p w14:paraId="6AD58FDD" w14:textId="77777777" w:rsidR="00040253" w:rsidRPr="00452E6C" w:rsidRDefault="00040253" w:rsidP="0050726A">
            <w:pPr>
              <w:suppressAutoHyphens w:val="0"/>
              <w:spacing w:before="40" w:after="40" w:line="220" w:lineRule="exact"/>
              <w:jc w:val="right"/>
              <w:rPr>
                <w:sz w:val="18"/>
              </w:rPr>
            </w:pPr>
            <w:r w:rsidRPr="00452E6C">
              <w:rPr>
                <w:sz w:val="18"/>
              </w:rPr>
              <w:t>0.906</w:t>
            </w:r>
          </w:p>
        </w:tc>
        <w:tc>
          <w:tcPr>
            <w:tcW w:w="1783" w:type="dxa"/>
            <w:shd w:val="clear" w:color="auto" w:fill="auto"/>
            <w:noWrap/>
            <w:vAlign w:val="bottom"/>
          </w:tcPr>
          <w:p w14:paraId="1DFD0128" w14:textId="77777777" w:rsidR="00040253" w:rsidRPr="00452E6C" w:rsidRDefault="00040253" w:rsidP="0050726A">
            <w:pPr>
              <w:suppressAutoHyphens w:val="0"/>
              <w:spacing w:before="40" w:after="40" w:line="220" w:lineRule="exact"/>
              <w:jc w:val="right"/>
              <w:rPr>
                <w:sz w:val="18"/>
              </w:rPr>
            </w:pPr>
            <w:r w:rsidRPr="00452E6C">
              <w:rPr>
                <w:sz w:val="18"/>
              </w:rPr>
              <w:t>2.932</w:t>
            </w:r>
          </w:p>
        </w:tc>
        <w:tc>
          <w:tcPr>
            <w:tcW w:w="1841" w:type="dxa"/>
            <w:shd w:val="clear" w:color="auto" w:fill="auto"/>
            <w:vAlign w:val="bottom"/>
          </w:tcPr>
          <w:p w14:paraId="0E22165A" w14:textId="77777777" w:rsidR="00040253" w:rsidRPr="00452E6C" w:rsidRDefault="00040253" w:rsidP="0050726A">
            <w:pPr>
              <w:suppressAutoHyphens w:val="0"/>
              <w:spacing w:before="40" w:after="40" w:line="220" w:lineRule="exact"/>
              <w:jc w:val="right"/>
              <w:rPr>
                <w:sz w:val="18"/>
              </w:rPr>
            </w:pPr>
          </w:p>
        </w:tc>
      </w:tr>
      <w:tr w:rsidR="00040253" w:rsidRPr="00452E6C" w14:paraId="3B568E86" w14:textId="77777777" w:rsidTr="0050726A">
        <w:tc>
          <w:tcPr>
            <w:tcW w:w="2262" w:type="dxa"/>
            <w:shd w:val="clear" w:color="auto" w:fill="auto"/>
            <w:noWrap/>
            <w:hideMark/>
          </w:tcPr>
          <w:p w14:paraId="071958BC" w14:textId="77777777" w:rsidR="00040253" w:rsidRPr="00452E6C" w:rsidRDefault="00040253" w:rsidP="0050726A">
            <w:pPr>
              <w:suppressAutoHyphens w:val="0"/>
              <w:spacing w:before="40" w:after="40" w:line="220" w:lineRule="exact"/>
              <w:rPr>
                <w:sz w:val="18"/>
              </w:rPr>
            </w:pPr>
            <w:r w:rsidRPr="00452E6C">
              <w:rPr>
                <w:sz w:val="18"/>
              </w:rPr>
              <w:t>Switzerland</w:t>
            </w:r>
          </w:p>
        </w:tc>
        <w:tc>
          <w:tcPr>
            <w:tcW w:w="1484" w:type="dxa"/>
            <w:shd w:val="clear" w:color="auto" w:fill="auto"/>
            <w:noWrap/>
            <w:vAlign w:val="bottom"/>
          </w:tcPr>
          <w:p w14:paraId="726DCA82" w14:textId="77777777" w:rsidR="00040253" w:rsidRPr="00452E6C" w:rsidRDefault="00040253" w:rsidP="0050726A">
            <w:pPr>
              <w:suppressAutoHyphens w:val="0"/>
              <w:spacing w:before="40" w:after="40" w:line="220" w:lineRule="exact"/>
              <w:jc w:val="right"/>
              <w:rPr>
                <w:sz w:val="18"/>
              </w:rPr>
            </w:pPr>
            <w:r w:rsidRPr="00452E6C">
              <w:rPr>
                <w:sz w:val="18"/>
              </w:rPr>
              <w:t>1.151</w:t>
            </w:r>
          </w:p>
        </w:tc>
        <w:tc>
          <w:tcPr>
            <w:tcW w:w="1783" w:type="dxa"/>
            <w:shd w:val="clear" w:color="auto" w:fill="auto"/>
            <w:noWrap/>
            <w:vAlign w:val="bottom"/>
          </w:tcPr>
          <w:p w14:paraId="78FECF7D" w14:textId="77777777" w:rsidR="00040253" w:rsidRPr="00452E6C" w:rsidRDefault="00040253" w:rsidP="0050726A">
            <w:pPr>
              <w:suppressAutoHyphens w:val="0"/>
              <w:spacing w:before="40" w:after="40" w:line="220" w:lineRule="exact"/>
              <w:jc w:val="right"/>
              <w:rPr>
                <w:sz w:val="18"/>
              </w:rPr>
            </w:pPr>
            <w:r w:rsidRPr="00452E6C">
              <w:rPr>
                <w:sz w:val="18"/>
              </w:rPr>
              <w:t>3.725</w:t>
            </w:r>
          </w:p>
        </w:tc>
        <w:tc>
          <w:tcPr>
            <w:tcW w:w="1841" w:type="dxa"/>
            <w:shd w:val="clear" w:color="auto" w:fill="auto"/>
            <w:vAlign w:val="bottom"/>
          </w:tcPr>
          <w:p w14:paraId="626AEEC3" w14:textId="77777777" w:rsidR="00040253" w:rsidRPr="00452E6C" w:rsidRDefault="00040253" w:rsidP="0050726A">
            <w:pPr>
              <w:suppressAutoHyphens w:val="0"/>
              <w:spacing w:before="40" w:after="40" w:line="220" w:lineRule="exact"/>
              <w:jc w:val="right"/>
              <w:rPr>
                <w:sz w:val="18"/>
              </w:rPr>
            </w:pPr>
          </w:p>
        </w:tc>
      </w:tr>
      <w:tr w:rsidR="00040253" w:rsidRPr="00452E6C" w14:paraId="7FB72116" w14:textId="77777777" w:rsidTr="0050726A">
        <w:tc>
          <w:tcPr>
            <w:tcW w:w="2262" w:type="dxa"/>
            <w:shd w:val="clear" w:color="auto" w:fill="auto"/>
            <w:noWrap/>
            <w:hideMark/>
          </w:tcPr>
          <w:p w14:paraId="02A682CD" w14:textId="77777777" w:rsidR="00040253" w:rsidRPr="00452E6C" w:rsidRDefault="00040253" w:rsidP="0050726A">
            <w:pPr>
              <w:suppressAutoHyphens w:val="0"/>
              <w:spacing w:before="40" w:after="40" w:line="220" w:lineRule="exact"/>
              <w:rPr>
                <w:sz w:val="18"/>
              </w:rPr>
            </w:pPr>
            <w:r w:rsidRPr="00452E6C">
              <w:rPr>
                <w:sz w:val="18"/>
              </w:rPr>
              <w:t>Tajikistan</w:t>
            </w:r>
          </w:p>
        </w:tc>
        <w:tc>
          <w:tcPr>
            <w:tcW w:w="1484" w:type="dxa"/>
            <w:shd w:val="clear" w:color="auto" w:fill="auto"/>
            <w:noWrap/>
            <w:vAlign w:val="bottom"/>
          </w:tcPr>
          <w:p w14:paraId="48F496F6" w14:textId="77777777" w:rsidR="00040253" w:rsidRPr="00452E6C" w:rsidRDefault="00040253" w:rsidP="0050726A">
            <w:pPr>
              <w:suppressAutoHyphens w:val="0"/>
              <w:spacing w:before="40" w:after="40" w:line="220" w:lineRule="exact"/>
              <w:jc w:val="right"/>
              <w:rPr>
                <w:sz w:val="18"/>
              </w:rPr>
            </w:pPr>
            <w:r w:rsidRPr="00452E6C">
              <w:rPr>
                <w:sz w:val="18"/>
              </w:rPr>
              <w:t>0.004</w:t>
            </w:r>
          </w:p>
        </w:tc>
        <w:tc>
          <w:tcPr>
            <w:tcW w:w="1783" w:type="dxa"/>
            <w:shd w:val="clear" w:color="auto" w:fill="auto"/>
            <w:noWrap/>
            <w:vAlign w:val="bottom"/>
          </w:tcPr>
          <w:p w14:paraId="6A5046D0" w14:textId="77777777" w:rsidR="00040253" w:rsidRPr="00452E6C" w:rsidRDefault="00040253" w:rsidP="0050726A">
            <w:pPr>
              <w:suppressAutoHyphens w:val="0"/>
              <w:spacing w:before="40" w:after="40" w:line="220" w:lineRule="exact"/>
              <w:jc w:val="right"/>
              <w:rPr>
                <w:sz w:val="18"/>
              </w:rPr>
            </w:pPr>
            <w:r w:rsidRPr="00452E6C">
              <w:rPr>
                <w:sz w:val="18"/>
              </w:rPr>
              <w:t>0.013</w:t>
            </w:r>
          </w:p>
        </w:tc>
        <w:tc>
          <w:tcPr>
            <w:tcW w:w="1841" w:type="dxa"/>
            <w:shd w:val="clear" w:color="auto" w:fill="auto"/>
            <w:vAlign w:val="bottom"/>
          </w:tcPr>
          <w:p w14:paraId="24B99C8A" w14:textId="77777777" w:rsidR="00040253" w:rsidRPr="00452E6C" w:rsidRDefault="00040253" w:rsidP="0050726A">
            <w:pPr>
              <w:suppressAutoHyphens w:val="0"/>
              <w:spacing w:before="40" w:after="40" w:line="220" w:lineRule="exact"/>
              <w:jc w:val="right"/>
              <w:rPr>
                <w:sz w:val="18"/>
              </w:rPr>
            </w:pPr>
          </w:p>
        </w:tc>
      </w:tr>
      <w:tr w:rsidR="00040253" w:rsidRPr="00452E6C" w14:paraId="7254723F" w14:textId="77777777" w:rsidTr="0050726A">
        <w:tc>
          <w:tcPr>
            <w:tcW w:w="2262" w:type="dxa"/>
            <w:shd w:val="clear" w:color="auto" w:fill="auto"/>
            <w:noWrap/>
          </w:tcPr>
          <w:p w14:paraId="2F7D49B8" w14:textId="77777777" w:rsidR="00040253" w:rsidRPr="00452E6C" w:rsidRDefault="00040253" w:rsidP="0050726A">
            <w:pPr>
              <w:suppressAutoHyphens w:val="0"/>
              <w:spacing w:before="40" w:after="40" w:line="220" w:lineRule="exact"/>
              <w:rPr>
                <w:sz w:val="18"/>
              </w:rPr>
            </w:pPr>
            <w:r w:rsidRPr="00452E6C">
              <w:rPr>
                <w:sz w:val="18"/>
              </w:rPr>
              <w:t>Turkmenistan</w:t>
            </w:r>
          </w:p>
        </w:tc>
        <w:tc>
          <w:tcPr>
            <w:tcW w:w="1484" w:type="dxa"/>
            <w:shd w:val="clear" w:color="auto" w:fill="auto"/>
            <w:noWrap/>
            <w:vAlign w:val="bottom"/>
          </w:tcPr>
          <w:p w14:paraId="7481F414" w14:textId="77777777" w:rsidR="00040253" w:rsidRPr="00452E6C" w:rsidRDefault="00040253" w:rsidP="0050726A">
            <w:pPr>
              <w:suppressAutoHyphens w:val="0"/>
              <w:spacing w:before="40" w:after="40" w:line="220" w:lineRule="exact"/>
              <w:jc w:val="right"/>
              <w:rPr>
                <w:sz w:val="18"/>
              </w:rPr>
            </w:pPr>
            <w:r w:rsidRPr="00452E6C">
              <w:rPr>
                <w:sz w:val="18"/>
              </w:rPr>
              <w:t>0.033</w:t>
            </w:r>
          </w:p>
        </w:tc>
        <w:tc>
          <w:tcPr>
            <w:tcW w:w="1783" w:type="dxa"/>
            <w:shd w:val="clear" w:color="auto" w:fill="auto"/>
            <w:noWrap/>
            <w:vAlign w:val="bottom"/>
          </w:tcPr>
          <w:p w14:paraId="387D941C" w14:textId="77777777" w:rsidR="00040253" w:rsidRPr="00452E6C" w:rsidRDefault="00040253" w:rsidP="0050726A">
            <w:pPr>
              <w:suppressAutoHyphens w:val="0"/>
              <w:spacing w:before="40" w:after="40" w:line="220" w:lineRule="exact"/>
              <w:jc w:val="right"/>
              <w:rPr>
                <w:sz w:val="18"/>
              </w:rPr>
            </w:pPr>
            <w:r w:rsidRPr="00452E6C">
              <w:rPr>
                <w:sz w:val="18"/>
              </w:rPr>
              <w:t>0.107</w:t>
            </w:r>
          </w:p>
        </w:tc>
        <w:tc>
          <w:tcPr>
            <w:tcW w:w="1841" w:type="dxa"/>
            <w:shd w:val="clear" w:color="auto" w:fill="auto"/>
            <w:vAlign w:val="bottom"/>
          </w:tcPr>
          <w:p w14:paraId="44A7BEED" w14:textId="77777777" w:rsidR="00040253" w:rsidRPr="00452E6C" w:rsidRDefault="00040253" w:rsidP="0050726A">
            <w:pPr>
              <w:suppressAutoHyphens w:val="0"/>
              <w:spacing w:before="40" w:after="40" w:line="220" w:lineRule="exact"/>
              <w:jc w:val="right"/>
              <w:rPr>
                <w:sz w:val="18"/>
              </w:rPr>
            </w:pPr>
          </w:p>
        </w:tc>
      </w:tr>
      <w:tr w:rsidR="00040253" w:rsidRPr="00452E6C" w14:paraId="1398F587" w14:textId="77777777" w:rsidTr="0050726A">
        <w:tc>
          <w:tcPr>
            <w:tcW w:w="2262" w:type="dxa"/>
            <w:shd w:val="clear" w:color="auto" w:fill="auto"/>
            <w:noWrap/>
            <w:hideMark/>
          </w:tcPr>
          <w:p w14:paraId="2CAFC729" w14:textId="77777777" w:rsidR="00040253" w:rsidRPr="00452E6C" w:rsidRDefault="00040253" w:rsidP="0050726A">
            <w:pPr>
              <w:suppressAutoHyphens w:val="0"/>
              <w:spacing w:before="40" w:after="40" w:line="220" w:lineRule="exact"/>
              <w:rPr>
                <w:sz w:val="18"/>
              </w:rPr>
            </w:pPr>
            <w:r w:rsidRPr="00452E6C">
              <w:rPr>
                <w:sz w:val="18"/>
              </w:rPr>
              <w:t>Ukraine</w:t>
            </w:r>
          </w:p>
        </w:tc>
        <w:tc>
          <w:tcPr>
            <w:tcW w:w="1484" w:type="dxa"/>
            <w:shd w:val="clear" w:color="auto" w:fill="auto"/>
            <w:noWrap/>
            <w:vAlign w:val="bottom"/>
          </w:tcPr>
          <w:p w14:paraId="6E783580" w14:textId="77777777" w:rsidR="00040253" w:rsidRPr="00452E6C" w:rsidRDefault="00040253" w:rsidP="0050726A">
            <w:pPr>
              <w:suppressAutoHyphens w:val="0"/>
              <w:spacing w:before="40" w:after="40" w:line="220" w:lineRule="exact"/>
              <w:jc w:val="right"/>
              <w:rPr>
                <w:sz w:val="18"/>
              </w:rPr>
            </w:pPr>
            <w:r w:rsidRPr="00452E6C">
              <w:rPr>
                <w:sz w:val="18"/>
              </w:rPr>
              <w:t>0.057</w:t>
            </w:r>
          </w:p>
        </w:tc>
        <w:tc>
          <w:tcPr>
            <w:tcW w:w="1783" w:type="dxa"/>
            <w:shd w:val="clear" w:color="auto" w:fill="auto"/>
            <w:noWrap/>
            <w:vAlign w:val="bottom"/>
          </w:tcPr>
          <w:p w14:paraId="14A965E4" w14:textId="77777777" w:rsidR="00040253" w:rsidRPr="00452E6C" w:rsidRDefault="00040253" w:rsidP="0050726A">
            <w:pPr>
              <w:suppressAutoHyphens w:val="0"/>
              <w:spacing w:before="40" w:after="40" w:line="220" w:lineRule="exact"/>
              <w:jc w:val="right"/>
              <w:rPr>
                <w:sz w:val="18"/>
              </w:rPr>
            </w:pPr>
            <w:r w:rsidRPr="00452E6C">
              <w:rPr>
                <w:sz w:val="18"/>
              </w:rPr>
              <w:t>0.184</w:t>
            </w:r>
          </w:p>
        </w:tc>
        <w:tc>
          <w:tcPr>
            <w:tcW w:w="1841" w:type="dxa"/>
            <w:shd w:val="clear" w:color="auto" w:fill="auto"/>
            <w:vAlign w:val="bottom"/>
          </w:tcPr>
          <w:p w14:paraId="41B68F01" w14:textId="77777777" w:rsidR="00040253" w:rsidRPr="00452E6C" w:rsidRDefault="00040253" w:rsidP="0050726A">
            <w:pPr>
              <w:suppressAutoHyphens w:val="0"/>
              <w:spacing w:before="40" w:after="40" w:line="220" w:lineRule="exact"/>
              <w:jc w:val="right"/>
              <w:rPr>
                <w:sz w:val="18"/>
              </w:rPr>
            </w:pPr>
          </w:p>
        </w:tc>
      </w:tr>
      <w:tr w:rsidR="00040253" w:rsidRPr="00452E6C" w14:paraId="1A4C461F" w14:textId="77777777" w:rsidTr="0050726A">
        <w:tc>
          <w:tcPr>
            <w:tcW w:w="2262" w:type="dxa"/>
            <w:tcBorders>
              <w:bottom w:val="single" w:sz="4" w:space="0" w:color="auto"/>
            </w:tcBorders>
            <w:shd w:val="clear" w:color="auto" w:fill="auto"/>
            <w:noWrap/>
            <w:hideMark/>
          </w:tcPr>
          <w:p w14:paraId="6E0FFF8D" w14:textId="77777777" w:rsidR="00040253" w:rsidRPr="00452E6C" w:rsidRDefault="00040253" w:rsidP="0050726A">
            <w:pPr>
              <w:suppressAutoHyphens w:val="0"/>
              <w:spacing w:before="40" w:after="40" w:line="220" w:lineRule="exact"/>
              <w:rPr>
                <w:sz w:val="18"/>
              </w:rPr>
            </w:pPr>
            <w:r w:rsidRPr="00452E6C">
              <w:rPr>
                <w:sz w:val="18"/>
              </w:rPr>
              <w:t xml:space="preserve">United Kingdom </w:t>
            </w:r>
          </w:p>
        </w:tc>
        <w:tc>
          <w:tcPr>
            <w:tcW w:w="1484" w:type="dxa"/>
            <w:tcBorders>
              <w:bottom w:val="single" w:sz="4" w:space="0" w:color="auto"/>
            </w:tcBorders>
            <w:shd w:val="clear" w:color="auto" w:fill="auto"/>
            <w:noWrap/>
            <w:vAlign w:val="bottom"/>
          </w:tcPr>
          <w:p w14:paraId="76CBB74F" w14:textId="77777777" w:rsidR="00040253" w:rsidRPr="00452E6C" w:rsidRDefault="00040253" w:rsidP="0050726A">
            <w:pPr>
              <w:suppressAutoHyphens w:val="0"/>
              <w:spacing w:before="40" w:after="40" w:line="220" w:lineRule="exact"/>
              <w:jc w:val="right"/>
              <w:rPr>
                <w:sz w:val="18"/>
              </w:rPr>
            </w:pPr>
            <w:r w:rsidRPr="00452E6C">
              <w:rPr>
                <w:sz w:val="18"/>
              </w:rPr>
              <w:t>4.567</w:t>
            </w:r>
          </w:p>
        </w:tc>
        <w:tc>
          <w:tcPr>
            <w:tcW w:w="1783" w:type="dxa"/>
            <w:tcBorders>
              <w:bottom w:val="single" w:sz="4" w:space="0" w:color="auto"/>
            </w:tcBorders>
            <w:shd w:val="clear" w:color="auto" w:fill="auto"/>
            <w:noWrap/>
            <w:vAlign w:val="bottom"/>
          </w:tcPr>
          <w:p w14:paraId="004451E8" w14:textId="77777777" w:rsidR="00040253" w:rsidRPr="00452E6C" w:rsidRDefault="00040253" w:rsidP="0050726A">
            <w:pPr>
              <w:suppressAutoHyphens w:val="0"/>
              <w:spacing w:before="40" w:after="40" w:line="220" w:lineRule="exact"/>
              <w:jc w:val="right"/>
              <w:rPr>
                <w:sz w:val="18"/>
              </w:rPr>
            </w:pPr>
            <w:r w:rsidRPr="00452E6C">
              <w:rPr>
                <w:sz w:val="18"/>
              </w:rPr>
              <w:t>14.779</w:t>
            </w:r>
          </w:p>
        </w:tc>
        <w:tc>
          <w:tcPr>
            <w:tcW w:w="1841" w:type="dxa"/>
            <w:tcBorders>
              <w:bottom w:val="single" w:sz="4" w:space="0" w:color="auto"/>
            </w:tcBorders>
            <w:shd w:val="clear" w:color="auto" w:fill="auto"/>
            <w:vAlign w:val="bottom"/>
          </w:tcPr>
          <w:p w14:paraId="5806DCAA" w14:textId="77777777" w:rsidR="00040253" w:rsidRPr="00452E6C" w:rsidRDefault="00040253" w:rsidP="0050726A">
            <w:pPr>
              <w:suppressAutoHyphens w:val="0"/>
              <w:spacing w:before="40" w:after="40" w:line="220" w:lineRule="exact"/>
              <w:jc w:val="right"/>
              <w:rPr>
                <w:sz w:val="18"/>
              </w:rPr>
            </w:pPr>
          </w:p>
        </w:tc>
      </w:tr>
      <w:tr w:rsidR="00040253" w:rsidRPr="00AE339F" w14:paraId="5B07755B" w14:textId="77777777" w:rsidTr="0050726A">
        <w:tc>
          <w:tcPr>
            <w:tcW w:w="2262" w:type="dxa"/>
            <w:tcBorders>
              <w:top w:val="single" w:sz="4" w:space="0" w:color="auto"/>
              <w:bottom w:val="single" w:sz="12" w:space="0" w:color="auto"/>
            </w:tcBorders>
            <w:shd w:val="clear" w:color="auto" w:fill="auto"/>
            <w:noWrap/>
            <w:hideMark/>
          </w:tcPr>
          <w:p w14:paraId="7B2AC563" w14:textId="77777777" w:rsidR="00040253" w:rsidRPr="00AE339F" w:rsidRDefault="00040253" w:rsidP="0050726A">
            <w:pPr>
              <w:suppressAutoHyphens w:val="0"/>
              <w:spacing w:before="80" w:after="80" w:line="220" w:lineRule="exact"/>
              <w:ind w:left="283"/>
              <w:rPr>
                <w:b/>
                <w:sz w:val="18"/>
              </w:rPr>
            </w:pPr>
            <w:r w:rsidRPr="00AE339F">
              <w:rPr>
                <w:b/>
                <w:sz w:val="18"/>
              </w:rPr>
              <w:tab/>
              <w:t>Total</w:t>
            </w:r>
          </w:p>
        </w:tc>
        <w:tc>
          <w:tcPr>
            <w:tcW w:w="1484" w:type="dxa"/>
            <w:tcBorders>
              <w:top w:val="single" w:sz="4" w:space="0" w:color="auto"/>
              <w:bottom w:val="single" w:sz="12" w:space="0" w:color="auto"/>
            </w:tcBorders>
            <w:shd w:val="clear" w:color="auto" w:fill="auto"/>
            <w:noWrap/>
            <w:vAlign w:val="bottom"/>
          </w:tcPr>
          <w:p w14:paraId="32E354A9" w14:textId="77777777" w:rsidR="00040253" w:rsidRPr="00AE339F" w:rsidRDefault="00040253" w:rsidP="0050726A">
            <w:pPr>
              <w:suppressAutoHyphens w:val="0"/>
              <w:spacing w:before="80" w:after="80" w:line="220" w:lineRule="exact"/>
              <w:jc w:val="right"/>
              <w:rPr>
                <w:b/>
                <w:sz w:val="18"/>
              </w:rPr>
            </w:pPr>
            <w:r w:rsidRPr="00AE339F">
              <w:rPr>
                <w:b/>
                <w:sz w:val="18"/>
              </w:rPr>
              <w:t>30.907</w:t>
            </w:r>
          </w:p>
        </w:tc>
        <w:tc>
          <w:tcPr>
            <w:tcW w:w="1783" w:type="dxa"/>
            <w:tcBorders>
              <w:top w:val="single" w:sz="4" w:space="0" w:color="auto"/>
              <w:bottom w:val="single" w:sz="12" w:space="0" w:color="auto"/>
            </w:tcBorders>
            <w:shd w:val="clear" w:color="auto" w:fill="auto"/>
            <w:noWrap/>
            <w:vAlign w:val="bottom"/>
          </w:tcPr>
          <w:p w14:paraId="5633AE3C" w14:textId="77777777" w:rsidR="00040253" w:rsidRPr="00AE339F" w:rsidRDefault="00040253" w:rsidP="0050726A">
            <w:pPr>
              <w:suppressAutoHyphens w:val="0"/>
              <w:spacing w:before="80" w:after="80" w:line="220" w:lineRule="exact"/>
              <w:jc w:val="right"/>
              <w:rPr>
                <w:b/>
                <w:sz w:val="18"/>
              </w:rPr>
            </w:pPr>
            <w:r w:rsidRPr="00AE339F">
              <w:rPr>
                <w:b/>
                <w:sz w:val="18"/>
              </w:rPr>
              <w:t>100.0</w:t>
            </w:r>
          </w:p>
        </w:tc>
        <w:tc>
          <w:tcPr>
            <w:tcW w:w="1841" w:type="dxa"/>
            <w:tcBorders>
              <w:top w:val="single" w:sz="4" w:space="0" w:color="auto"/>
              <w:bottom w:val="single" w:sz="12" w:space="0" w:color="auto"/>
            </w:tcBorders>
            <w:shd w:val="clear" w:color="auto" w:fill="auto"/>
            <w:vAlign w:val="bottom"/>
          </w:tcPr>
          <w:p w14:paraId="17B021A5" w14:textId="77777777" w:rsidR="00040253" w:rsidRPr="00AE339F" w:rsidRDefault="00040253" w:rsidP="0050726A">
            <w:pPr>
              <w:suppressAutoHyphens w:val="0"/>
              <w:spacing w:before="80" w:after="80" w:line="220" w:lineRule="exact"/>
              <w:jc w:val="right"/>
              <w:rPr>
                <w:b/>
                <w:sz w:val="18"/>
              </w:rPr>
            </w:pPr>
          </w:p>
        </w:tc>
      </w:tr>
    </w:tbl>
    <w:p w14:paraId="482E09A9" w14:textId="77777777" w:rsidR="00040253" w:rsidRPr="00856849" w:rsidRDefault="00040253" w:rsidP="00040253">
      <w:pPr>
        <w:pStyle w:val="EndnoteText"/>
        <w:widowControl w:val="0"/>
        <w:tabs>
          <w:tab w:val="clear" w:pos="1021"/>
          <w:tab w:val="left" w:pos="1600"/>
        </w:tabs>
        <w:spacing w:before="120"/>
        <w:ind w:firstLine="170"/>
        <w:rPr>
          <w:rFonts w:asciiTheme="majorBidi" w:hAnsiTheme="majorBidi" w:cstheme="majorBidi"/>
          <w:szCs w:val="18"/>
        </w:rPr>
      </w:pPr>
      <w:proofErr w:type="spellStart"/>
      <w:proofErr w:type="gramStart"/>
      <w:r w:rsidRPr="00856849">
        <w:rPr>
          <w:rFonts w:asciiTheme="majorBidi" w:hAnsiTheme="majorBidi" w:cstheme="majorBidi"/>
          <w:i/>
          <w:szCs w:val="18"/>
          <w:vertAlign w:val="superscript"/>
        </w:rPr>
        <w:t>a</w:t>
      </w:r>
      <w:proofErr w:type="spellEnd"/>
      <w:r w:rsidRPr="00856849">
        <w:rPr>
          <w:rFonts w:asciiTheme="majorBidi" w:hAnsiTheme="majorBidi" w:cstheme="majorBidi"/>
          <w:szCs w:val="18"/>
        </w:rPr>
        <w:t xml:space="preserve">  Figures</w:t>
      </w:r>
      <w:proofErr w:type="gramEnd"/>
      <w:r w:rsidRPr="00856849">
        <w:rPr>
          <w:rFonts w:asciiTheme="majorBidi" w:hAnsiTheme="majorBidi" w:cstheme="majorBidi"/>
          <w:szCs w:val="18"/>
        </w:rPr>
        <w:t xml:space="preserve"> in column B are based on the scale of assessments contained in General Assembly resolution 73/271, adopted on 22 December 2018. </w:t>
      </w:r>
    </w:p>
    <w:p w14:paraId="29357DED" w14:textId="77777777" w:rsidR="00040253" w:rsidRPr="00856849" w:rsidRDefault="00040253" w:rsidP="00040253">
      <w:pPr>
        <w:pStyle w:val="EndnoteText"/>
        <w:widowControl w:val="0"/>
        <w:tabs>
          <w:tab w:val="clear" w:pos="1021"/>
          <w:tab w:val="left" w:pos="1600"/>
        </w:tabs>
        <w:ind w:firstLine="170"/>
        <w:rPr>
          <w:rFonts w:asciiTheme="majorBidi" w:hAnsiTheme="majorBidi" w:cstheme="majorBidi"/>
          <w:i/>
          <w:szCs w:val="18"/>
        </w:rPr>
      </w:pPr>
      <w:proofErr w:type="gramStart"/>
      <w:r w:rsidRPr="00856849">
        <w:rPr>
          <w:rFonts w:asciiTheme="majorBidi" w:hAnsiTheme="majorBidi" w:cstheme="majorBidi"/>
          <w:i/>
          <w:szCs w:val="18"/>
          <w:vertAlign w:val="superscript"/>
        </w:rPr>
        <w:t>b</w:t>
      </w:r>
      <w:r w:rsidRPr="00856849">
        <w:rPr>
          <w:rFonts w:asciiTheme="majorBidi" w:hAnsiTheme="majorBidi" w:cstheme="majorBidi"/>
          <w:szCs w:val="18"/>
        </w:rPr>
        <w:t xml:space="preserve">  The</w:t>
      </w:r>
      <w:proofErr w:type="gramEnd"/>
      <w:r w:rsidRPr="00856849">
        <w:rPr>
          <w:rFonts w:asciiTheme="majorBidi" w:hAnsiTheme="majorBidi" w:cstheme="majorBidi"/>
          <w:szCs w:val="18"/>
        </w:rPr>
        <w:t xml:space="preserve"> percentages from the United Nations scale of assessments have been adjusted for the Convention by using a multiplier of 3.236, in order to arrive at a total of 100 per cent.</w:t>
      </w:r>
    </w:p>
    <w:p w14:paraId="042CA54C" w14:textId="77777777" w:rsidR="00040253" w:rsidRPr="00856849" w:rsidRDefault="00040253" w:rsidP="00040253">
      <w:pPr>
        <w:pStyle w:val="EndnoteText"/>
        <w:widowControl w:val="0"/>
        <w:tabs>
          <w:tab w:val="clear" w:pos="1021"/>
          <w:tab w:val="left" w:pos="1600"/>
        </w:tabs>
        <w:ind w:firstLine="170"/>
        <w:rPr>
          <w:rFonts w:asciiTheme="majorBidi" w:hAnsiTheme="majorBidi" w:cstheme="majorBidi"/>
          <w:szCs w:val="18"/>
        </w:rPr>
      </w:pPr>
      <w:r w:rsidRPr="00856849">
        <w:rPr>
          <w:rFonts w:asciiTheme="majorBidi" w:hAnsiTheme="majorBidi" w:cstheme="majorBidi"/>
          <w:i/>
          <w:szCs w:val="18"/>
          <w:vertAlign w:val="superscript"/>
        </w:rPr>
        <w:t>c</w:t>
      </w:r>
      <w:r w:rsidRPr="00856849">
        <w:rPr>
          <w:rFonts w:asciiTheme="majorBidi" w:hAnsiTheme="majorBidi" w:cstheme="majorBidi"/>
          <w:bCs/>
          <w:szCs w:val="18"/>
        </w:rPr>
        <w:t xml:space="preserve">  Subject to footnote d below on the contribution of the European Union, the figures in column D would be derived by multiplying the percentage value in column C by the annual estimated cost requirement of the work programme, as specified in the draft decision on the work programme 2022–2025 (ECE/MP.PP/…). The actual amounts for the contribution of each Party and Signatory between 2022 and 2025 will be calculated in due course, subject to the consideration and approval of the draft decision on the work programme for 2022–2025. </w:t>
      </w:r>
    </w:p>
    <w:p w14:paraId="3FCE10ED" w14:textId="77777777" w:rsidR="00040253" w:rsidRDefault="00040253" w:rsidP="00040253">
      <w:pPr>
        <w:spacing w:line="220" w:lineRule="exact"/>
        <w:ind w:left="1134" w:right="1134" w:firstLine="170"/>
        <w:rPr>
          <w:rFonts w:asciiTheme="majorBidi" w:hAnsiTheme="majorBidi" w:cstheme="majorBidi"/>
          <w:color w:val="000000"/>
          <w:sz w:val="18"/>
          <w:szCs w:val="18"/>
          <w:lang w:eastAsia="en-GB"/>
        </w:rPr>
      </w:pPr>
      <w:r w:rsidRPr="00856849">
        <w:rPr>
          <w:rFonts w:asciiTheme="majorBidi" w:hAnsiTheme="majorBidi" w:cstheme="majorBidi"/>
          <w:i/>
          <w:sz w:val="18"/>
          <w:szCs w:val="18"/>
          <w:vertAlign w:val="superscript"/>
        </w:rPr>
        <w:t>d</w:t>
      </w:r>
      <w:r w:rsidRPr="00856849">
        <w:rPr>
          <w:rFonts w:asciiTheme="majorBidi" w:hAnsiTheme="majorBidi" w:cstheme="majorBidi"/>
          <w:bCs/>
          <w:sz w:val="18"/>
          <w:szCs w:val="18"/>
        </w:rPr>
        <w:t xml:space="preserve">  A percentage has not been assigned to the European Union, since the European Union is not included in the United Nations scale of assessments and therefore it is not possible to calculate the level of its contribution on the same basis as with the other Parties and Signatories (i.e. on the basis of the adapted United Nations scale of assessments). Pursuant to </w:t>
      </w:r>
      <w:r w:rsidRPr="00856849">
        <w:rPr>
          <w:rFonts w:asciiTheme="majorBidi" w:hAnsiTheme="majorBidi" w:cstheme="majorBidi"/>
          <w:color w:val="000000"/>
          <w:sz w:val="18"/>
          <w:szCs w:val="18"/>
          <w:lang w:eastAsia="en-GB"/>
        </w:rPr>
        <w:t>paragraph 2 of decision I/3 of the Meeting of the Parties, the European Union contribution to activities under the work programme not covered by the United Nations regular budget would account for 2.5 per cent of the total needed for core activities. This commitment is subject to annual endorsement by the budgetary authorities of the European Union.]</w:t>
      </w:r>
    </w:p>
    <w:p w14:paraId="5F6C3667" w14:textId="77777777" w:rsidR="00040253" w:rsidRPr="004F626C" w:rsidRDefault="00040253" w:rsidP="00040253">
      <w:pPr>
        <w:spacing w:before="240"/>
        <w:jc w:val="center"/>
        <w:rPr>
          <w:u w:val="single"/>
        </w:rPr>
      </w:pPr>
      <w:r>
        <w:rPr>
          <w:u w:val="single"/>
        </w:rPr>
        <w:tab/>
      </w:r>
      <w:r>
        <w:rPr>
          <w:u w:val="single"/>
        </w:rPr>
        <w:tab/>
      </w:r>
      <w:r>
        <w:rPr>
          <w:u w:val="single"/>
        </w:rPr>
        <w:tab/>
      </w:r>
    </w:p>
    <w:sectPr w:rsidR="00040253" w:rsidRPr="004F626C" w:rsidSect="00AF01A0">
      <w:headerReference w:type="even" r:id="rId12"/>
      <w:headerReference w:type="default" r:id="rId13"/>
      <w:footerReference w:type="even" r:id="rId14"/>
      <w:footerReference w:type="default" r:id="rId15"/>
      <w:footerReference w:type="first" r:id="rId16"/>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425730" w14:textId="77777777" w:rsidR="00747584" w:rsidRDefault="00747584"/>
  </w:endnote>
  <w:endnote w:type="continuationSeparator" w:id="0">
    <w:p w14:paraId="09ECF780" w14:textId="77777777" w:rsidR="00747584" w:rsidRDefault="00747584"/>
  </w:endnote>
  <w:endnote w:type="continuationNotice" w:id="1">
    <w:p w14:paraId="379E9F9B" w14:textId="77777777" w:rsidR="00747584" w:rsidRDefault="007475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8D763" w14:textId="7838C34D" w:rsidR="00040253" w:rsidRPr="00040253" w:rsidRDefault="00040253" w:rsidP="00040253">
    <w:pPr>
      <w:pStyle w:val="Footer"/>
      <w:tabs>
        <w:tab w:val="right" w:pos="9638"/>
      </w:tabs>
      <w:rPr>
        <w:sz w:val="18"/>
      </w:rPr>
    </w:pPr>
    <w:r w:rsidRPr="00040253">
      <w:rPr>
        <w:b/>
        <w:sz w:val="18"/>
      </w:rPr>
      <w:fldChar w:fldCharType="begin"/>
    </w:r>
    <w:r w:rsidRPr="00040253">
      <w:rPr>
        <w:b/>
        <w:sz w:val="18"/>
      </w:rPr>
      <w:instrText xml:space="preserve"> PAGE  \* MERGEFORMAT </w:instrText>
    </w:r>
    <w:r w:rsidRPr="00040253">
      <w:rPr>
        <w:b/>
        <w:sz w:val="18"/>
      </w:rPr>
      <w:fldChar w:fldCharType="separate"/>
    </w:r>
    <w:r w:rsidRPr="00040253">
      <w:rPr>
        <w:b/>
        <w:noProof/>
        <w:sz w:val="18"/>
      </w:rPr>
      <w:t>2</w:t>
    </w:r>
    <w:r w:rsidRPr="00040253">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7EC7B" w14:textId="6FFF22B7" w:rsidR="00040253" w:rsidRPr="00040253" w:rsidRDefault="00040253" w:rsidP="00040253">
    <w:pPr>
      <w:pStyle w:val="Footer"/>
      <w:tabs>
        <w:tab w:val="right" w:pos="9638"/>
      </w:tabs>
      <w:rPr>
        <w:b/>
        <w:sz w:val="18"/>
      </w:rPr>
    </w:pPr>
    <w:r>
      <w:tab/>
    </w:r>
    <w:r w:rsidRPr="00040253">
      <w:rPr>
        <w:b/>
        <w:sz w:val="18"/>
      </w:rPr>
      <w:fldChar w:fldCharType="begin"/>
    </w:r>
    <w:r w:rsidRPr="00040253">
      <w:rPr>
        <w:b/>
        <w:sz w:val="18"/>
      </w:rPr>
      <w:instrText xml:space="preserve"> PAGE  \* MERGEFORMAT </w:instrText>
    </w:r>
    <w:r w:rsidRPr="00040253">
      <w:rPr>
        <w:b/>
        <w:sz w:val="18"/>
      </w:rPr>
      <w:fldChar w:fldCharType="separate"/>
    </w:r>
    <w:r w:rsidRPr="00040253">
      <w:rPr>
        <w:b/>
        <w:noProof/>
        <w:sz w:val="18"/>
      </w:rPr>
      <w:t>3</w:t>
    </w:r>
    <w:r w:rsidRPr="00040253">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0A36CA" w14:textId="77777777" w:rsidR="0035223F" w:rsidRPr="00040253" w:rsidRDefault="00686A48">
    <w:pPr>
      <w:pStyle w:val="Footer"/>
      <w:rPr>
        <w:sz w:val="20"/>
      </w:rPr>
    </w:pPr>
    <w:r>
      <w:rPr>
        <w:noProof/>
        <w:lang w:val="fr-CH" w:eastAsia="fr-CH"/>
      </w:rPr>
      <w:drawing>
        <wp:anchor distT="0" distB="0" distL="114300" distR="114300" simplePos="0" relativeHeight="251658240" behindDoc="0" locked="1" layoutInCell="1" allowOverlap="1" wp14:anchorId="58BD96B6" wp14:editId="7C4B96C2">
          <wp:simplePos x="0" y="0"/>
          <wp:positionH relativeFrom="margin">
            <wp:posOffset>5147945</wp:posOffset>
          </wp:positionH>
          <wp:positionV relativeFrom="margin">
            <wp:posOffset>9071610</wp:posOffset>
          </wp:positionV>
          <wp:extent cx="933450" cy="228600"/>
          <wp:effectExtent l="0" t="0" r="0" b="0"/>
          <wp:wrapNone/>
          <wp:docPr id="2" name="Image 2"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4D87D8" w14:textId="77777777" w:rsidR="00747584" w:rsidRPr="000B175B" w:rsidRDefault="00747584" w:rsidP="000B175B">
      <w:pPr>
        <w:tabs>
          <w:tab w:val="right" w:pos="2155"/>
        </w:tabs>
        <w:spacing w:after="80"/>
        <w:ind w:left="680"/>
        <w:rPr>
          <w:u w:val="single"/>
        </w:rPr>
      </w:pPr>
      <w:r>
        <w:rPr>
          <w:u w:val="single"/>
        </w:rPr>
        <w:tab/>
      </w:r>
    </w:p>
  </w:footnote>
  <w:footnote w:type="continuationSeparator" w:id="0">
    <w:p w14:paraId="7D133C69" w14:textId="77777777" w:rsidR="00747584" w:rsidRPr="00FC68B7" w:rsidRDefault="00747584" w:rsidP="00FC68B7">
      <w:pPr>
        <w:tabs>
          <w:tab w:val="left" w:pos="2155"/>
        </w:tabs>
        <w:spacing w:after="80"/>
        <w:ind w:left="680"/>
        <w:rPr>
          <w:u w:val="single"/>
        </w:rPr>
      </w:pPr>
      <w:r>
        <w:rPr>
          <w:u w:val="single"/>
        </w:rPr>
        <w:tab/>
      </w:r>
    </w:p>
  </w:footnote>
  <w:footnote w:type="continuationNotice" w:id="1">
    <w:p w14:paraId="62126483" w14:textId="77777777" w:rsidR="00747584" w:rsidRDefault="00747584"/>
  </w:footnote>
  <w:footnote w:id="2">
    <w:p w14:paraId="556FF33F" w14:textId="77777777" w:rsidR="00040253" w:rsidRPr="001B60BB" w:rsidRDefault="00040253" w:rsidP="00040253">
      <w:pPr>
        <w:pStyle w:val="FootnoteText"/>
      </w:pPr>
      <w:r>
        <w:tab/>
      </w:r>
      <w:r>
        <w:rPr>
          <w:rStyle w:val="FootnoteReference"/>
        </w:rPr>
        <w:footnoteRef/>
      </w:r>
      <w:r>
        <w:t xml:space="preserve"> </w:t>
      </w:r>
      <w:r>
        <w:tab/>
      </w:r>
      <w:r w:rsidRPr="00293CA4">
        <w:t>See ECE/</w:t>
      </w:r>
      <w:proofErr w:type="gramStart"/>
      <w:r w:rsidRPr="00293CA4">
        <w:t>MP.PP</w:t>
      </w:r>
      <w:proofErr w:type="gramEnd"/>
      <w:r w:rsidRPr="00293CA4">
        <w:t xml:space="preserve">/2/Add.14.  </w:t>
      </w:r>
    </w:p>
  </w:footnote>
  <w:footnote w:id="3">
    <w:p w14:paraId="42D38BF5" w14:textId="77777777" w:rsidR="00040253" w:rsidRPr="001B60BB" w:rsidRDefault="00040253" w:rsidP="00040253">
      <w:pPr>
        <w:pStyle w:val="FootnoteText"/>
      </w:pPr>
      <w:r>
        <w:tab/>
      </w:r>
      <w:r>
        <w:rPr>
          <w:rStyle w:val="FootnoteReference"/>
        </w:rPr>
        <w:footnoteRef/>
      </w:r>
      <w:r>
        <w:t xml:space="preserve"> </w:t>
      </w:r>
      <w:r>
        <w:tab/>
        <w:t>See ECE/</w:t>
      </w:r>
      <w:proofErr w:type="gramStart"/>
      <w:r>
        <w:t>MP.PP</w:t>
      </w:r>
      <w:proofErr w:type="gramEnd"/>
      <w:r>
        <w:t>/2005/2/Add.10.</w:t>
      </w:r>
    </w:p>
  </w:footnote>
  <w:footnote w:id="4">
    <w:p w14:paraId="48AD0833" w14:textId="77777777" w:rsidR="00040253" w:rsidRPr="001B60BB" w:rsidRDefault="00040253" w:rsidP="00040253">
      <w:pPr>
        <w:pStyle w:val="FootnoteText"/>
      </w:pPr>
      <w:r>
        <w:tab/>
      </w:r>
      <w:r>
        <w:rPr>
          <w:rStyle w:val="FootnoteReference"/>
        </w:rPr>
        <w:footnoteRef/>
      </w:r>
      <w:r>
        <w:t xml:space="preserve"> </w:t>
      </w:r>
      <w:r>
        <w:tab/>
        <w:t xml:space="preserve">See </w:t>
      </w:r>
      <w:r w:rsidRPr="00534D6E">
        <w:t>ECE/</w:t>
      </w:r>
      <w:proofErr w:type="gramStart"/>
      <w:r w:rsidRPr="00534D6E">
        <w:t>MP.PP</w:t>
      </w:r>
      <w:proofErr w:type="gramEnd"/>
      <w:r w:rsidRPr="00534D6E">
        <w:t>/2008/2/Add.15</w:t>
      </w:r>
      <w:r>
        <w:t>.</w:t>
      </w:r>
    </w:p>
  </w:footnote>
  <w:footnote w:id="5">
    <w:p w14:paraId="31207055" w14:textId="77777777" w:rsidR="00040253" w:rsidRPr="00293CA4" w:rsidRDefault="00040253" w:rsidP="00040253">
      <w:pPr>
        <w:pStyle w:val="FootnoteText"/>
      </w:pPr>
      <w:r>
        <w:tab/>
      </w:r>
      <w:r>
        <w:rPr>
          <w:rStyle w:val="FootnoteReference"/>
        </w:rPr>
        <w:footnoteRef/>
      </w:r>
      <w:r>
        <w:tab/>
        <w:t>See ECE/</w:t>
      </w:r>
      <w:proofErr w:type="gramStart"/>
      <w:r>
        <w:t>MP.PP</w:t>
      </w:r>
      <w:proofErr w:type="gramEnd"/>
      <w:r>
        <w:t xml:space="preserve">/2011/2/Add.1.  </w:t>
      </w:r>
    </w:p>
  </w:footnote>
  <w:footnote w:id="6">
    <w:p w14:paraId="4482449F" w14:textId="77777777" w:rsidR="00040253" w:rsidRPr="00293CA4" w:rsidRDefault="00040253" w:rsidP="00040253">
      <w:pPr>
        <w:pStyle w:val="FootnoteText"/>
      </w:pPr>
      <w:r>
        <w:tab/>
      </w:r>
      <w:r>
        <w:rPr>
          <w:rStyle w:val="FootnoteReference"/>
        </w:rPr>
        <w:footnoteRef/>
      </w:r>
      <w:r>
        <w:t xml:space="preserve"> </w:t>
      </w:r>
      <w:r>
        <w:tab/>
        <w:t>See ECE/</w:t>
      </w:r>
      <w:proofErr w:type="gramStart"/>
      <w:r>
        <w:t>MP.PP</w:t>
      </w:r>
      <w:proofErr w:type="gramEnd"/>
      <w:r>
        <w:t>/2014/2/Add.1.</w:t>
      </w:r>
    </w:p>
  </w:footnote>
  <w:footnote w:id="7">
    <w:p w14:paraId="548F5623" w14:textId="77777777" w:rsidR="00040253" w:rsidRPr="001B60BB" w:rsidRDefault="00040253" w:rsidP="00040253">
      <w:pPr>
        <w:pStyle w:val="FootnoteText"/>
      </w:pPr>
      <w:r>
        <w:tab/>
      </w:r>
      <w:r>
        <w:rPr>
          <w:rStyle w:val="FootnoteReference"/>
        </w:rPr>
        <w:footnoteRef/>
      </w:r>
      <w:r>
        <w:t xml:space="preserve"> </w:t>
      </w:r>
      <w:r>
        <w:tab/>
        <w:t>See ECE/</w:t>
      </w:r>
      <w:proofErr w:type="gramStart"/>
      <w:r>
        <w:t>MP.PP</w:t>
      </w:r>
      <w:proofErr w:type="gramEnd"/>
      <w:r>
        <w:t>/2017/2/Add.1.</w:t>
      </w:r>
    </w:p>
  </w:footnote>
  <w:footnote w:id="8">
    <w:p w14:paraId="19E85668" w14:textId="77777777" w:rsidR="00040253" w:rsidRPr="00D06AAF" w:rsidRDefault="00040253" w:rsidP="00040253">
      <w:pPr>
        <w:pStyle w:val="FootnoteText"/>
      </w:pPr>
      <w:r>
        <w:tab/>
      </w:r>
      <w:r>
        <w:rPr>
          <w:rStyle w:val="FootnoteReference"/>
        </w:rPr>
        <w:footnoteRef/>
      </w:r>
      <w:r>
        <w:tab/>
      </w:r>
      <w:r>
        <w:rPr>
          <w:lang w:val="en-US"/>
        </w:rPr>
        <w:t>This paragraph is to be verified closer to the adoption of the decision.</w:t>
      </w:r>
    </w:p>
  </w:footnote>
  <w:footnote w:id="9">
    <w:p w14:paraId="01479785" w14:textId="77777777" w:rsidR="00040253" w:rsidRPr="00773DFD" w:rsidRDefault="00040253" w:rsidP="00040253">
      <w:pPr>
        <w:pStyle w:val="FootnoteText"/>
        <w:rPr>
          <w:szCs w:val="18"/>
        </w:rPr>
      </w:pPr>
      <w:r>
        <w:tab/>
      </w:r>
      <w:r w:rsidRPr="00773DFD">
        <w:rPr>
          <w:rStyle w:val="FootnoteReference"/>
        </w:rPr>
        <w:footnoteRef/>
      </w:r>
      <w:r w:rsidRPr="00773DFD">
        <w:tab/>
      </w:r>
      <w:r w:rsidRPr="00773DFD">
        <w:rPr>
          <w:color w:val="000000"/>
          <w:lang w:val="en-US"/>
        </w:rPr>
        <w:t xml:space="preserve">The United Nations scale of assessments is adopted by the General Assembly for a three-year period. It </w:t>
      </w:r>
      <w:r w:rsidRPr="00773DFD">
        <w:t xml:space="preserve">provides the basis for calculating the contributions of Member States to the United Nations regular </w:t>
      </w:r>
      <w:r w:rsidRPr="00CE5FD6">
        <w:rPr>
          <w:spacing w:val="-2"/>
        </w:rPr>
        <w:t>budget. In December 201</w:t>
      </w:r>
      <w:r>
        <w:rPr>
          <w:spacing w:val="-2"/>
        </w:rPr>
        <w:t>8</w:t>
      </w:r>
      <w:r w:rsidRPr="00CE5FD6">
        <w:rPr>
          <w:spacing w:val="-2"/>
        </w:rPr>
        <w:t xml:space="preserve">, </w:t>
      </w:r>
      <w:r w:rsidRPr="00CE5FD6">
        <w:rPr>
          <w:color w:val="000000"/>
          <w:spacing w:val="-2"/>
          <w:lang w:val="en-US"/>
        </w:rPr>
        <w:t>the General Assembly adopted resolution 7</w:t>
      </w:r>
      <w:r>
        <w:rPr>
          <w:color w:val="000000"/>
          <w:spacing w:val="-2"/>
          <w:lang w:val="en-US"/>
        </w:rPr>
        <w:t>3</w:t>
      </w:r>
      <w:r w:rsidRPr="00CE5FD6">
        <w:rPr>
          <w:color w:val="000000"/>
          <w:spacing w:val="-2"/>
          <w:lang w:val="en-US"/>
        </w:rPr>
        <w:t>/2</w:t>
      </w:r>
      <w:r>
        <w:rPr>
          <w:color w:val="000000"/>
          <w:spacing w:val="-2"/>
          <w:lang w:val="en-US"/>
        </w:rPr>
        <w:t>71</w:t>
      </w:r>
      <w:r w:rsidRPr="00CE5FD6">
        <w:rPr>
          <w:color w:val="000000"/>
          <w:spacing w:val="-2"/>
          <w:lang w:val="en-US"/>
        </w:rPr>
        <w:t xml:space="preserve"> on a scale of assessments</w:t>
      </w:r>
      <w:r>
        <w:rPr>
          <w:color w:val="000000"/>
          <w:lang w:val="en-US"/>
        </w:rPr>
        <w:t xml:space="preserve"> </w:t>
      </w:r>
      <w:r w:rsidRPr="00773DFD">
        <w:rPr>
          <w:color w:val="000000"/>
          <w:lang w:val="en-US"/>
        </w:rPr>
        <w:t xml:space="preserve">for the </w:t>
      </w:r>
      <w:r>
        <w:rPr>
          <w:color w:val="000000"/>
          <w:lang w:val="en-US"/>
        </w:rPr>
        <w:t xml:space="preserve">apportionment of the expenses of the United Nations for the </w:t>
      </w:r>
      <w:r w:rsidRPr="00773DFD">
        <w:rPr>
          <w:color w:val="000000"/>
          <w:lang w:val="en-US"/>
        </w:rPr>
        <w:t>period 201</w:t>
      </w:r>
      <w:r>
        <w:rPr>
          <w:color w:val="000000"/>
          <w:lang w:val="en-US"/>
        </w:rPr>
        <w:t>9</w:t>
      </w:r>
      <w:r w:rsidRPr="00773DFD">
        <w:rPr>
          <w:color w:val="000000"/>
          <w:lang w:val="en-US"/>
        </w:rPr>
        <w:t>–20</w:t>
      </w:r>
      <w:r>
        <w:rPr>
          <w:color w:val="000000"/>
          <w:lang w:val="en-US"/>
        </w:rPr>
        <w:t>2</w:t>
      </w:r>
      <w:r w:rsidRPr="00773DFD">
        <w:rPr>
          <w:color w:val="000000"/>
          <w:lang w:val="en-US"/>
        </w:rPr>
        <w:t xml:space="preserve">1. </w:t>
      </w:r>
      <w:r>
        <w:rPr>
          <w:color w:val="000000"/>
          <w:lang w:val="en-US"/>
        </w:rPr>
        <w:t>As reaffirmed in that resolution, t</w:t>
      </w:r>
      <w:r w:rsidRPr="00773DFD">
        <w:rPr>
          <w:color w:val="000000"/>
          <w:lang w:val="en-US"/>
        </w:rPr>
        <w:t xml:space="preserve">he fundamental principle for calculating Member States’ </w:t>
      </w:r>
      <w:r>
        <w:rPr>
          <w:color w:val="000000"/>
          <w:lang w:val="en-US"/>
        </w:rPr>
        <w:t>c</w:t>
      </w:r>
      <w:r w:rsidRPr="00773DFD">
        <w:rPr>
          <w:color w:val="000000"/>
          <w:lang w:val="en-US"/>
        </w:rPr>
        <w:t xml:space="preserve">ontributions is that “the expenses of the Organization shall be apportioned </w:t>
      </w:r>
      <w:r>
        <w:rPr>
          <w:color w:val="000000"/>
          <w:lang w:val="en-US"/>
        </w:rPr>
        <w:t xml:space="preserve">broadly </w:t>
      </w:r>
      <w:r w:rsidRPr="00773DFD">
        <w:rPr>
          <w:color w:val="000000"/>
          <w:lang w:val="en-US"/>
        </w:rPr>
        <w:t xml:space="preserve">according to capacity to </w:t>
      </w:r>
      <w:r w:rsidRPr="00773DFD">
        <w:rPr>
          <w:color w:val="000000"/>
          <w:szCs w:val="18"/>
          <w:lang w:val="en-US"/>
        </w:rPr>
        <w:t>pay”.</w:t>
      </w:r>
    </w:p>
  </w:footnote>
  <w:footnote w:id="10">
    <w:p w14:paraId="328C8496" w14:textId="77777777" w:rsidR="00040253" w:rsidRPr="00773DFD" w:rsidRDefault="00040253" w:rsidP="00040253">
      <w:pPr>
        <w:pStyle w:val="FootnoteText"/>
        <w:rPr>
          <w:szCs w:val="18"/>
          <w:lang w:val="en-US"/>
        </w:rPr>
      </w:pPr>
      <w:r w:rsidRPr="00773DFD">
        <w:rPr>
          <w:szCs w:val="18"/>
        </w:rPr>
        <w:tab/>
      </w:r>
      <w:r w:rsidRPr="00773DFD">
        <w:rPr>
          <w:rStyle w:val="FootnoteReference"/>
          <w:szCs w:val="18"/>
        </w:rPr>
        <w:footnoteRef/>
      </w:r>
      <w:r w:rsidRPr="00773DFD">
        <w:rPr>
          <w:szCs w:val="18"/>
        </w:rPr>
        <w:tab/>
        <w:t xml:space="preserve">In accordance with </w:t>
      </w:r>
      <w:r>
        <w:rPr>
          <w:szCs w:val="18"/>
        </w:rPr>
        <w:t xml:space="preserve">General Assembly </w:t>
      </w:r>
      <w:r w:rsidRPr="00773DFD">
        <w:rPr>
          <w:color w:val="000000"/>
          <w:lang w:val="en-US"/>
        </w:rPr>
        <w:t xml:space="preserve">resolution </w:t>
      </w:r>
      <w:r>
        <w:rPr>
          <w:spacing w:val="-1"/>
          <w:position w:val="-1"/>
          <w:szCs w:val="18"/>
        </w:rPr>
        <w:t>73</w:t>
      </w:r>
      <w:r w:rsidRPr="00773DFD">
        <w:rPr>
          <w:spacing w:val="-1"/>
          <w:position w:val="-1"/>
          <w:szCs w:val="18"/>
        </w:rPr>
        <w:t>/</w:t>
      </w:r>
      <w:r w:rsidRPr="00773DFD">
        <w:rPr>
          <w:position w:val="-1"/>
          <w:szCs w:val="18"/>
        </w:rPr>
        <w:t>2</w:t>
      </w:r>
      <w:r>
        <w:rPr>
          <w:position w:val="-1"/>
          <w:szCs w:val="18"/>
        </w:rPr>
        <w:t>71</w:t>
      </w:r>
      <w:r w:rsidRPr="00773DFD">
        <w:rPr>
          <w:position w:val="-1"/>
          <w:szCs w:val="18"/>
        </w:rPr>
        <w:t>, which refers to 22</w:t>
      </w:r>
      <w:r>
        <w:rPr>
          <w:position w:val="-1"/>
          <w:szCs w:val="18"/>
        </w:rPr>
        <w:t xml:space="preserve"> per cent</w:t>
      </w:r>
      <w:r w:rsidRPr="00773DFD">
        <w:rPr>
          <w:position w:val="-1"/>
          <w:szCs w:val="18"/>
        </w:rPr>
        <w:t xml:space="preserve"> </w:t>
      </w:r>
      <w:r w:rsidRPr="00773DFD">
        <w:rPr>
          <w:spacing w:val="4"/>
          <w:szCs w:val="18"/>
        </w:rPr>
        <w:t>f</w:t>
      </w:r>
      <w:r w:rsidRPr="00773DFD">
        <w:rPr>
          <w:spacing w:val="5"/>
          <w:szCs w:val="18"/>
        </w:rPr>
        <w:t>o</w:t>
      </w:r>
      <w:r w:rsidRPr="00773DFD">
        <w:rPr>
          <w:szCs w:val="18"/>
        </w:rPr>
        <w:t>r</w:t>
      </w:r>
      <w:r w:rsidRPr="00773DFD">
        <w:rPr>
          <w:spacing w:val="37"/>
          <w:szCs w:val="18"/>
        </w:rPr>
        <w:t xml:space="preserve"> </w:t>
      </w:r>
      <w:r w:rsidRPr="00773DFD">
        <w:rPr>
          <w:spacing w:val="4"/>
          <w:szCs w:val="18"/>
        </w:rPr>
        <w:t>t</w:t>
      </w:r>
      <w:r w:rsidRPr="00773DFD">
        <w:rPr>
          <w:spacing w:val="5"/>
          <w:szCs w:val="18"/>
        </w:rPr>
        <w:t>h</w:t>
      </w:r>
      <w:r w:rsidRPr="00773DFD">
        <w:rPr>
          <w:szCs w:val="18"/>
        </w:rPr>
        <w:t>e</w:t>
      </w:r>
      <w:r w:rsidRPr="00773DFD">
        <w:rPr>
          <w:spacing w:val="37"/>
          <w:szCs w:val="18"/>
        </w:rPr>
        <w:t xml:space="preserve"> </w:t>
      </w:r>
      <w:r w:rsidRPr="00773DFD">
        <w:rPr>
          <w:spacing w:val="5"/>
          <w:szCs w:val="18"/>
        </w:rPr>
        <w:t>p</w:t>
      </w:r>
      <w:r w:rsidRPr="00773DFD">
        <w:rPr>
          <w:spacing w:val="3"/>
          <w:szCs w:val="18"/>
        </w:rPr>
        <w:t>e</w:t>
      </w:r>
      <w:r w:rsidRPr="00773DFD">
        <w:rPr>
          <w:spacing w:val="4"/>
          <w:szCs w:val="18"/>
        </w:rPr>
        <w:t>rio</w:t>
      </w:r>
      <w:r w:rsidRPr="00773DFD">
        <w:rPr>
          <w:szCs w:val="18"/>
        </w:rPr>
        <w:t>d</w:t>
      </w:r>
      <w:r w:rsidRPr="00773DFD">
        <w:rPr>
          <w:spacing w:val="47"/>
          <w:szCs w:val="18"/>
        </w:rPr>
        <w:t xml:space="preserve"> </w:t>
      </w:r>
      <w:r w:rsidRPr="00773DFD">
        <w:rPr>
          <w:spacing w:val="4"/>
          <w:szCs w:val="18"/>
        </w:rPr>
        <w:t>20</w:t>
      </w:r>
      <w:r w:rsidRPr="00773DFD">
        <w:rPr>
          <w:spacing w:val="5"/>
          <w:szCs w:val="18"/>
        </w:rPr>
        <w:t>1</w:t>
      </w:r>
      <w:r>
        <w:rPr>
          <w:szCs w:val="18"/>
        </w:rPr>
        <w:t>9</w:t>
      </w:r>
      <w:r>
        <w:rPr>
          <w:spacing w:val="42"/>
          <w:szCs w:val="18"/>
        </w:rPr>
        <w:t>–</w:t>
      </w:r>
      <w:r w:rsidRPr="00773DFD">
        <w:rPr>
          <w:spacing w:val="4"/>
          <w:w w:val="103"/>
          <w:szCs w:val="18"/>
        </w:rPr>
        <w:t>20</w:t>
      </w:r>
      <w:r>
        <w:rPr>
          <w:spacing w:val="4"/>
          <w:w w:val="103"/>
          <w:szCs w:val="18"/>
        </w:rPr>
        <w:t>2</w:t>
      </w:r>
      <w:r w:rsidRPr="00773DFD">
        <w:rPr>
          <w:spacing w:val="4"/>
          <w:w w:val="103"/>
          <w:szCs w:val="18"/>
        </w:rPr>
        <w:t>1.</w:t>
      </w:r>
    </w:p>
  </w:footnote>
  <w:footnote w:id="11">
    <w:p w14:paraId="53C73BF8" w14:textId="77777777" w:rsidR="00040253" w:rsidRPr="00682FE1" w:rsidRDefault="00040253" w:rsidP="00040253">
      <w:pPr>
        <w:pStyle w:val="FootnoteText"/>
        <w:rPr>
          <w:lang w:val="en-US"/>
        </w:rPr>
      </w:pPr>
      <w:r>
        <w:tab/>
      </w:r>
      <w:r>
        <w:rPr>
          <w:rStyle w:val="FootnoteReference"/>
          <w:rFonts w:eastAsia="SimSun"/>
        </w:rPr>
        <w:footnoteRef/>
      </w:r>
      <w:r>
        <w:tab/>
        <w:t>United Nations, Global Compact, report, 2015 (revised).</w:t>
      </w:r>
      <w:r w:rsidRPr="003D1C7F" w:rsidDel="004E56B5">
        <w:t xml:space="preserve"> </w:t>
      </w:r>
      <w:r w:rsidRPr="007B1D54">
        <w:t xml:space="preserve">Available </w:t>
      </w:r>
      <w:r>
        <w:t>at</w:t>
      </w:r>
      <w:r w:rsidRPr="007B1D54">
        <w:t xml:space="preserve"> </w:t>
      </w:r>
      <w:hyperlink r:id="rId1" w:history="1">
        <w:r w:rsidRPr="00BC5317">
          <w:t>www.unglobalcompact.org/library/3431</w:t>
        </w:r>
      </w:hyperlink>
      <w:r w:rsidRPr="00BC5317">
        <w:t>.</w:t>
      </w:r>
    </w:p>
  </w:footnote>
  <w:footnote w:id="12">
    <w:p w14:paraId="1D547765" w14:textId="77777777" w:rsidR="00040253" w:rsidRPr="00657D82" w:rsidRDefault="00040253" w:rsidP="00040253">
      <w:pPr>
        <w:pStyle w:val="FootnoteText"/>
      </w:pPr>
      <w:r>
        <w:tab/>
      </w:r>
      <w:r>
        <w:rPr>
          <w:rStyle w:val="FootnoteReference"/>
        </w:rPr>
        <w:footnoteRef/>
      </w:r>
      <w:r>
        <w:tab/>
      </w:r>
      <w:r w:rsidRPr="004260F6">
        <w:rPr>
          <w:i/>
          <w:szCs w:val="18"/>
        </w:rPr>
        <w:t>Official Records of the Economic and Social Council, 2013, Supplement No. 17</w:t>
      </w:r>
      <w:r w:rsidRPr="004260F6">
        <w:rPr>
          <w:szCs w:val="18"/>
        </w:rPr>
        <w:t xml:space="preserve"> (</w:t>
      </w:r>
      <w:r w:rsidRPr="004260F6">
        <w:rPr>
          <w:bCs/>
          <w:szCs w:val="18"/>
        </w:rPr>
        <w:t xml:space="preserve">E/2013/37-E/ECE/1464, </w:t>
      </w:r>
      <w:r w:rsidRPr="004260F6">
        <w:rPr>
          <w:szCs w:val="18"/>
        </w:rPr>
        <w:t>annex III</w:t>
      </w:r>
      <w:r w:rsidRPr="00F82E51">
        <w:rPr>
          <w:szCs w:val="18"/>
        </w:rPr>
        <w:t xml:space="preserve">, </w:t>
      </w:r>
      <w:r>
        <w:rPr>
          <w:szCs w:val="18"/>
        </w:rPr>
        <w:t>paras. 7 and 8</w:t>
      </w:r>
      <w:r w:rsidRPr="00F82E51">
        <w:rPr>
          <w:szCs w:val="18"/>
        </w:rPr>
        <w:t>)</w:t>
      </w:r>
      <w:r w:rsidRPr="004756F8">
        <w:rPr>
          <w:rStyle w:val="Hyperlink"/>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763C5A" w14:textId="60133170" w:rsidR="00040253" w:rsidRPr="00A8125E" w:rsidRDefault="00856B4E">
    <w:pPr>
      <w:pStyle w:val="Header"/>
      <w:rPr>
        <w:lang w:val="en-US"/>
      </w:rPr>
    </w:pPr>
    <w:r>
      <w:fldChar w:fldCharType="begin"/>
    </w:r>
    <w:r>
      <w:instrText xml:space="preserve"> TITLE  \* MERGEFORMAT </w:instrText>
    </w:r>
    <w:r>
      <w:fldChar w:fldCharType="separate"/>
    </w:r>
    <w:r w:rsidR="00A8125E">
      <w:t>ECE/</w:t>
    </w:r>
    <w:proofErr w:type="gramStart"/>
    <w:r w:rsidR="00A8125E">
      <w:t>MP.PP</w:t>
    </w:r>
    <w:proofErr w:type="gramEnd"/>
    <w:r w:rsidR="00A8125E">
      <w:t>/2021/13</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BFB38F" w14:textId="6FE0C60B" w:rsidR="00040253" w:rsidRPr="00040253" w:rsidRDefault="00856B4E" w:rsidP="00040253">
    <w:pPr>
      <w:pStyle w:val="Header"/>
      <w:jc w:val="right"/>
    </w:pPr>
    <w:r>
      <w:fldChar w:fldCharType="begin"/>
    </w:r>
    <w:r>
      <w:instrText xml:space="preserve"> TITLE  \* MERGEFORMAT </w:instrText>
    </w:r>
    <w:r>
      <w:fldChar w:fldCharType="separate"/>
    </w:r>
    <w:r w:rsidR="00A8125E">
      <w:t>ECE/</w:t>
    </w:r>
    <w:proofErr w:type="gramStart"/>
    <w:r w:rsidR="00A8125E">
      <w:t>MP.PP</w:t>
    </w:r>
    <w:proofErr w:type="gramEnd"/>
    <w:r w:rsidR="00A8125E">
      <w:t>/2021/</w:t>
    </w:r>
    <w:r w:rsidR="00012071">
      <w:t>13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7"/>
  </w:num>
  <w:num w:numId="18">
    <w:abstractNumId w:val="18"/>
  </w:num>
  <w:num w:numId="19">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97"/>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253"/>
    <w:rsid w:val="00002A7D"/>
    <w:rsid w:val="000038A8"/>
    <w:rsid w:val="00006790"/>
    <w:rsid w:val="00012071"/>
    <w:rsid w:val="00027624"/>
    <w:rsid w:val="00040253"/>
    <w:rsid w:val="00050C30"/>
    <w:rsid w:val="00050F6B"/>
    <w:rsid w:val="000678CD"/>
    <w:rsid w:val="00072C8C"/>
    <w:rsid w:val="00081CE0"/>
    <w:rsid w:val="00084D30"/>
    <w:rsid w:val="00090320"/>
    <w:rsid w:val="000931C0"/>
    <w:rsid w:val="000A2E09"/>
    <w:rsid w:val="000A3455"/>
    <w:rsid w:val="000B175B"/>
    <w:rsid w:val="000B3A0F"/>
    <w:rsid w:val="000E0415"/>
    <w:rsid w:val="000F1A3A"/>
    <w:rsid w:val="000F5FAB"/>
    <w:rsid w:val="000F7715"/>
    <w:rsid w:val="00131B12"/>
    <w:rsid w:val="00146F34"/>
    <w:rsid w:val="00151895"/>
    <w:rsid w:val="00156B99"/>
    <w:rsid w:val="00166124"/>
    <w:rsid w:val="00184DDA"/>
    <w:rsid w:val="001900CD"/>
    <w:rsid w:val="001908EB"/>
    <w:rsid w:val="001A0452"/>
    <w:rsid w:val="001B4B04"/>
    <w:rsid w:val="001B5875"/>
    <w:rsid w:val="001C4B9C"/>
    <w:rsid w:val="001C6663"/>
    <w:rsid w:val="001C7895"/>
    <w:rsid w:val="001D26DF"/>
    <w:rsid w:val="001D42E1"/>
    <w:rsid w:val="001E400B"/>
    <w:rsid w:val="001F1599"/>
    <w:rsid w:val="001F19C4"/>
    <w:rsid w:val="002043F0"/>
    <w:rsid w:val="00211E0B"/>
    <w:rsid w:val="00226DAB"/>
    <w:rsid w:val="00232575"/>
    <w:rsid w:val="0024301B"/>
    <w:rsid w:val="00247258"/>
    <w:rsid w:val="00257CAC"/>
    <w:rsid w:val="0027237A"/>
    <w:rsid w:val="00273C46"/>
    <w:rsid w:val="002974E9"/>
    <w:rsid w:val="002A7F94"/>
    <w:rsid w:val="002B109A"/>
    <w:rsid w:val="002C6D45"/>
    <w:rsid w:val="002D6E53"/>
    <w:rsid w:val="002F046D"/>
    <w:rsid w:val="002F1A57"/>
    <w:rsid w:val="002F3023"/>
    <w:rsid w:val="00301764"/>
    <w:rsid w:val="00303149"/>
    <w:rsid w:val="00305E63"/>
    <w:rsid w:val="003229D8"/>
    <w:rsid w:val="00322E57"/>
    <w:rsid w:val="00336C97"/>
    <w:rsid w:val="00337F88"/>
    <w:rsid w:val="00342432"/>
    <w:rsid w:val="00342D27"/>
    <w:rsid w:val="00347B7C"/>
    <w:rsid w:val="003513B6"/>
    <w:rsid w:val="0035223F"/>
    <w:rsid w:val="00352D4B"/>
    <w:rsid w:val="0035638C"/>
    <w:rsid w:val="003A46BB"/>
    <w:rsid w:val="003A4EC7"/>
    <w:rsid w:val="003A7295"/>
    <w:rsid w:val="003B1F60"/>
    <w:rsid w:val="003C2CC4"/>
    <w:rsid w:val="003D4B23"/>
    <w:rsid w:val="003E278A"/>
    <w:rsid w:val="003E62A0"/>
    <w:rsid w:val="0040110C"/>
    <w:rsid w:val="00413520"/>
    <w:rsid w:val="00420728"/>
    <w:rsid w:val="00420AA3"/>
    <w:rsid w:val="0042451B"/>
    <w:rsid w:val="004325CB"/>
    <w:rsid w:val="0043363A"/>
    <w:rsid w:val="00440A07"/>
    <w:rsid w:val="00452E9A"/>
    <w:rsid w:val="00462880"/>
    <w:rsid w:val="00476F24"/>
    <w:rsid w:val="00494683"/>
    <w:rsid w:val="004B4725"/>
    <w:rsid w:val="004B482C"/>
    <w:rsid w:val="004C55B0"/>
    <w:rsid w:val="004D256C"/>
    <w:rsid w:val="004E1217"/>
    <w:rsid w:val="004F48BD"/>
    <w:rsid w:val="004F4CFF"/>
    <w:rsid w:val="004F6BA0"/>
    <w:rsid w:val="00503BEA"/>
    <w:rsid w:val="00510500"/>
    <w:rsid w:val="005171F3"/>
    <w:rsid w:val="00533616"/>
    <w:rsid w:val="00535ABA"/>
    <w:rsid w:val="0053768B"/>
    <w:rsid w:val="005420F2"/>
    <w:rsid w:val="0054285C"/>
    <w:rsid w:val="005570F8"/>
    <w:rsid w:val="00584173"/>
    <w:rsid w:val="00595520"/>
    <w:rsid w:val="005A44B9"/>
    <w:rsid w:val="005B1BA0"/>
    <w:rsid w:val="005B3DB3"/>
    <w:rsid w:val="005D15CA"/>
    <w:rsid w:val="005F08DF"/>
    <w:rsid w:val="005F3066"/>
    <w:rsid w:val="005F3E61"/>
    <w:rsid w:val="00604DDD"/>
    <w:rsid w:val="006115CC"/>
    <w:rsid w:val="00611FC4"/>
    <w:rsid w:val="006176FB"/>
    <w:rsid w:val="00630FCB"/>
    <w:rsid w:val="00640B26"/>
    <w:rsid w:val="0065766B"/>
    <w:rsid w:val="0066654F"/>
    <w:rsid w:val="006770B2"/>
    <w:rsid w:val="00686A48"/>
    <w:rsid w:val="006940E1"/>
    <w:rsid w:val="006A3C72"/>
    <w:rsid w:val="006A7392"/>
    <w:rsid w:val="006B03A1"/>
    <w:rsid w:val="006B201B"/>
    <w:rsid w:val="006B67D9"/>
    <w:rsid w:val="006C5535"/>
    <w:rsid w:val="006C7E6C"/>
    <w:rsid w:val="006D0589"/>
    <w:rsid w:val="006D5666"/>
    <w:rsid w:val="006E564B"/>
    <w:rsid w:val="006E7154"/>
    <w:rsid w:val="007003CD"/>
    <w:rsid w:val="0070701E"/>
    <w:rsid w:val="00717FC0"/>
    <w:rsid w:val="0072632A"/>
    <w:rsid w:val="007358E8"/>
    <w:rsid w:val="00736ECE"/>
    <w:rsid w:val="0074533B"/>
    <w:rsid w:val="00747584"/>
    <w:rsid w:val="007643BC"/>
    <w:rsid w:val="00780C68"/>
    <w:rsid w:val="007959FE"/>
    <w:rsid w:val="007A0CF1"/>
    <w:rsid w:val="007B6BA5"/>
    <w:rsid w:val="007C3390"/>
    <w:rsid w:val="007C42D8"/>
    <w:rsid w:val="007C4F4B"/>
    <w:rsid w:val="007D7362"/>
    <w:rsid w:val="007E2CDC"/>
    <w:rsid w:val="007F542E"/>
    <w:rsid w:val="007F5CE2"/>
    <w:rsid w:val="007F6611"/>
    <w:rsid w:val="008050D9"/>
    <w:rsid w:val="00810BAC"/>
    <w:rsid w:val="008175E9"/>
    <w:rsid w:val="008242D7"/>
    <w:rsid w:val="0082577B"/>
    <w:rsid w:val="00852661"/>
    <w:rsid w:val="00856B4E"/>
    <w:rsid w:val="00866893"/>
    <w:rsid w:val="00866F02"/>
    <w:rsid w:val="00867D18"/>
    <w:rsid w:val="00871F9A"/>
    <w:rsid w:val="00871FD5"/>
    <w:rsid w:val="0088172E"/>
    <w:rsid w:val="00881EFA"/>
    <w:rsid w:val="008879CB"/>
    <w:rsid w:val="008904DC"/>
    <w:rsid w:val="008979B1"/>
    <w:rsid w:val="008A6B25"/>
    <w:rsid w:val="008A6C4F"/>
    <w:rsid w:val="008B389E"/>
    <w:rsid w:val="008D045E"/>
    <w:rsid w:val="008D3F25"/>
    <w:rsid w:val="008D4D82"/>
    <w:rsid w:val="008E0E46"/>
    <w:rsid w:val="008E7116"/>
    <w:rsid w:val="008F143B"/>
    <w:rsid w:val="008F19C0"/>
    <w:rsid w:val="008F3882"/>
    <w:rsid w:val="008F47D9"/>
    <w:rsid w:val="008F4B7C"/>
    <w:rsid w:val="00911B70"/>
    <w:rsid w:val="00926E47"/>
    <w:rsid w:val="00931F94"/>
    <w:rsid w:val="00932935"/>
    <w:rsid w:val="009449EC"/>
    <w:rsid w:val="00947162"/>
    <w:rsid w:val="009610D0"/>
    <w:rsid w:val="00962B22"/>
    <w:rsid w:val="0096375C"/>
    <w:rsid w:val="009662E6"/>
    <w:rsid w:val="0097095E"/>
    <w:rsid w:val="0098592B"/>
    <w:rsid w:val="00985EFA"/>
    <w:rsid w:val="00985FC4"/>
    <w:rsid w:val="00990766"/>
    <w:rsid w:val="00991261"/>
    <w:rsid w:val="00991B48"/>
    <w:rsid w:val="009964C4"/>
    <w:rsid w:val="009A7B81"/>
    <w:rsid w:val="009C7617"/>
    <w:rsid w:val="009D01C0"/>
    <w:rsid w:val="009D6A08"/>
    <w:rsid w:val="009E0A16"/>
    <w:rsid w:val="009E6CB7"/>
    <w:rsid w:val="009E7970"/>
    <w:rsid w:val="009F2EAC"/>
    <w:rsid w:val="009F57E3"/>
    <w:rsid w:val="00A03BFF"/>
    <w:rsid w:val="00A10F4F"/>
    <w:rsid w:val="00A11067"/>
    <w:rsid w:val="00A1704A"/>
    <w:rsid w:val="00A329BC"/>
    <w:rsid w:val="00A425EB"/>
    <w:rsid w:val="00A66BD3"/>
    <w:rsid w:val="00A72F22"/>
    <w:rsid w:val="00A733BC"/>
    <w:rsid w:val="00A748A6"/>
    <w:rsid w:val="00A76A69"/>
    <w:rsid w:val="00A8125E"/>
    <w:rsid w:val="00A879A4"/>
    <w:rsid w:val="00AA0FF8"/>
    <w:rsid w:val="00AC0F2C"/>
    <w:rsid w:val="00AC502A"/>
    <w:rsid w:val="00AF01A0"/>
    <w:rsid w:val="00AF235A"/>
    <w:rsid w:val="00AF58C1"/>
    <w:rsid w:val="00B04A3F"/>
    <w:rsid w:val="00B06643"/>
    <w:rsid w:val="00B15055"/>
    <w:rsid w:val="00B20551"/>
    <w:rsid w:val="00B30179"/>
    <w:rsid w:val="00B33FC7"/>
    <w:rsid w:val="00B37B15"/>
    <w:rsid w:val="00B4462A"/>
    <w:rsid w:val="00B45C02"/>
    <w:rsid w:val="00B67EBC"/>
    <w:rsid w:val="00B70B63"/>
    <w:rsid w:val="00B72A1E"/>
    <w:rsid w:val="00B81E12"/>
    <w:rsid w:val="00BA339B"/>
    <w:rsid w:val="00BC1E7E"/>
    <w:rsid w:val="00BC74E9"/>
    <w:rsid w:val="00BE36A9"/>
    <w:rsid w:val="00BE618E"/>
    <w:rsid w:val="00BE7BEC"/>
    <w:rsid w:val="00BF07AB"/>
    <w:rsid w:val="00BF0A5A"/>
    <w:rsid w:val="00BF0E63"/>
    <w:rsid w:val="00BF12A3"/>
    <w:rsid w:val="00BF16D7"/>
    <w:rsid w:val="00BF2373"/>
    <w:rsid w:val="00BF3AE9"/>
    <w:rsid w:val="00C044E2"/>
    <w:rsid w:val="00C048CB"/>
    <w:rsid w:val="00C066F3"/>
    <w:rsid w:val="00C37459"/>
    <w:rsid w:val="00C463DD"/>
    <w:rsid w:val="00C47173"/>
    <w:rsid w:val="00C745C3"/>
    <w:rsid w:val="00C978E4"/>
    <w:rsid w:val="00C978F5"/>
    <w:rsid w:val="00CA24A4"/>
    <w:rsid w:val="00CA2D65"/>
    <w:rsid w:val="00CA341F"/>
    <w:rsid w:val="00CB348D"/>
    <w:rsid w:val="00CB5BB0"/>
    <w:rsid w:val="00CD46F5"/>
    <w:rsid w:val="00CE4A8F"/>
    <w:rsid w:val="00CF071D"/>
    <w:rsid w:val="00CF4432"/>
    <w:rsid w:val="00D0123D"/>
    <w:rsid w:val="00D10ECC"/>
    <w:rsid w:val="00D15B04"/>
    <w:rsid w:val="00D2031B"/>
    <w:rsid w:val="00D25FE2"/>
    <w:rsid w:val="00D344E8"/>
    <w:rsid w:val="00D37DA9"/>
    <w:rsid w:val="00D406A7"/>
    <w:rsid w:val="00D41DAB"/>
    <w:rsid w:val="00D43252"/>
    <w:rsid w:val="00D44D86"/>
    <w:rsid w:val="00D50B7D"/>
    <w:rsid w:val="00D52012"/>
    <w:rsid w:val="00D704E5"/>
    <w:rsid w:val="00D72727"/>
    <w:rsid w:val="00D81D2B"/>
    <w:rsid w:val="00D978C6"/>
    <w:rsid w:val="00DA0956"/>
    <w:rsid w:val="00DA357F"/>
    <w:rsid w:val="00DA3E12"/>
    <w:rsid w:val="00DC18AD"/>
    <w:rsid w:val="00DD1A62"/>
    <w:rsid w:val="00DD379C"/>
    <w:rsid w:val="00DD6380"/>
    <w:rsid w:val="00DE4135"/>
    <w:rsid w:val="00DF7CAE"/>
    <w:rsid w:val="00E01D12"/>
    <w:rsid w:val="00E423C0"/>
    <w:rsid w:val="00E6414C"/>
    <w:rsid w:val="00E64402"/>
    <w:rsid w:val="00E67C5D"/>
    <w:rsid w:val="00E7260F"/>
    <w:rsid w:val="00E8702D"/>
    <w:rsid w:val="00E905F4"/>
    <w:rsid w:val="00E916A9"/>
    <w:rsid w:val="00E916DE"/>
    <w:rsid w:val="00E925AD"/>
    <w:rsid w:val="00E96630"/>
    <w:rsid w:val="00EA1206"/>
    <w:rsid w:val="00ED18DC"/>
    <w:rsid w:val="00ED6201"/>
    <w:rsid w:val="00ED7A2A"/>
    <w:rsid w:val="00EF1D7F"/>
    <w:rsid w:val="00F0137E"/>
    <w:rsid w:val="00F21786"/>
    <w:rsid w:val="00F24B7A"/>
    <w:rsid w:val="00F3742B"/>
    <w:rsid w:val="00F41FDB"/>
    <w:rsid w:val="00F43D72"/>
    <w:rsid w:val="00F524EE"/>
    <w:rsid w:val="00F56D63"/>
    <w:rsid w:val="00F609A9"/>
    <w:rsid w:val="00F63713"/>
    <w:rsid w:val="00F80C99"/>
    <w:rsid w:val="00F867EC"/>
    <w:rsid w:val="00F91B2B"/>
    <w:rsid w:val="00FA156E"/>
    <w:rsid w:val="00FA6B3C"/>
    <w:rsid w:val="00FA7A84"/>
    <w:rsid w:val="00FC03CD"/>
    <w:rsid w:val="00FC0646"/>
    <w:rsid w:val="00FC68B7"/>
    <w:rsid w:val="00FE6985"/>
    <w:rsid w:val="0D036265"/>
    <w:rsid w:val="52A9F3AA"/>
    <w:rsid w:val="6200C934"/>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934BDE3"/>
  <w15:docId w15:val="{EE77CBA0-5B86-4987-8215-8E261C0A4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C68"/>
    <w:pPr>
      <w:suppressAutoHyphens/>
      <w:spacing w:line="240" w:lineRule="atLeast"/>
    </w:pPr>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Footnote symbol,Footnote reference number,Footnote Reference Superscript,BVI fnr,SUPERS,(Footnote Reference),Footnote,Voetnootverwijzing,Times 10 Point,Exposant 3 Point,note TESI,Odwołanie przypisu,Footnotemark,FR,Ref,E"/>
    <w:basedOn w:val="DefaultParagraphFont"/>
    <w:qFormat/>
    <w:rsid w:val="00E925AD"/>
    <w:rPr>
      <w:rFonts w:ascii="Times New Roman" w:hAnsi="Times New Roman"/>
      <w:sz w:val="18"/>
      <w:vertAlign w:val="superscript"/>
    </w:rPr>
  </w:style>
  <w:style w:type="paragraph" w:styleId="FootnoteText">
    <w:name w:val="footnote text"/>
    <w:aliases w:val="5_G,fn,footnote text,Footnotes,Footnote ak,Tekst przypisu,Fußnote"/>
    <w:basedOn w:val="Normal"/>
    <w:link w:val="FootnoteTextChar"/>
    <w:uiPriority w:val="99"/>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link w:val="EndnoteTextChar"/>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rsid w:val="00FA6B3C"/>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A6B3C"/>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SingleTxtG"/>
    <w:qFormat/>
    <w:rsid w:val="00C37459"/>
    <w:pPr>
      <w:numPr>
        <w:numId w:val="19"/>
      </w:numPr>
      <w:suppressAutoHyphens w:val="0"/>
    </w:pPr>
  </w:style>
  <w:style w:type="character" w:customStyle="1" w:styleId="SingleTxtGChar">
    <w:name w:val="_ Single Txt_G Char"/>
    <w:link w:val="SingleTxtG"/>
    <w:qFormat/>
    <w:rsid w:val="00040253"/>
    <w:rPr>
      <w:lang w:val="en-GB"/>
    </w:rPr>
  </w:style>
  <w:style w:type="character" w:customStyle="1" w:styleId="FootnoteTextChar">
    <w:name w:val="Footnote Text Char"/>
    <w:aliases w:val="5_G Char,fn Char,footnote text Char,Footnotes Char,Footnote ak Char,Tekst przypisu Char,Fußnote Char"/>
    <w:link w:val="FootnoteText"/>
    <w:uiPriority w:val="99"/>
    <w:rsid w:val="00040253"/>
    <w:rPr>
      <w:sz w:val="18"/>
      <w:lang w:val="en-GB"/>
    </w:rPr>
  </w:style>
  <w:style w:type="character" w:customStyle="1" w:styleId="EndnoteTextChar">
    <w:name w:val="Endnote Text Char"/>
    <w:aliases w:val="2_G Char"/>
    <w:link w:val="EndnoteText"/>
    <w:rsid w:val="00040253"/>
    <w:rPr>
      <w:sz w:val="18"/>
      <w:lang w:val="en-GB"/>
    </w:rPr>
  </w:style>
  <w:style w:type="character" w:styleId="CommentReference">
    <w:name w:val="annotation reference"/>
    <w:basedOn w:val="DefaultParagraphFont"/>
    <w:semiHidden/>
    <w:unhideWhenUsed/>
    <w:rsid w:val="00040253"/>
    <w:rPr>
      <w:sz w:val="16"/>
      <w:szCs w:val="16"/>
    </w:rPr>
  </w:style>
  <w:style w:type="paragraph" w:styleId="CommentText">
    <w:name w:val="annotation text"/>
    <w:basedOn w:val="Normal"/>
    <w:link w:val="CommentTextChar"/>
    <w:unhideWhenUsed/>
    <w:rsid w:val="00040253"/>
    <w:pPr>
      <w:spacing w:line="240" w:lineRule="auto"/>
    </w:pPr>
  </w:style>
  <w:style w:type="character" w:customStyle="1" w:styleId="CommentTextChar">
    <w:name w:val="Comment Text Char"/>
    <w:basedOn w:val="DefaultParagraphFont"/>
    <w:link w:val="CommentText"/>
    <w:rsid w:val="00040253"/>
    <w:rPr>
      <w:lang w:val="en-GB"/>
    </w:rPr>
  </w:style>
  <w:style w:type="paragraph" w:styleId="CommentSubject">
    <w:name w:val="annotation subject"/>
    <w:basedOn w:val="CommentText"/>
    <w:next w:val="CommentText"/>
    <w:link w:val="CommentSubjectChar"/>
    <w:semiHidden/>
    <w:unhideWhenUsed/>
    <w:rsid w:val="00040253"/>
    <w:rPr>
      <w:b/>
      <w:bCs/>
    </w:rPr>
  </w:style>
  <w:style w:type="character" w:customStyle="1" w:styleId="CommentSubjectChar">
    <w:name w:val="Comment Subject Char"/>
    <w:basedOn w:val="CommentTextChar"/>
    <w:link w:val="CommentSubject"/>
    <w:semiHidden/>
    <w:rsid w:val="00040253"/>
    <w:rPr>
      <w:b/>
      <w:bCs/>
      <w:lang w:val="en-GB"/>
    </w:rPr>
  </w:style>
  <w:style w:type="paragraph" w:customStyle="1" w:styleId="paragraph">
    <w:name w:val="paragraph"/>
    <w:basedOn w:val="Normal"/>
    <w:rsid w:val="00AF235A"/>
    <w:pPr>
      <w:suppressAutoHyphens w:val="0"/>
      <w:spacing w:before="100" w:beforeAutospacing="1" w:after="100" w:afterAutospacing="1" w:line="240" w:lineRule="auto"/>
    </w:pPr>
    <w:rPr>
      <w:sz w:val="24"/>
      <w:szCs w:val="24"/>
      <w:lang w:eastAsia="zh-CN"/>
    </w:rPr>
  </w:style>
  <w:style w:type="character" w:customStyle="1" w:styleId="normaltextrun">
    <w:name w:val="normaltextrun"/>
    <w:basedOn w:val="DefaultParagraphFont"/>
    <w:rsid w:val="00AF235A"/>
  </w:style>
  <w:style w:type="character" w:customStyle="1" w:styleId="eop">
    <w:name w:val="eop"/>
    <w:basedOn w:val="DefaultParagraphFont"/>
    <w:rsid w:val="00AF235A"/>
  </w:style>
  <w:style w:type="character" w:customStyle="1" w:styleId="scxw150156660">
    <w:name w:val="scxw150156660"/>
    <w:basedOn w:val="DefaultParagraphFont"/>
    <w:rsid w:val="00AF23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565731">
      <w:bodyDiv w:val="1"/>
      <w:marLeft w:val="0"/>
      <w:marRight w:val="0"/>
      <w:marTop w:val="0"/>
      <w:marBottom w:val="0"/>
      <w:divBdr>
        <w:top w:val="none" w:sz="0" w:space="0" w:color="auto"/>
        <w:left w:val="none" w:sz="0" w:space="0" w:color="auto"/>
        <w:bottom w:val="none" w:sz="0" w:space="0" w:color="auto"/>
        <w:right w:val="none" w:sz="0" w:space="0" w:color="auto"/>
      </w:divBdr>
      <w:divsChild>
        <w:div w:id="757674300">
          <w:marLeft w:val="0"/>
          <w:marRight w:val="0"/>
          <w:marTop w:val="0"/>
          <w:marBottom w:val="0"/>
          <w:divBdr>
            <w:top w:val="none" w:sz="0" w:space="0" w:color="auto"/>
            <w:left w:val="none" w:sz="0" w:space="0" w:color="auto"/>
            <w:bottom w:val="none" w:sz="0" w:space="0" w:color="auto"/>
            <w:right w:val="none" w:sz="0" w:space="0" w:color="auto"/>
          </w:divBdr>
        </w:div>
        <w:div w:id="1414738483">
          <w:marLeft w:val="0"/>
          <w:marRight w:val="0"/>
          <w:marTop w:val="0"/>
          <w:marBottom w:val="0"/>
          <w:divBdr>
            <w:top w:val="none" w:sz="0" w:space="0" w:color="auto"/>
            <w:left w:val="none" w:sz="0" w:space="0" w:color="auto"/>
            <w:bottom w:val="none" w:sz="0" w:space="0" w:color="auto"/>
            <w:right w:val="none" w:sz="0" w:space="0" w:color="auto"/>
          </w:divBdr>
        </w:div>
        <w:div w:id="1918205056">
          <w:marLeft w:val="0"/>
          <w:marRight w:val="0"/>
          <w:marTop w:val="0"/>
          <w:marBottom w:val="0"/>
          <w:divBdr>
            <w:top w:val="none" w:sz="0" w:space="0" w:color="auto"/>
            <w:left w:val="none" w:sz="0" w:space="0" w:color="auto"/>
            <w:bottom w:val="none" w:sz="0" w:space="0" w:color="auto"/>
            <w:right w:val="none" w:sz="0" w:space="0" w:color="auto"/>
          </w:divBdr>
        </w:div>
        <w:div w:id="1530023918">
          <w:marLeft w:val="0"/>
          <w:marRight w:val="0"/>
          <w:marTop w:val="0"/>
          <w:marBottom w:val="0"/>
          <w:divBdr>
            <w:top w:val="none" w:sz="0" w:space="0" w:color="auto"/>
            <w:left w:val="none" w:sz="0" w:space="0" w:color="auto"/>
            <w:bottom w:val="none" w:sz="0" w:space="0" w:color="auto"/>
            <w:right w:val="none" w:sz="0" w:space="0" w:color="auto"/>
          </w:divBdr>
        </w:div>
      </w:divsChild>
    </w:div>
    <w:div w:id="1409814105">
      <w:bodyDiv w:val="1"/>
      <w:marLeft w:val="0"/>
      <w:marRight w:val="0"/>
      <w:marTop w:val="0"/>
      <w:marBottom w:val="0"/>
      <w:divBdr>
        <w:top w:val="none" w:sz="0" w:space="0" w:color="auto"/>
        <w:left w:val="none" w:sz="0" w:space="0" w:color="auto"/>
        <w:bottom w:val="none" w:sz="0" w:space="0" w:color="auto"/>
        <w:right w:val="none" w:sz="0" w:space="0" w:color="auto"/>
      </w:divBdr>
      <w:divsChild>
        <w:div w:id="1043676004">
          <w:marLeft w:val="0"/>
          <w:marRight w:val="0"/>
          <w:marTop w:val="0"/>
          <w:marBottom w:val="0"/>
          <w:divBdr>
            <w:top w:val="none" w:sz="0" w:space="0" w:color="auto"/>
            <w:left w:val="none" w:sz="0" w:space="0" w:color="auto"/>
            <w:bottom w:val="none" w:sz="0" w:space="0" w:color="auto"/>
            <w:right w:val="none" w:sz="0" w:space="0" w:color="auto"/>
          </w:divBdr>
        </w:div>
        <w:div w:id="1004230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about:blan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s\UN-Docs2017\Templates\MPPP\MPPP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218fc245-16fb-4e80-b15a-44d5324d7fe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5BAD6B90F990844849380189D456564" ma:contentTypeVersion="14" ma:contentTypeDescription="Create a new document." ma:contentTypeScope="" ma:versionID="c5a05747911024e3eda16fb23ab92bec">
  <xsd:schema xmlns:xsd="http://www.w3.org/2001/XMLSchema" xmlns:xs="http://www.w3.org/2001/XMLSchema" xmlns:p="http://schemas.microsoft.com/office/2006/metadata/properties" xmlns:ns2="218fc245-16fb-4e80-b15a-44d5324d7fea" xmlns:ns3="c938e5d9-4d9f-46ad-8df2-2c223b949764" targetNamespace="http://schemas.microsoft.com/office/2006/metadata/properties" ma:root="true" ma:fieldsID="14640dafcded05448e0d099bd593117a" ns2:_="" ns3:_="">
    <xsd:import namespace="218fc245-16fb-4e80-b15a-44d5324d7fea"/>
    <xsd:import namespace="c938e5d9-4d9f-46ad-8df2-2c223b9497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3:SharedWithUsers" minOccurs="0"/>
                <xsd:element ref="ns3:SharedWithDetails" minOccurs="0"/>
                <xsd:element ref="ns2:dat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8fc245-16fb-4e80-b15a-44d5324d7f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e" ma:index="20" nillable="true" ma:displayName="date" ma:format="DateOnly" ma:internalName="dat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38e5d9-4d9f-46ad-8df2-2c223b94976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66D9BE-6600-48FC-B67B-3350AB0B005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18fc245-16fb-4e80-b15a-44d5324d7fea"/>
    <ds:schemaRef ds:uri="c938e5d9-4d9f-46ad-8df2-2c223b949764"/>
    <ds:schemaRef ds:uri="http://www.w3.org/XML/1998/namespace"/>
    <ds:schemaRef ds:uri="http://purl.org/dc/dcmitype/"/>
  </ds:schemaRefs>
</ds:datastoreItem>
</file>

<file path=customXml/itemProps2.xml><?xml version="1.0" encoding="utf-8"?>
<ds:datastoreItem xmlns:ds="http://schemas.openxmlformats.org/officeDocument/2006/customXml" ds:itemID="{6A4E4B29-24F7-4789-AF6A-B70082CE86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8fc245-16fb-4e80-b15a-44d5324d7fea"/>
    <ds:schemaRef ds:uri="c938e5d9-4d9f-46ad-8df2-2c223b9497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95224-7234-4DAA-BFF2-BA0216E8049E}">
  <ds:schemaRefs>
    <ds:schemaRef ds:uri="http://schemas.openxmlformats.org/officeDocument/2006/bibliography"/>
  </ds:schemaRefs>
</ds:datastoreItem>
</file>

<file path=customXml/itemProps4.xml><?xml version="1.0" encoding="utf-8"?>
<ds:datastoreItem xmlns:ds="http://schemas.openxmlformats.org/officeDocument/2006/customXml" ds:itemID="{E41499EB-B493-4D5D-B8F4-13B5871DA4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MPPP_E.dotm</Template>
  <TotalTime>1</TotalTime>
  <Pages>7</Pages>
  <Words>2566</Words>
  <Characters>13472</Characters>
  <Application>Microsoft Office Word</Application>
  <DocSecurity>0</DocSecurity>
  <Lines>842</Lines>
  <Paragraphs>391</Paragraphs>
  <ScaleCrop>false</ScaleCrop>
  <Company>CSD</Company>
  <LinksUpToDate>false</LinksUpToDate>
  <CharactersWithSpaces>15647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ECE/MP.PP/WG.1/2021/9</dc:title>
  <dc:creator>Sadaf Shamsie</dc:creator>
  <cp:lastModifiedBy>Sadaf Shamsie</cp:lastModifiedBy>
  <cp:revision>3</cp:revision>
  <cp:lastPrinted>2009-02-18T09:36:00Z</cp:lastPrinted>
  <dcterms:created xsi:type="dcterms:W3CDTF">2021-08-04T12:55:00Z</dcterms:created>
  <dcterms:modified xsi:type="dcterms:W3CDTF">2021-08-04T12:55:00Z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0x010100B5BAD6B90F990844849380189D456564</vt:lpwstr>
  </property>
</Properties>
</file>