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6B69" w:rsidRPr="00036740" w14:paraId="194057E0" w14:textId="77777777" w:rsidTr="00A87C58">
        <w:trPr>
          <w:cantSplit/>
          <w:trHeight w:hRule="exact" w:val="851"/>
        </w:trPr>
        <w:tc>
          <w:tcPr>
            <w:tcW w:w="1276" w:type="dxa"/>
            <w:tcBorders>
              <w:bottom w:val="single" w:sz="4" w:space="0" w:color="auto"/>
            </w:tcBorders>
            <w:vAlign w:val="bottom"/>
          </w:tcPr>
          <w:p w14:paraId="2B5353C5" w14:textId="77777777" w:rsidR="00A16B69" w:rsidRPr="00036740" w:rsidRDefault="00A16B69" w:rsidP="00A87C58">
            <w:pPr>
              <w:spacing w:after="80"/>
            </w:pPr>
          </w:p>
        </w:tc>
        <w:tc>
          <w:tcPr>
            <w:tcW w:w="2268" w:type="dxa"/>
            <w:tcBorders>
              <w:bottom w:val="single" w:sz="4" w:space="0" w:color="auto"/>
            </w:tcBorders>
            <w:vAlign w:val="bottom"/>
          </w:tcPr>
          <w:p w14:paraId="36C186DB" w14:textId="77777777" w:rsidR="00A16B69" w:rsidRPr="00036740" w:rsidRDefault="00A16B69" w:rsidP="00A87C58">
            <w:pPr>
              <w:spacing w:after="80" w:line="300" w:lineRule="exact"/>
              <w:rPr>
                <w:b/>
                <w:sz w:val="24"/>
                <w:szCs w:val="24"/>
              </w:rPr>
            </w:pPr>
            <w:r w:rsidRPr="00036740">
              <w:rPr>
                <w:sz w:val="28"/>
                <w:szCs w:val="28"/>
              </w:rPr>
              <w:t>United Nations</w:t>
            </w:r>
          </w:p>
        </w:tc>
        <w:tc>
          <w:tcPr>
            <w:tcW w:w="6095" w:type="dxa"/>
            <w:gridSpan w:val="2"/>
            <w:tcBorders>
              <w:bottom w:val="single" w:sz="4" w:space="0" w:color="auto"/>
            </w:tcBorders>
            <w:vAlign w:val="bottom"/>
          </w:tcPr>
          <w:p w14:paraId="395F54AE" w14:textId="28AD23E8" w:rsidR="00A16B69" w:rsidRPr="00036740" w:rsidRDefault="0071142D" w:rsidP="00A87C58">
            <w:pPr>
              <w:jc w:val="right"/>
            </w:pPr>
            <w:r w:rsidRPr="0071142D">
              <w:t xml:space="preserve">(Advance edited </w:t>
            </w:r>
            <w:proofErr w:type="gramStart"/>
            <w:r w:rsidRPr="0071142D">
              <w:t>copy)</w:t>
            </w:r>
            <w:r>
              <w:rPr>
                <w:sz w:val="40"/>
              </w:rPr>
              <w:t xml:space="preserve">   </w:t>
            </w:r>
            <w:proofErr w:type="gramEnd"/>
            <w:r w:rsidR="00A16B69" w:rsidRPr="00036740">
              <w:rPr>
                <w:sz w:val="40"/>
              </w:rPr>
              <w:t>ECE</w:t>
            </w:r>
            <w:r w:rsidR="00A16B69" w:rsidRPr="00036740">
              <w:t>/MP.PP/20</w:t>
            </w:r>
            <w:r w:rsidR="00A16B69">
              <w:t>2</w:t>
            </w:r>
            <w:r w:rsidR="00A16B69" w:rsidRPr="00036740">
              <w:t>1/1</w:t>
            </w:r>
            <w:r w:rsidR="00C261D3">
              <w:t>0</w:t>
            </w:r>
          </w:p>
        </w:tc>
      </w:tr>
      <w:tr w:rsidR="00A16B69" w:rsidRPr="00036740" w14:paraId="6609804F" w14:textId="77777777" w:rsidTr="00A87C58">
        <w:trPr>
          <w:cantSplit/>
          <w:trHeight w:hRule="exact" w:val="2835"/>
        </w:trPr>
        <w:tc>
          <w:tcPr>
            <w:tcW w:w="1276" w:type="dxa"/>
            <w:tcBorders>
              <w:top w:val="single" w:sz="4" w:space="0" w:color="auto"/>
              <w:bottom w:val="single" w:sz="12" w:space="0" w:color="auto"/>
            </w:tcBorders>
          </w:tcPr>
          <w:p w14:paraId="5477FCD9" w14:textId="77777777" w:rsidR="00A16B69" w:rsidRPr="00036740" w:rsidRDefault="00A16B69" w:rsidP="00A87C58">
            <w:pPr>
              <w:spacing w:before="120"/>
            </w:pPr>
            <w:r w:rsidRPr="00036740">
              <w:rPr>
                <w:noProof/>
                <w:lang w:eastAsia="en-GB"/>
              </w:rPr>
              <w:drawing>
                <wp:inline distT="0" distB="0" distL="0" distR="0" wp14:anchorId="5AB42E1B" wp14:editId="4D5996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2BEDD2" w14:textId="77777777" w:rsidR="00A16B69" w:rsidRPr="00036740" w:rsidRDefault="00A16B69" w:rsidP="00A87C58">
            <w:pPr>
              <w:spacing w:before="120" w:line="420" w:lineRule="exact"/>
              <w:rPr>
                <w:sz w:val="40"/>
                <w:szCs w:val="40"/>
              </w:rPr>
            </w:pPr>
            <w:r w:rsidRPr="00036740">
              <w:rPr>
                <w:b/>
                <w:sz w:val="40"/>
                <w:szCs w:val="40"/>
              </w:rPr>
              <w:t>Economic and Social Council</w:t>
            </w:r>
          </w:p>
        </w:tc>
        <w:tc>
          <w:tcPr>
            <w:tcW w:w="2835" w:type="dxa"/>
            <w:tcBorders>
              <w:top w:val="single" w:sz="4" w:space="0" w:color="auto"/>
              <w:bottom w:val="single" w:sz="12" w:space="0" w:color="auto"/>
            </w:tcBorders>
          </w:tcPr>
          <w:p w14:paraId="224F54BA" w14:textId="77777777" w:rsidR="00A16B69" w:rsidRPr="00036740" w:rsidRDefault="00A16B69" w:rsidP="00A87C58">
            <w:pPr>
              <w:spacing w:before="240" w:line="240" w:lineRule="exact"/>
            </w:pPr>
            <w:r w:rsidRPr="00036740">
              <w:t>Distr.: General</w:t>
            </w:r>
          </w:p>
          <w:p w14:paraId="58722954" w14:textId="0A4F3B42" w:rsidR="00A16B69" w:rsidRPr="00036740" w:rsidRDefault="002C200F" w:rsidP="00A87C58">
            <w:pPr>
              <w:spacing w:line="240" w:lineRule="exact"/>
            </w:pPr>
            <w:r>
              <w:t>21</w:t>
            </w:r>
            <w:r w:rsidR="00A16B69" w:rsidRPr="00036740">
              <w:t xml:space="preserve"> </w:t>
            </w:r>
            <w:r w:rsidR="00A16B69">
              <w:t>July</w:t>
            </w:r>
            <w:r w:rsidR="00A16B69" w:rsidRPr="00036740">
              <w:t xml:space="preserve"> 20</w:t>
            </w:r>
            <w:r w:rsidR="00A16B69">
              <w:t>2</w:t>
            </w:r>
            <w:r w:rsidR="00A16B69" w:rsidRPr="00036740">
              <w:t>1</w:t>
            </w:r>
          </w:p>
          <w:p w14:paraId="2EA8597A" w14:textId="77777777" w:rsidR="00A16B69" w:rsidRPr="00036740" w:rsidRDefault="00A16B69" w:rsidP="00A87C58">
            <w:pPr>
              <w:spacing w:line="240" w:lineRule="exact"/>
            </w:pPr>
          </w:p>
          <w:p w14:paraId="0B7D6E9F" w14:textId="77777777" w:rsidR="00A16B69" w:rsidRPr="00036740" w:rsidRDefault="00A16B69" w:rsidP="00A87C58">
            <w:pPr>
              <w:spacing w:line="240" w:lineRule="exact"/>
            </w:pPr>
            <w:r w:rsidRPr="00036740">
              <w:t>Original: English</w:t>
            </w:r>
          </w:p>
        </w:tc>
      </w:tr>
    </w:tbl>
    <w:p w14:paraId="158C3988" w14:textId="77777777" w:rsidR="00A16B69" w:rsidRPr="00036740" w:rsidRDefault="00A16B69" w:rsidP="00A16B69">
      <w:pPr>
        <w:spacing w:before="120"/>
        <w:rPr>
          <w:b/>
          <w:sz w:val="28"/>
          <w:szCs w:val="28"/>
        </w:rPr>
      </w:pPr>
      <w:r w:rsidRPr="00036740">
        <w:rPr>
          <w:b/>
          <w:sz w:val="28"/>
          <w:szCs w:val="28"/>
        </w:rPr>
        <w:t>Economic Commission for Europe</w:t>
      </w:r>
    </w:p>
    <w:p w14:paraId="3F87E049" w14:textId="77777777" w:rsidR="00A16B69" w:rsidRPr="00036740" w:rsidRDefault="00A16B69" w:rsidP="00A16B69">
      <w:pPr>
        <w:spacing w:before="120"/>
        <w:rPr>
          <w:sz w:val="28"/>
          <w:szCs w:val="28"/>
        </w:rPr>
      </w:pPr>
      <w:r w:rsidRPr="00036740">
        <w:rPr>
          <w:sz w:val="28"/>
          <w:szCs w:val="28"/>
        </w:rPr>
        <w:t xml:space="preserve">Meeting of the Parties to the Convention on </w:t>
      </w:r>
      <w:r w:rsidRPr="00036740">
        <w:rPr>
          <w:sz w:val="28"/>
          <w:szCs w:val="28"/>
        </w:rPr>
        <w:br/>
        <w:t xml:space="preserve">Access to Information, Public Participation </w:t>
      </w:r>
      <w:r w:rsidRPr="00036740">
        <w:rPr>
          <w:sz w:val="28"/>
          <w:szCs w:val="28"/>
        </w:rPr>
        <w:br/>
        <w:t xml:space="preserve">in Decision-making and Access to Justice </w:t>
      </w:r>
      <w:r w:rsidRPr="00036740">
        <w:rPr>
          <w:sz w:val="28"/>
          <w:szCs w:val="28"/>
        </w:rPr>
        <w:br/>
        <w:t>in Environmental Matters</w:t>
      </w:r>
    </w:p>
    <w:p w14:paraId="3A2B0396" w14:textId="77777777" w:rsidR="004E618D" w:rsidRPr="00C82C69" w:rsidRDefault="004E618D" w:rsidP="004E618D">
      <w:pPr>
        <w:spacing w:before="120"/>
        <w:rPr>
          <w:b/>
          <w:bCs/>
        </w:rPr>
      </w:pPr>
      <w:r w:rsidRPr="00C82C69">
        <w:rPr>
          <w:b/>
          <w:bCs/>
        </w:rPr>
        <w:t>Seventh session</w:t>
      </w:r>
    </w:p>
    <w:p w14:paraId="1F357107" w14:textId="011E92FE" w:rsidR="004E618D" w:rsidRPr="00C82C69" w:rsidRDefault="004E618D" w:rsidP="004E618D">
      <w:r w:rsidRPr="00C82C69">
        <w:t>Geneva, 18</w:t>
      </w:r>
      <w:r w:rsidR="008C29F6" w:rsidRPr="00B5211D">
        <w:t>–</w:t>
      </w:r>
      <w:r w:rsidRPr="00C82C69">
        <w:t>2</w:t>
      </w:r>
      <w:r>
        <w:t>0</w:t>
      </w:r>
      <w:r w:rsidRPr="00C82C69">
        <w:t xml:space="preserve"> October 2021</w:t>
      </w:r>
    </w:p>
    <w:p w14:paraId="603DE3B8" w14:textId="24ECBD91" w:rsidR="004E618D" w:rsidRPr="00C82C69" w:rsidRDefault="004E618D" w:rsidP="004E618D">
      <w:pPr>
        <w:spacing w:line="240" w:lineRule="auto"/>
      </w:pPr>
      <w:r w:rsidRPr="00C82C69">
        <w:t>Item 6 (</w:t>
      </w:r>
      <w:r w:rsidR="00027A93">
        <w:t>c</w:t>
      </w:r>
      <w:r w:rsidRPr="00C82C69">
        <w:t>) of the provisional agenda</w:t>
      </w:r>
    </w:p>
    <w:p w14:paraId="24B45B3A" w14:textId="10F2946E" w:rsidR="00483CBC" w:rsidRPr="00425945" w:rsidRDefault="00FB1E05" w:rsidP="00483CBC">
      <w:pPr>
        <w:rPr>
          <w:b/>
          <w:bCs/>
        </w:rPr>
      </w:pPr>
      <w:r w:rsidRPr="00C82C69">
        <w:rPr>
          <w:rStyle w:val="Strong"/>
        </w:rPr>
        <w:t>Substantive issues:</w:t>
      </w:r>
      <w:r>
        <w:rPr>
          <w:rStyle w:val="Strong"/>
        </w:rPr>
        <w:t xml:space="preserve"> </w:t>
      </w:r>
      <w:r w:rsidR="00483CBC">
        <w:rPr>
          <w:b/>
          <w:bCs/>
        </w:rPr>
        <w:t>access to justice</w:t>
      </w:r>
    </w:p>
    <w:p w14:paraId="361C7E56" w14:textId="655C7D4E" w:rsidR="00483CBC" w:rsidRPr="00425945" w:rsidRDefault="00483CBC" w:rsidP="00483CBC">
      <w:pPr>
        <w:pStyle w:val="HChG"/>
        <w:rPr>
          <w:i/>
          <w:sz w:val="22"/>
          <w:szCs w:val="22"/>
        </w:rPr>
      </w:pPr>
      <w:r w:rsidRPr="00425945">
        <w:tab/>
      </w:r>
      <w:r w:rsidRPr="00425945">
        <w:tab/>
      </w:r>
      <w:r>
        <w:t>Draft d</w:t>
      </w:r>
      <w:r w:rsidRPr="004118C5">
        <w:t>ecision VI</w:t>
      </w:r>
      <w:r>
        <w:t>I/</w:t>
      </w:r>
      <w:r w:rsidR="00FB1E05">
        <w:t>3 on p</w:t>
      </w:r>
      <w:r w:rsidRPr="004118C5">
        <w:t xml:space="preserve">romoting effective access to </w:t>
      </w:r>
      <w:r>
        <w:t>justice</w:t>
      </w:r>
    </w:p>
    <w:p w14:paraId="29B75D3A" w14:textId="1BBB577B" w:rsidR="005C187A" w:rsidRDefault="00483CBC" w:rsidP="002F73CD">
      <w:pPr>
        <w:pStyle w:val="H1G"/>
      </w:pPr>
      <w:r w:rsidRPr="00425945">
        <w:tab/>
      </w:r>
      <w:r w:rsidRPr="00425945">
        <w:tab/>
        <w:t>Prepared 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83CBC" w14:paraId="3622B4D7" w14:textId="77777777" w:rsidTr="000F2242">
        <w:trPr>
          <w:jc w:val="center"/>
        </w:trPr>
        <w:tc>
          <w:tcPr>
            <w:tcW w:w="9629" w:type="dxa"/>
            <w:tcBorders>
              <w:top w:val="single" w:sz="4" w:space="0" w:color="auto"/>
              <w:bottom w:val="nil"/>
            </w:tcBorders>
            <w:shd w:val="clear" w:color="auto" w:fill="auto"/>
          </w:tcPr>
          <w:p w14:paraId="2A37B4E0" w14:textId="77777777" w:rsidR="00483CBC" w:rsidRPr="00C6263E" w:rsidRDefault="00483CBC" w:rsidP="00B449F7">
            <w:pPr>
              <w:spacing w:before="240" w:after="120"/>
              <w:ind w:left="255"/>
              <w:rPr>
                <w:i/>
                <w:sz w:val="24"/>
              </w:rPr>
            </w:pPr>
            <w:r w:rsidRPr="00C6263E">
              <w:rPr>
                <w:i/>
                <w:sz w:val="24"/>
              </w:rPr>
              <w:t>Summary</w:t>
            </w:r>
          </w:p>
        </w:tc>
      </w:tr>
      <w:tr w:rsidR="00483CBC" w14:paraId="165C408C" w14:textId="77777777" w:rsidTr="000F2242">
        <w:trPr>
          <w:jc w:val="center"/>
        </w:trPr>
        <w:tc>
          <w:tcPr>
            <w:tcW w:w="9629" w:type="dxa"/>
            <w:tcBorders>
              <w:top w:val="nil"/>
              <w:bottom w:val="nil"/>
            </w:tcBorders>
            <w:shd w:val="clear" w:color="auto" w:fill="auto"/>
          </w:tcPr>
          <w:p w14:paraId="369EBBF1" w14:textId="7E075168" w:rsidR="00961304" w:rsidRDefault="00483CBC" w:rsidP="006F6D0D">
            <w:pPr>
              <w:pStyle w:val="SingleTxtG"/>
              <w:spacing w:after="60" w:line="240" w:lineRule="auto"/>
            </w:pPr>
            <w:r>
              <w:tab/>
            </w:r>
            <w:r>
              <w:tab/>
            </w:r>
            <w:r w:rsidRPr="000C6190">
              <w:t xml:space="preserve">The present document sets out a draft decision on promoting effective access to </w:t>
            </w:r>
            <w:r>
              <w:t>justice</w:t>
            </w:r>
            <w:r w:rsidR="006F6D0D">
              <w:t xml:space="preserve"> </w:t>
            </w:r>
            <w:r w:rsidR="006F6D0D" w:rsidRPr="00CD2024">
              <w:t>prepared by the Bureau</w:t>
            </w:r>
            <w:r w:rsidRPr="00A64B94">
              <w:t xml:space="preserve"> of the Parties to the Convention on Access to Information, Public Participation in </w:t>
            </w:r>
            <w:proofErr w:type="gramStart"/>
            <w:r w:rsidRPr="00A64B94">
              <w:t>Decision-making</w:t>
            </w:r>
            <w:proofErr w:type="gramEnd"/>
            <w:r w:rsidRPr="00A64B94">
              <w:t xml:space="preserve"> and Access to Justice in Environmental Matters</w:t>
            </w:r>
            <w:r w:rsidR="00A47271">
              <w:t xml:space="preserve"> (Aarhus Convention)</w:t>
            </w:r>
            <w:r w:rsidR="00DC09F8">
              <w:t xml:space="preserve">. </w:t>
            </w:r>
            <w:r w:rsidRPr="00A64B94">
              <w:t xml:space="preserve"> </w:t>
            </w:r>
          </w:p>
          <w:p w14:paraId="47C62255" w14:textId="675B1093" w:rsidR="00483CBC" w:rsidRDefault="0071311B" w:rsidP="006F6D0D">
            <w:pPr>
              <w:pStyle w:val="SingleTxtG"/>
              <w:spacing w:after="60" w:line="240" w:lineRule="auto"/>
            </w:pPr>
            <w:r>
              <w:tab/>
            </w:r>
            <w:r>
              <w:tab/>
            </w:r>
            <w:r w:rsidR="00961304" w:rsidRPr="002A29C9">
              <w:t xml:space="preserve">The Working Group of the Parties to the Convention at its </w:t>
            </w:r>
            <w:r w:rsidR="00483CBC" w:rsidRPr="00A64B94">
              <w:t>twent</w:t>
            </w:r>
            <w:r w:rsidR="00483CBC" w:rsidRPr="00F86D81">
              <w:t xml:space="preserve">y-fourth meeting </w:t>
            </w:r>
            <w:r w:rsidR="00483CBC" w:rsidRPr="007D3D0C">
              <w:t>(</w:t>
            </w:r>
            <w:r w:rsidR="00483CBC">
              <w:t xml:space="preserve">Geneva, </w:t>
            </w:r>
            <w:r w:rsidR="00483CBC" w:rsidRPr="00A64B94">
              <w:t>1</w:t>
            </w:r>
            <w:r w:rsidR="00483CBC" w:rsidRPr="00B5211D">
              <w:t>–</w:t>
            </w:r>
            <w:r w:rsidR="00483CBC" w:rsidRPr="00A64B94">
              <w:t xml:space="preserve">3 July </w:t>
            </w:r>
            <w:r w:rsidR="00483CBC" w:rsidRPr="00F86D81">
              <w:t>and</w:t>
            </w:r>
            <w:r w:rsidR="00483CBC">
              <w:t xml:space="preserve"> </w:t>
            </w:r>
            <w:r w:rsidR="00483CBC" w:rsidRPr="00CD2024">
              <w:t>2</w:t>
            </w:r>
            <w:r w:rsidR="000A3E62">
              <w:t>8</w:t>
            </w:r>
            <w:r w:rsidR="00483CBC">
              <w:t xml:space="preserve"> and </w:t>
            </w:r>
            <w:r w:rsidR="000A3E62">
              <w:t>29</w:t>
            </w:r>
            <w:r w:rsidR="00483CBC" w:rsidRPr="00CD2024">
              <w:t xml:space="preserve"> October 2020</w:t>
            </w:r>
            <w:r w:rsidR="00483CBC" w:rsidRPr="007D3D0C">
              <w:t>)</w:t>
            </w:r>
            <w:r w:rsidR="00483CBC" w:rsidRPr="00CD2024">
              <w:t xml:space="preserve"> requested the Bureau to prepare a draft decision</w:t>
            </w:r>
            <w:r w:rsidR="00483CBC" w:rsidRPr="00A64B94">
              <w:t xml:space="preserve"> on access to </w:t>
            </w:r>
            <w:r w:rsidR="00483CBC">
              <w:t>justice</w:t>
            </w:r>
            <w:r w:rsidR="00483CBC" w:rsidRPr="00A64B94">
              <w:t xml:space="preserve"> for the seventh</w:t>
            </w:r>
            <w:r w:rsidR="00483CBC" w:rsidRPr="00F86D81">
              <w:t xml:space="preserve"> session of the Meeting of the Parties (</w:t>
            </w:r>
            <w:r w:rsidR="009724E4" w:rsidRPr="005D41F1">
              <w:t>ECE/MP.PP/</w:t>
            </w:r>
            <w:r w:rsidR="009724E4">
              <w:t>WG.1/2020/2</w:t>
            </w:r>
            <w:r w:rsidR="00483CBC" w:rsidRPr="00CD2024">
              <w:t>).</w:t>
            </w:r>
          </w:p>
          <w:p w14:paraId="7D8D8ED8" w14:textId="32F720B5" w:rsidR="00483CBC" w:rsidRDefault="00483CBC" w:rsidP="00483CBC">
            <w:pPr>
              <w:pStyle w:val="SingleTxtG"/>
              <w:spacing w:after="60" w:line="240" w:lineRule="auto"/>
            </w:pPr>
            <w:r>
              <w:tab/>
            </w:r>
            <w:r>
              <w:tab/>
            </w:r>
            <w:r w:rsidRPr="00CD2024">
              <w:t>The present document was prepared by the Bureau on the basis of</w:t>
            </w:r>
            <w:r>
              <w:t>:</w:t>
            </w:r>
            <w:r w:rsidRPr="00CD2024">
              <w:t xml:space="preserve"> the relevant outcomes of the twenty-fourth meeting of the Working Group of the Parties; the Note by the Chair of the Task Force on Access to </w:t>
            </w:r>
            <w:r>
              <w:t>Justice</w:t>
            </w:r>
            <w:r w:rsidRPr="00CD2024">
              <w:t xml:space="preserve"> (AC/WGP-24/Inf.</w:t>
            </w:r>
            <w:r>
              <w:t>3</w:t>
            </w:r>
            <w:r w:rsidRPr="00CD2024">
              <w:t xml:space="preserve">); the outcomes of the work undertaken by the Task Force on Access to </w:t>
            </w:r>
            <w:r>
              <w:t>Justice</w:t>
            </w:r>
            <w:r w:rsidRPr="00CD2024">
              <w:t xml:space="preserve"> in the current intersession</w:t>
            </w:r>
            <w:r>
              <w:t>al</w:t>
            </w:r>
            <w:r w:rsidRPr="00CD2024">
              <w:t xml:space="preserve"> period</w:t>
            </w:r>
            <w:r>
              <w:t>;</w:t>
            </w:r>
            <w:r w:rsidRPr="00CD2024">
              <w:t xml:space="preserve"> </w:t>
            </w:r>
            <w:r w:rsidRPr="00A64B94">
              <w:t xml:space="preserve">and </w:t>
            </w:r>
            <w:r w:rsidRPr="00F86D81">
              <w:t>decision VI</w:t>
            </w:r>
            <w:r w:rsidRPr="00CD2024">
              <w:t>/</w:t>
            </w:r>
            <w:r>
              <w:t>3</w:t>
            </w:r>
            <w:r w:rsidRPr="00CD2024">
              <w:t xml:space="preserve"> on </w:t>
            </w:r>
            <w:r>
              <w:t>promoting effective access to justice</w:t>
            </w:r>
            <w:r w:rsidR="006B5456">
              <w:t xml:space="preserve"> (</w:t>
            </w:r>
            <w:r w:rsidR="006B5456" w:rsidRPr="005D41F1">
              <w:t>ECE/MP.PP/2017/2/Add.1</w:t>
            </w:r>
            <w:r w:rsidR="006B5456">
              <w:t>)</w:t>
            </w:r>
            <w:r w:rsidRPr="00CD2024">
              <w:t>, adopted by the Meeting of the Parties at its sixth session (</w:t>
            </w:r>
            <w:proofErr w:type="spellStart"/>
            <w:r w:rsidRPr="00CD2024">
              <w:t>Budva</w:t>
            </w:r>
            <w:proofErr w:type="spellEnd"/>
            <w:r w:rsidRPr="00CD2024">
              <w:t>, Montenegro, 11–1</w:t>
            </w:r>
            <w:r>
              <w:t>4</w:t>
            </w:r>
            <w:r w:rsidRPr="00CD2024">
              <w:t xml:space="preserve"> September 2017). </w:t>
            </w:r>
          </w:p>
          <w:p w14:paraId="64871930" w14:textId="43551E6A" w:rsidR="00483CBC" w:rsidRDefault="00483CBC" w:rsidP="00483CBC">
            <w:pPr>
              <w:pStyle w:val="SingleTxtG"/>
              <w:spacing w:after="60" w:line="240" w:lineRule="auto"/>
            </w:pPr>
            <w:r>
              <w:tab/>
            </w:r>
            <w:r>
              <w:tab/>
            </w:r>
            <w:r w:rsidRPr="0020650D">
              <w:t>There were opportunities for open-ended consultations among national focal points and stakeholders on the present draft document after the twenty-fourth meeting of the Working Group. The Bureau revised the draft document thereafter in the light of the comments received and submitted it to the Working Group for consideration and approval at its twenty-fifth meeting</w:t>
            </w:r>
            <w:r w:rsidR="009326F1">
              <w:t xml:space="preserve"> (Geneva, 3 May and 7 and 8 June 2021)</w:t>
            </w:r>
            <w:r w:rsidRPr="0020650D">
              <w:t>, with a view to its subsequent submission to the Meeting of the Parties for consideration at its seventh session.</w:t>
            </w:r>
          </w:p>
          <w:p w14:paraId="6C80702C" w14:textId="2B97C4F3" w:rsidR="00483CBC" w:rsidRPr="00483CBC" w:rsidRDefault="0071311B" w:rsidP="00483CBC">
            <w:pPr>
              <w:pStyle w:val="FootnoteText"/>
              <w:ind w:hanging="10"/>
              <w:rPr>
                <w:szCs w:val="18"/>
                <w:lang w:val="en-US"/>
              </w:rPr>
            </w:pPr>
            <w:r>
              <w:rPr>
                <w:sz w:val="20"/>
              </w:rPr>
              <w:tab/>
            </w:r>
            <w:r>
              <w:rPr>
                <w:sz w:val="20"/>
              </w:rPr>
              <w:tab/>
            </w:r>
            <w:r>
              <w:rPr>
                <w:sz w:val="20"/>
              </w:rPr>
              <w:tab/>
            </w:r>
            <w:r w:rsidR="009F5AE3" w:rsidRPr="00B852A1">
              <w:rPr>
                <w:sz w:val="20"/>
              </w:rPr>
              <w:t xml:space="preserve">At its twenty-fifth meeting the Working Group revised and approved, as amended at the meeting, the draft decision on promoting effective access to </w:t>
            </w:r>
            <w:r w:rsidR="009022CF">
              <w:rPr>
                <w:sz w:val="20"/>
              </w:rPr>
              <w:t>justice</w:t>
            </w:r>
            <w:r w:rsidR="009022CF" w:rsidRPr="00B852A1">
              <w:rPr>
                <w:sz w:val="20"/>
              </w:rPr>
              <w:t xml:space="preserve"> </w:t>
            </w:r>
            <w:r w:rsidR="009F5AE3" w:rsidRPr="00B852A1">
              <w:rPr>
                <w:sz w:val="20"/>
              </w:rPr>
              <w:t>(AC/WGP-25/CRP.</w:t>
            </w:r>
            <w:r w:rsidR="00352F9A">
              <w:rPr>
                <w:sz w:val="20"/>
              </w:rPr>
              <w:t>5</w:t>
            </w:r>
            <w:r w:rsidR="009F5AE3" w:rsidRPr="00B852A1">
              <w:rPr>
                <w:sz w:val="20"/>
              </w:rPr>
              <w:t>) and requested the secretariat to submit it to the Meeting of the Parties for consideration at its seventh</w:t>
            </w:r>
            <w:r w:rsidR="009F5AE3">
              <w:rPr>
                <w:sz w:val="20"/>
              </w:rPr>
              <w:t xml:space="preserve"> session</w:t>
            </w:r>
            <w:r w:rsidR="009F5AE3" w:rsidRPr="00B852A1">
              <w:rPr>
                <w:sz w:val="20"/>
              </w:rPr>
              <w:t>.</w:t>
            </w:r>
          </w:p>
        </w:tc>
      </w:tr>
      <w:tr w:rsidR="00483CBC" w14:paraId="61595995" w14:textId="77777777" w:rsidTr="000F2242">
        <w:trPr>
          <w:jc w:val="center"/>
        </w:trPr>
        <w:tc>
          <w:tcPr>
            <w:tcW w:w="9629" w:type="dxa"/>
            <w:tcBorders>
              <w:top w:val="nil"/>
            </w:tcBorders>
            <w:shd w:val="clear" w:color="auto" w:fill="auto"/>
          </w:tcPr>
          <w:p w14:paraId="6C24F860" w14:textId="77777777" w:rsidR="00483CBC" w:rsidRDefault="00483CBC" w:rsidP="00B449F7"/>
        </w:tc>
      </w:tr>
    </w:tbl>
    <w:p w14:paraId="531C1A67" w14:textId="231F8DB8" w:rsidR="00483CBC" w:rsidRPr="000F2242" w:rsidRDefault="004D158A" w:rsidP="000F2242">
      <w:pPr>
        <w:pStyle w:val="SingleTxtG"/>
        <w:ind w:left="1701"/>
        <w:rPr>
          <w:i/>
          <w:iCs/>
        </w:rPr>
      </w:pPr>
      <w:r>
        <w:br w:type="page"/>
      </w:r>
      <w:r w:rsidR="00483CBC" w:rsidRPr="000F2242">
        <w:rPr>
          <w:i/>
          <w:iCs/>
        </w:rPr>
        <w:lastRenderedPageBreak/>
        <w:t xml:space="preserve">The Meeting of the Parties, </w:t>
      </w:r>
    </w:p>
    <w:p w14:paraId="782DB602" w14:textId="77777777" w:rsidR="00483CBC" w:rsidRPr="003D10AB" w:rsidRDefault="00483CBC" w:rsidP="00483CBC">
      <w:pPr>
        <w:pStyle w:val="SingleTxtG"/>
      </w:pPr>
      <w:r>
        <w:tab/>
      </w:r>
      <w:r>
        <w:tab/>
      </w:r>
      <w:r w:rsidRPr="004118C5">
        <w:rPr>
          <w:i/>
        </w:rPr>
        <w:t>Recalling</w:t>
      </w:r>
      <w:r w:rsidRPr="004118C5">
        <w:t xml:space="preserve"> the provisions of article 9 and other relevant provisions of the Convention on </w:t>
      </w:r>
      <w:r w:rsidRPr="003D10AB">
        <w:t xml:space="preserve">Access to Information, Public Participation in </w:t>
      </w:r>
      <w:proofErr w:type="gramStart"/>
      <w:r w:rsidRPr="003D10AB">
        <w:t>Decision-making</w:t>
      </w:r>
      <w:proofErr w:type="gramEnd"/>
      <w:r w:rsidRPr="003D10AB">
        <w:t xml:space="preserve"> and Access to Justice in Environmental Matters,</w:t>
      </w:r>
    </w:p>
    <w:p w14:paraId="0CAC6DB4" w14:textId="33DEF68B" w:rsidR="00483CBC" w:rsidRPr="003D10AB" w:rsidRDefault="00483CBC" w:rsidP="00483CBC">
      <w:pPr>
        <w:pStyle w:val="SingleTxtG"/>
        <w:ind w:firstLine="567"/>
      </w:pPr>
      <w:r w:rsidRPr="003D10AB">
        <w:rPr>
          <w:i/>
        </w:rPr>
        <w:t>Also recalling</w:t>
      </w:r>
      <w:r w:rsidRPr="003D10AB">
        <w:t xml:space="preserve"> its decisions I/5,</w:t>
      </w:r>
      <w:r>
        <w:rPr>
          <w:rStyle w:val="FootnoteReference"/>
        </w:rPr>
        <w:footnoteReference w:id="2"/>
      </w:r>
      <w:r w:rsidRPr="003D10AB">
        <w:t xml:space="preserve"> II/2,</w:t>
      </w:r>
      <w:r>
        <w:rPr>
          <w:rStyle w:val="FootnoteReference"/>
        </w:rPr>
        <w:footnoteReference w:id="3"/>
      </w:r>
      <w:r w:rsidRPr="003D10AB">
        <w:t xml:space="preserve"> III/3,</w:t>
      </w:r>
      <w:r>
        <w:rPr>
          <w:rStyle w:val="FootnoteReference"/>
        </w:rPr>
        <w:footnoteReference w:id="4"/>
      </w:r>
      <w:r w:rsidRPr="003D10AB">
        <w:t xml:space="preserve"> IV/2,</w:t>
      </w:r>
      <w:r>
        <w:rPr>
          <w:rStyle w:val="FootnoteReference"/>
        </w:rPr>
        <w:footnoteReference w:id="5"/>
      </w:r>
      <w:r w:rsidRPr="003D10AB">
        <w:t xml:space="preserve"> V/3</w:t>
      </w:r>
      <w:r>
        <w:rPr>
          <w:rStyle w:val="FootnoteReference"/>
        </w:rPr>
        <w:footnoteReference w:id="6"/>
      </w:r>
      <w:r w:rsidRPr="003D10AB">
        <w:t xml:space="preserve"> and VI/3</w:t>
      </w:r>
      <w:r>
        <w:rPr>
          <w:rStyle w:val="FootnoteReference"/>
        </w:rPr>
        <w:footnoteReference w:id="7"/>
      </w:r>
      <w:r w:rsidRPr="003D10AB">
        <w:t xml:space="preserve"> on promoting effective access to justice, VII/</w:t>
      </w:r>
      <w:r w:rsidR="00FC3147">
        <w:t xml:space="preserve">11 </w:t>
      </w:r>
      <w:r w:rsidRPr="003D10AB">
        <w:t>on the strategic plan for 2022</w:t>
      </w:r>
      <w:bookmarkStart w:id="0" w:name="_Hlk63363242"/>
      <w:r w:rsidRPr="003D10AB">
        <w:t>–</w:t>
      </w:r>
      <w:bookmarkEnd w:id="0"/>
      <w:r w:rsidRPr="003D10AB">
        <w:t>2030</w:t>
      </w:r>
      <w:r w:rsidR="00FB102F">
        <w:rPr>
          <w:rStyle w:val="FootnoteReference"/>
        </w:rPr>
        <w:footnoteReference w:id="8"/>
      </w:r>
      <w:r w:rsidRPr="000833B4">
        <w:t xml:space="preserve"> </w:t>
      </w:r>
      <w:r w:rsidRPr="00B6629A">
        <w:t>and V</w:t>
      </w:r>
      <w:r w:rsidRPr="0045182D">
        <w:t>I</w:t>
      </w:r>
      <w:r w:rsidRPr="003D10AB">
        <w:t>I/</w:t>
      </w:r>
      <w:r w:rsidR="00FC3147">
        <w:t>5</w:t>
      </w:r>
      <w:r w:rsidRPr="003D10AB">
        <w:t xml:space="preserve"> on the work programme for 2022</w:t>
      </w:r>
      <w:r w:rsidRPr="008B00EE">
        <w:t>–</w:t>
      </w:r>
      <w:r w:rsidRPr="003D10AB">
        <w:t>2025</w:t>
      </w:r>
      <w:r w:rsidR="00FB102F">
        <w:rPr>
          <w:rStyle w:val="FootnoteReference"/>
        </w:rPr>
        <w:footnoteReference w:id="9"/>
      </w:r>
      <w:r w:rsidRPr="003D10AB">
        <w:t>,</w:t>
      </w:r>
    </w:p>
    <w:p w14:paraId="4DF95959" w14:textId="77777777" w:rsidR="00483CBC" w:rsidRDefault="00483CBC" w:rsidP="00483CBC">
      <w:pPr>
        <w:pStyle w:val="SingleTxtG"/>
        <w:rPr>
          <w:lang w:eastAsia="en-GB"/>
        </w:rPr>
      </w:pPr>
      <w:r>
        <w:tab/>
      </w:r>
      <w:r w:rsidRPr="003D10AB">
        <w:tab/>
      </w:r>
      <w:r w:rsidRPr="003D10AB">
        <w:rPr>
          <w:i/>
        </w:rPr>
        <w:t>Affirming</w:t>
      </w:r>
      <w:r w:rsidRPr="003D10AB">
        <w:t xml:space="preserve"> the importance of the </w:t>
      </w:r>
      <w:r w:rsidRPr="003D10AB">
        <w:rPr>
          <w:lang w:eastAsia="en-GB"/>
        </w:rPr>
        <w:t>rule of law</w:t>
      </w:r>
      <w:r>
        <w:rPr>
          <w:lang w:eastAsia="en-GB"/>
        </w:rPr>
        <w:t xml:space="preserve"> </w:t>
      </w:r>
      <w:r w:rsidRPr="004118C5">
        <w:rPr>
          <w:lang w:eastAsia="en-GB"/>
        </w:rPr>
        <w:t>and the need to further strengthen its application in environmental matters,</w:t>
      </w:r>
    </w:p>
    <w:p w14:paraId="71E585B1" w14:textId="4CAD34D0" w:rsidR="00483CBC" w:rsidRPr="00B2551B" w:rsidRDefault="00483CBC" w:rsidP="00483CBC">
      <w:pPr>
        <w:pStyle w:val="SingleTxtG"/>
        <w:ind w:firstLine="567"/>
      </w:pPr>
      <w:r w:rsidRPr="00B2551B">
        <w:rPr>
          <w:i/>
          <w:iCs/>
        </w:rPr>
        <w:t>Reiterat</w:t>
      </w:r>
      <w:r w:rsidRPr="00C24B1E">
        <w:rPr>
          <w:i/>
          <w:iCs/>
        </w:rPr>
        <w:t>ing</w:t>
      </w:r>
      <w:r w:rsidRPr="00B2551B">
        <w:t xml:space="preserve"> the importance of public interest litigation in environmental matters for enabling effective judicial protection of the rights and legitimate interests of the public and </w:t>
      </w:r>
      <w:r>
        <w:t xml:space="preserve">for </w:t>
      </w:r>
      <w:r w:rsidRPr="00B2551B">
        <w:t xml:space="preserve">improving transparency and </w:t>
      </w:r>
      <w:r w:rsidR="007C74CB">
        <w:t xml:space="preserve">increasing </w:t>
      </w:r>
      <w:r w:rsidRPr="00B2551B">
        <w:t>accountability of decision-making,</w:t>
      </w:r>
    </w:p>
    <w:p w14:paraId="0D46D9C1" w14:textId="77777777" w:rsidR="00483CBC" w:rsidRDefault="00483CBC" w:rsidP="00483CBC">
      <w:pPr>
        <w:pStyle w:val="SingleTxtG"/>
        <w:ind w:firstLine="567"/>
      </w:pPr>
      <w:r w:rsidRPr="00B2551B">
        <w:rPr>
          <w:i/>
        </w:rPr>
        <w:t xml:space="preserve">Recognizing </w:t>
      </w:r>
      <w:r w:rsidRPr="00B2551B">
        <w:t xml:space="preserve">that effective access to justice in environmental matters is critical for the successful implementation of </w:t>
      </w:r>
      <w:proofErr w:type="gramStart"/>
      <w:r w:rsidRPr="00B2551B">
        <w:t>a number of</w:t>
      </w:r>
      <w:proofErr w:type="gramEnd"/>
      <w:r w:rsidRPr="00B2551B">
        <w:t xml:space="preserve"> Sustainable Development Goals, in particular Goal 16 </w:t>
      </w:r>
      <w:r w:rsidRPr="00B329FA">
        <w:t>and its targets 16.3 and 16.10</w:t>
      </w:r>
      <w:r w:rsidRPr="00B2551B">
        <w:t>,</w:t>
      </w:r>
    </w:p>
    <w:p w14:paraId="721C7DBA" w14:textId="77777777" w:rsidR="00483CBC" w:rsidRPr="004118C5" w:rsidRDefault="00483CBC" w:rsidP="00483CBC">
      <w:pPr>
        <w:pStyle w:val="SingleTxtG"/>
      </w:pPr>
      <w:r>
        <w:tab/>
      </w:r>
      <w:r>
        <w:tab/>
      </w:r>
      <w:r w:rsidRPr="004118C5">
        <w:rPr>
          <w:i/>
        </w:rPr>
        <w:t>Mindful</w:t>
      </w:r>
      <w:r w:rsidRPr="004118C5">
        <w:t xml:space="preserve"> that national implementation reports, the findings of the Compliance Committee, relevant case law of the Parties and the work carried out under the auspices of the Task Force on Access to Justice to date have collectively shown that challenges remain to the full implementation of the third pillar of the Convention,</w:t>
      </w:r>
    </w:p>
    <w:p w14:paraId="4A1046C0" w14:textId="77777777" w:rsidR="00483CBC" w:rsidRPr="004118C5" w:rsidRDefault="00483CBC" w:rsidP="00483CBC">
      <w:pPr>
        <w:pStyle w:val="SingleTxtG"/>
      </w:pPr>
      <w:r>
        <w:rPr>
          <w:i/>
        </w:rPr>
        <w:tab/>
      </w:r>
      <w:r>
        <w:rPr>
          <w:i/>
        </w:rPr>
        <w:tab/>
      </w:r>
      <w:r w:rsidRPr="004118C5">
        <w:rPr>
          <w:i/>
        </w:rPr>
        <w:t>Having</w:t>
      </w:r>
      <w:r w:rsidRPr="004118C5">
        <w:t xml:space="preserve"> </w:t>
      </w:r>
      <w:r w:rsidRPr="004118C5">
        <w:rPr>
          <w:i/>
        </w:rPr>
        <w:t>reviewed</w:t>
      </w:r>
      <w:r w:rsidRPr="004118C5">
        <w:t xml:space="preserve"> the reports of the Task Force on Access to Justice </w:t>
      </w:r>
      <w:r>
        <w:t xml:space="preserve">and the outcomes of the relevant thematic session of the Working Group of the Parties </w:t>
      </w:r>
      <w:r w:rsidRPr="004118C5">
        <w:t xml:space="preserve">in the period since the </w:t>
      </w:r>
      <w:r>
        <w:t>sixth</w:t>
      </w:r>
      <w:r w:rsidRPr="004118C5">
        <w:t xml:space="preserve"> session of the Meeting</w:t>
      </w:r>
      <w:r>
        <w:t xml:space="preserve"> </w:t>
      </w:r>
      <w:r w:rsidRPr="004118C5">
        <w:t>of</w:t>
      </w:r>
      <w:r>
        <w:t xml:space="preserve"> </w:t>
      </w:r>
      <w:r w:rsidRPr="004118C5">
        <w:t>the Parties,</w:t>
      </w:r>
      <w:r>
        <w:rPr>
          <w:rStyle w:val="FootnoteReference"/>
        </w:rPr>
        <w:footnoteReference w:id="10"/>
      </w:r>
    </w:p>
    <w:p w14:paraId="6D770917" w14:textId="77777777" w:rsidR="00483CBC" w:rsidRPr="004118C5" w:rsidRDefault="00483CBC" w:rsidP="00483CBC">
      <w:pPr>
        <w:pStyle w:val="SingleTxtG"/>
        <w:ind w:firstLine="567"/>
        <w:rPr>
          <w:iCs/>
        </w:rPr>
      </w:pPr>
      <w:r w:rsidRPr="004118C5">
        <w:rPr>
          <w:iCs/>
        </w:rPr>
        <w:t>1.</w:t>
      </w:r>
      <w:r w:rsidRPr="004118C5">
        <w:rPr>
          <w:iCs/>
        </w:rPr>
        <w:tab/>
      </w:r>
      <w:r w:rsidRPr="004118C5">
        <w:rPr>
          <w:i/>
          <w:iCs/>
        </w:rPr>
        <w:t>Notes with</w:t>
      </w:r>
      <w:r w:rsidRPr="004118C5">
        <w:rPr>
          <w:iCs/>
        </w:rPr>
        <w:t xml:space="preserve"> </w:t>
      </w:r>
      <w:r w:rsidRPr="004118C5">
        <w:rPr>
          <w:i/>
          <w:iCs/>
        </w:rPr>
        <w:t>appreciation</w:t>
      </w:r>
      <w:r w:rsidRPr="004118C5">
        <w:rPr>
          <w:iCs/>
        </w:rPr>
        <w:t xml:space="preserve"> the work undertaken by the Task Force on Access to Justice, and expresses its gratitude to Sweden for its leadership of the Task </w:t>
      </w:r>
      <w:proofErr w:type="gramStart"/>
      <w:r w:rsidRPr="004118C5">
        <w:rPr>
          <w:iCs/>
        </w:rPr>
        <w:t>Force;</w:t>
      </w:r>
      <w:proofErr w:type="gramEnd"/>
    </w:p>
    <w:p w14:paraId="0AA4B34A" w14:textId="77777777" w:rsidR="00483CBC" w:rsidRPr="004118C5" w:rsidRDefault="00483CBC" w:rsidP="00483CBC">
      <w:pPr>
        <w:pStyle w:val="SingleTxtG"/>
        <w:ind w:firstLine="567"/>
        <w:rPr>
          <w:iCs/>
        </w:rPr>
      </w:pPr>
      <w:r w:rsidRPr="004118C5">
        <w:rPr>
          <w:iCs/>
        </w:rPr>
        <w:t>2.</w:t>
      </w:r>
      <w:r w:rsidRPr="004118C5">
        <w:rPr>
          <w:iCs/>
        </w:rPr>
        <w:tab/>
      </w:r>
      <w:r w:rsidRPr="004118C5">
        <w:rPr>
          <w:i/>
          <w:iCs/>
        </w:rPr>
        <w:t>Encourages</w:t>
      </w:r>
      <w:r w:rsidRPr="004118C5">
        <w:rPr>
          <w:iCs/>
          <w:sz w:val="18"/>
          <w:szCs w:val="18"/>
        </w:rPr>
        <w:t xml:space="preserve"> </w:t>
      </w:r>
      <w:r w:rsidRPr="004118C5">
        <w:rPr>
          <w:iCs/>
        </w:rPr>
        <w:t>Parties, signatories and other interested States to undertake</w:t>
      </w:r>
      <w:r w:rsidRPr="004118C5">
        <w:t xml:space="preserve"> </w:t>
      </w:r>
      <w:r w:rsidRPr="004118C5">
        <w:rPr>
          <w:szCs w:val="28"/>
        </w:rPr>
        <w:t>further</w:t>
      </w:r>
      <w:r w:rsidRPr="004118C5">
        <w:t xml:space="preserve"> considerable efforts to improve the effectiveness of public access to justice in environmental matters, e.g., by removing</w:t>
      </w:r>
      <w:r>
        <w:t>,</w:t>
      </w:r>
      <w:r w:rsidRPr="004118C5">
        <w:t xml:space="preserve"> </w:t>
      </w:r>
      <w:r w:rsidRPr="004118C5">
        <w:rPr>
          <w:iCs/>
          <w:szCs w:val="28"/>
        </w:rPr>
        <w:t>as the case may be</w:t>
      </w:r>
      <w:r>
        <w:rPr>
          <w:iCs/>
          <w:szCs w:val="28"/>
        </w:rPr>
        <w:t>,</w:t>
      </w:r>
      <w:r w:rsidRPr="004118C5">
        <w:t xml:space="preserve"> </w:t>
      </w:r>
      <w:r w:rsidRPr="00FA714E">
        <w:t>barriers with regard to standing, scope of review, costs and access to assistance mechanisms, timeliness, remedies,</w:t>
      </w:r>
      <w:r>
        <w:t xml:space="preserve"> </w:t>
      </w:r>
      <w:r w:rsidRPr="004118C5">
        <w:t xml:space="preserve">stimulating multi-stakeholder dialogues, increasing public accessibility to the relevant information as required by the Convention and implementing </w:t>
      </w:r>
      <w:r w:rsidRPr="004118C5">
        <w:rPr>
          <w:iCs/>
        </w:rPr>
        <w:t>e-justice initiatives,</w:t>
      </w:r>
      <w:r w:rsidRPr="004118C5">
        <w:rPr>
          <w:rStyle w:val="FootnoteReference"/>
          <w:iCs/>
        </w:rPr>
        <w:footnoteReference w:id="11"/>
      </w:r>
      <w:r w:rsidRPr="004118C5">
        <w:rPr>
          <w:iCs/>
        </w:rPr>
        <w:t xml:space="preserve"> and calls on international organizations and other stakeholders to support these efforts;</w:t>
      </w:r>
    </w:p>
    <w:p w14:paraId="33E1F839" w14:textId="70CEAC51" w:rsidR="00E55A5C" w:rsidRDefault="00483CBC" w:rsidP="00466CC1">
      <w:pPr>
        <w:pStyle w:val="SingleTxtG"/>
        <w:rPr>
          <w:iCs/>
        </w:rPr>
      </w:pPr>
      <w:r>
        <w:rPr>
          <w:iCs/>
        </w:rPr>
        <w:tab/>
      </w:r>
      <w:r w:rsidRPr="00B2551B">
        <w:rPr>
          <w:iCs/>
        </w:rPr>
        <w:tab/>
      </w:r>
      <w:r>
        <w:rPr>
          <w:iCs/>
        </w:rPr>
        <w:t>3</w:t>
      </w:r>
      <w:r w:rsidRPr="00C24B1E">
        <w:rPr>
          <w:iCs/>
        </w:rPr>
        <w:t>.</w:t>
      </w:r>
      <w:r w:rsidRPr="00C24B1E">
        <w:rPr>
          <w:iCs/>
        </w:rPr>
        <w:tab/>
      </w:r>
      <w:r>
        <w:rPr>
          <w:i/>
          <w:iCs/>
        </w:rPr>
        <w:t>W</w:t>
      </w:r>
      <w:r w:rsidRPr="00E271B5">
        <w:rPr>
          <w:i/>
          <w:iCs/>
        </w:rPr>
        <w:t>elcomes</w:t>
      </w:r>
      <w:r w:rsidRPr="00E271B5">
        <w:rPr>
          <w:iCs/>
        </w:rPr>
        <w:t xml:space="preserve"> </w:t>
      </w:r>
      <w:r w:rsidRPr="00C24B1E">
        <w:rPr>
          <w:iCs/>
        </w:rPr>
        <w:t>capacity-building initiatives by Parties, signatories</w:t>
      </w:r>
      <w:r>
        <w:rPr>
          <w:iCs/>
        </w:rPr>
        <w:t>,</w:t>
      </w:r>
      <w:r w:rsidRPr="00C24B1E">
        <w:rPr>
          <w:iCs/>
        </w:rPr>
        <w:t xml:space="preserve"> international organizations and other stakeholders aimed at promoting more effective implementation of article 9 of</w:t>
      </w:r>
      <w:r w:rsidRPr="004118C5">
        <w:rPr>
          <w:iCs/>
        </w:rPr>
        <w:t xml:space="preserve"> the Convention, and encourages Parties, signatories</w:t>
      </w:r>
      <w:r>
        <w:rPr>
          <w:iCs/>
        </w:rPr>
        <w:t>,</w:t>
      </w:r>
      <w:r w:rsidRPr="004118C5">
        <w:rPr>
          <w:iCs/>
        </w:rPr>
        <w:t xml:space="preserve"> international organizations and other stakeholders, </w:t>
      </w:r>
      <w:r w:rsidRPr="004118C5">
        <w:rPr>
          <w:iCs/>
          <w:szCs w:val="28"/>
        </w:rPr>
        <w:t xml:space="preserve">as appropriate, </w:t>
      </w:r>
      <w:r w:rsidRPr="004118C5">
        <w:rPr>
          <w:iCs/>
        </w:rPr>
        <w:t>to undertake such initiatives in the next intersessional period;</w:t>
      </w:r>
    </w:p>
    <w:p w14:paraId="7DB66B1F" w14:textId="77777777" w:rsidR="00483CBC" w:rsidRPr="004118C5" w:rsidRDefault="00483CBC" w:rsidP="00483CBC">
      <w:pPr>
        <w:pStyle w:val="SingleTxtG"/>
        <w:rPr>
          <w:iCs/>
        </w:rPr>
      </w:pPr>
      <w:r>
        <w:rPr>
          <w:iCs/>
        </w:rPr>
        <w:tab/>
      </w:r>
      <w:r>
        <w:rPr>
          <w:iCs/>
        </w:rPr>
        <w:tab/>
        <w:t>4</w:t>
      </w:r>
      <w:r w:rsidRPr="004118C5">
        <w:rPr>
          <w:iCs/>
        </w:rPr>
        <w:t>.</w:t>
      </w:r>
      <w:r w:rsidRPr="004118C5">
        <w:rPr>
          <w:iCs/>
        </w:rPr>
        <w:tab/>
      </w:r>
      <w:r w:rsidRPr="004118C5">
        <w:rPr>
          <w:i/>
          <w:iCs/>
        </w:rPr>
        <w:t>Expresses</w:t>
      </w:r>
      <w:r w:rsidRPr="004118C5">
        <w:rPr>
          <w:iCs/>
        </w:rPr>
        <w:t xml:space="preserve"> </w:t>
      </w:r>
      <w:r w:rsidRPr="004118C5">
        <w:rPr>
          <w:i/>
          <w:iCs/>
        </w:rPr>
        <w:t>its appreciation</w:t>
      </w:r>
      <w:r w:rsidRPr="004118C5">
        <w:rPr>
          <w:iCs/>
        </w:rPr>
        <w:t xml:space="preserve"> to Parties, signatories and other stakeholders for contributing material to </w:t>
      </w:r>
      <w:bookmarkStart w:id="1" w:name="_Hlk57041168"/>
      <w:r w:rsidRPr="004118C5">
        <w:rPr>
          <w:iCs/>
        </w:rPr>
        <w:t>the online jurisprudence database concerning the Convention</w:t>
      </w:r>
      <w:bookmarkEnd w:id="1"/>
      <w:r w:rsidRPr="004118C5">
        <w:rPr>
          <w:iCs/>
        </w:rPr>
        <w:t>, and calls on Parties, signatories and other stakeholders, including judges, legal professionals and academics, to use and promote the database and to further contribute to its improvement;</w:t>
      </w:r>
    </w:p>
    <w:p w14:paraId="5A3881C4" w14:textId="77777777" w:rsidR="00483CBC" w:rsidRPr="004118C5" w:rsidRDefault="00483CBC" w:rsidP="00483CBC">
      <w:pPr>
        <w:pStyle w:val="SingleTxtG"/>
        <w:ind w:firstLine="567"/>
        <w:rPr>
          <w:iCs/>
        </w:rPr>
      </w:pPr>
      <w:r>
        <w:rPr>
          <w:iCs/>
        </w:rPr>
        <w:lastRenderedPageBreak/>
        <w:t>5</w:t>
      </w:r>
      <w:r w:rsidRPr="004118C5">
        <w:rPr>
          <w:iCs/>
        </w:rPr>
        <w:t>.</w:t>
      </w:r>
      <w:r w:rsidRPr="004118C5">
        <w:rPr>
          <w:iCs/>
        </w:rPr>
        <w:tab/>
      </w:r>
      <w:r w:rsidRPr="00E66DF7">
        <w:rPr>
          <w:i/>
          <w:iCs/>
        </w:rPr>
        <w:t>Stresses</w:t>
      </w:r>
      <w:r w:rsidRPr="00E66DF7">
        <w:rPr>
          <w:iCs/>
        </w:rPr>
        <w:t xml:space="preserve"> the pivotal role that courts play in interpreting provisions of domestic law on access to justice and the importance </w:t>
      </w:r>
      <w:r>
        <w:rPr>
          <w:iCs/>
        </w:rPr>
        <w:t xml:space="preserve">of interpreting </w:t>
      </w:r>
      <w:r w:rsidRPr="00E66DF7">
        <w:rPr>
          <w:iCs/>
        </w:rPr>
        <w:t xml:space="preserve">such provisions in accordance with the </w:t>
      </w:r>
      <w:proofErr w:type="gramStart"/>
      <w:r w:rsidRPr="00E66DF7">
        <w:rPr>
          <w:iCs/>
        </w:rPr>
        <w:t>Convention;</w:t>
      </w:r>
      <w:proofErr w:type="gramEnd"/>
    </w:p>
    <w:p w14:paraId="44D71FA2" w14:textId="77777777" w:rsidR="00483CBC" w:rsidRPr="004118C5" w:rsidRDefault="00483CBC" w:rsidP="00483CBC">
      <w:pPr>
        <w:pStyle w:val="SingleTxtG"/>
        <w:ind w:firstLine="567"/>
        <w:rPr>
          <w:iCs/>
        </w:rPr>
      </w:pPr>
      <w:r>
        <w:rPr>
          <w:iCs/>
        </w:rPr>
        <w:t>6</w:t>
      </w:r>
      <w:r w:rsidRPr="004118C5">
        <w:rPr>
          <w:iCs/>
        </w:rPr>
        <w:t>.</w:t>
      </w:r>
      <w:r w:rsidRPr="004118C5">
        <w:rPr>
          <w:iCs/>
        </w:rPr>
        <w:tab/>
      </w:r>
      <w:r w:rsidRPr="004118C5">
        <w:rPr>
          <w:i/>
          <w:iCs/>
        </w:rPr>
        <w:t>Also stresses</w:t>
      </w:r>
      <w:r w:rsidRPr="004118C5">
        <w:rPr>
          <w:iCs/>
        </w:rPr>
        <w:t xml:space="preserve"> the significant role of national and international associations of judges,</w:t>
      </w:r>
      <w:r w:rsidRPr="004118C5">
        <w:rPr>
          <w:iCs/>
          <w:szCs w:val="28"/>
        </w:rPr>
        <w:t xml:space="preserve"> prosecutors</w:t>
      </w:r>
      <w:r w:rsidRPr="004118C5">
        <w:rPr>
          <w:iCs/>
        </w:rPr>
        <w:t xml:space="preserve"> and other legal professionals, and in particular of judicial training institutions, and also the substantial role of public interest lawyers and non-governmental organizations in promoting effective public access to </w:t>
      </w:r>
      <w:proofErr w:type="gramStart"/>
      <w:r w:rsidRPr="004118C5">
        <w:rPr>
          <w:iCs/>
        </w:rPr>
        <w:t>justice;</w:t>
      </w:r>
      <w:proofErr w:type="gramEnd"/>
    </w:p>
    <w:p w14:paraId="0BE5651E" w14:textId="77777777" w:rsidR="00483CBC" w:rsidRDefault="00483CBC" w:rsidP="00483CBC">
      <w:pPr>
        <w:pStyle w:val="SingleTxtG"/>
        <w:rPr>
          <w:iCs/>
        </w:rPr>
      </w:pPr>
      <w:r>
        <w:rPr>
          <w:i/>
          <w:iCs/>
        </w:rPr>
        <w:tab/>
      </w:r>
      <w:r>
        <w:rPr>
          <w:i/>
          <w:iCs/>
        </w:rPr>
        <w:tab/>
      </w:r>
      <w:r w:rsidRPr="00FA714E">
        <w:rPr>
          <w:iCs/>
        </w:rPr>
        <w:t>7</w:t>
      </w:r>
      <w:r w:rsidRPr="00FA714E">
        <w:rPr>
          <w:i/>
          <w:iCs/>
        </w:rPr>
        <w:t>.</w:t>
      </w:r>
      <w:r w:rsidRPr="00FA714E">
        <w:rPr>
          <w:i/>
          <w:iCs/>
        </w:rPr>
        <w:tab/>
        <w:t>Welcomes</w:t>
      </w:r>
      <w:r w:rsidRPr="00FA714E">
        <w:rPr>
          <w:iCs/>
        </w:rPr>
        <w:t xml:space="preserve"> </w:t>
      </w:r>
      <w:r>
        <w:rPr>
          <w:iCs/>
        </w:rPr>
        <w:t xml:space="preserve">the </w:t>
      </w:r>
      <w:r w:rsidRPr="00FA714E">
        <w:rPr>
          <w:iCs/>
        </w:rPr>
        <w:t xml:space="preserve">successful cooperation of the judiciary, judicial training institutions and other review bodies in the pan-European region within a network under the auspices of the Task </w:t>
      </w:r>
      <w:proofErr w:type="gramStart"/>
      <w:r w:rsidRPr="00FA714E">
        <w:rPr>
          <w:iCs/>
        </w:rPr>
        <w:t>Force;</w:t>
      </w:r>
      <w:proofErr w:type="gramEnd"/>
      <w:r w:rsidRPr="00FA714E">
        <w:rPr>
          <w:iCs/>
        </w:rPr>
        <w:t xml:space="preserve">  </w:t>
      </w:r>
    </w:p>
    <w:p w14:paraId="7A64EC83" w14:textId="77777777" w:rsidR="00483CBC" w:rsidRPr="0022286E" w:rsidRDefault="00483CBC" w:rsidP="00483CBC">
      <w:pPr>
        <w:pStyle w:val="SingleTxtG"/>
        <w:ind w:firstLine="567"/>
      </w:pPr>
      <w:r>
        <w:rPr>
          <w:i/>
        </w:rPr>
        <w:t>8</w:t>
      </w:r>
      <w:r w:rsidRPr="00B329FA">
        <w:rPr>
          <w:i/>
        </w:rPr>
        <w:t>.</w:t>
      </w:r>
      <w:r w:rsidRPr="00B329FA">
        <w:rPr>
          <w:i/>
        </w:rPr>
        <w:tab/>
        <w:t>Invites</w:t>
      </w:r>
      <w:r w:rsidRPr="00B329FA">
        <w:rPr>
          <w:iCs/>
        </w:rPr>
        <w:t xml:space="preserve"> the </w:t>
      </w:r>
      <w:r>
        <w:rPr>
          <w:iCs/>
        </w:rPr>
        <w:t xml:space="preserve">above-mentioned review bodies to </w:t>
      </w:r>
      <w:r w:rsidRPr="00B329FA">
        <w:rPr>
          <w:iCs/>
        </w:rPr>
        <w:t xml:space="preserve">promote </w:t>
      </w:r>
      <w:r>
        <w:rPr>
          <w:iCs/>
        </w:rPr>
        <w:t xml:space="preserve">within the network </w:t>
      </w:r>
      <w:r w:rsidRPr="00B329FA">
        <w:rPr>
          <w:iCs/>
        </w:rPr>
        <w:t>the exchange of experiences</w:t>
      </w:r>
      <w:r>
        <w:rPr>
          <w:iCs/>
        </w:rPr>
        <w:t>,</w:t>
      </w:r>
      <w:r w:rsidRPr="00B329FA">
        <w:rPr>
          <w:iCs/>
        </w:rPr>
        <w:t xml:space="preserve"> </w:t>
      </w:r>
      <w:r>
        <w:t>development of</w:t>
      </w:r>
      <w:r w:rsidRPr="00B329FA">
        <w:t xml:space="preserve"> curricula and training material</w:t>
      </w:r>
      <w:r>
        <w:t>s,</w:t>
      </w:r>
      <w:r w:rsidRPr="00B329FA">
        <w:t xml:space="preserve"> populati</w:t>
      </w:r>
      <w:r>
        <w:t>on of</w:t>
      </w:r>
      <w:r w:rsidRPr="00B329FA">
        <w:t xml:space="preserve"> </w:t>
      </w:r>
      <w:r>
        <w:t xml:space="preserve">the </w:t>
      </w:r>
      <w:r w:rsidRPr="00B329FA">
        <w:t>online jurisprudence database concerning the Convention and organi</w:t>
      </w:r>
      <w:r>
        <w:t xml:space="preserve">zation of </w:t>
      </w:r>
      <w:r w:rsidRPr="00B329FA">
        <w:t xml:space="preserve">capacity-building events at the regional, subregional and national </w:t>
      </w:r>
      <w:proofErr w:type="gramStart"/>
      <w:r w:rsidRPr="00B329FA">
        <w:t>levels</w:t>
      </w:r>
      <w:r w:rsidRPr="000833B4">
        <w:t>;</w:t>
      </w:r>
      <w:proofErr w:type="gramEnd"/>
    </w:p>
    <w:p w14:paraId="0CD25BC6" w14:textId="77777777" w:rsidR="00483CBC" w:rsidRPr="004118C5" w:rsidRDefault="00483CBC" w:rsidP="00483CBC">
      <w:pPr>
        <w:pStyle w:val="SingleTxtG"/>
        <w:ind w:firstLine="567"/>
        <w:rPr>
          <w:iCs/>
        </w:rPr>
      </w:pPr>
      <w:r w:rsidRPr="00FA714E">
        <w:rPr>
          <w:iCs/>
        </w:rPr>
        <w:t>9.</w:t>
      </w:r>
      <w:r w:rsidRPr="00FA714E">
        <w:rPr>
          <w:iCs/>
        </w:rPr>
        <w:tab/>
      </w:r>
      <w:r w:rsidRPr="00FA714E">
        <w:rPr>
          <w:i/>
          <w:iCs/>
        </w:rPr>
        <w:t>Encourages</w:t>
      </w:r>
      <w:r w:rsidRPr="00FA714E">
        <w:rPr>
          <w:iCs/>
        </w:rPr>
        <w:t xml:space="preserve"> Parties and signatories to support the participation of representatives of the above</w:t>
      </w:r>
      <w:r>
        <w:rPr>
          <w:iCs/>
        </w:rPr>
        <w:t>-mentioned</w:t>
      </w:r>
      <w:r w:rsidRPr="00FA714E">
        <w:rPr>
          <w:iCs/>
        </w:rPr>
        <w:t xml:space="preserve"> review bodies in the network, invites </w:t>
      </w:r>
      <w:r w:rsidRPr="00FA714E">
        <w:t>other such networks to participate in this initiative</w:t>
      </w:r>
      <w:r w:rsidRPr="00FA714E">
        <w:rPr>
          <w:iCs/>
        </w:rPr>
        <w:t xml:space="preserve"> and calls on Parties and partner organizations to continue supporting these </w:t>
      </w:r>
      <w:proofErr w:type="gramStart"/>
      <w:r w:rsidRPr="00FA714E">
        <w:rPr>
          <w:iCs/>
        </w:rPr>
        <w:t>activities;</w:t>
      </w:r>
      <w:proofErr w:type="gramEnd"/>
    </w:p>
    <w:p w14:paraId="7D1769E8" w14:textId="77777777" w:rsidR="00483CBC" w:rsidRPr="004118C5" w:rsidRDefault="00483CBC" w:rsidP="00483CBC">
      <w:pPr>
        <w:pStyle w:val="SingleTxtG"/>
        <w:ind w:firstLine="567"/>
        <w:rPr>
          <w:iCs/>
        </w:rPr>
      </w:pPr>
      <w:r w:rsidRPr="004118C5">
        <w:rPr>
          <w:iCs/>
        </w:rPr>
        <w:t>1</w:t>
      </w:r>
      <w:r>
        <w:rPr>
          <w:iCs/>
        </w:rPr>
        <w:t>0</w:t>
      </w:r>
      <w:r w:rsidRPr="004118C5">
        <w:rPr>
          <w:iCs/>
        </w:rPr>
        <w:t>.</w:t>
      </w:r>
      <w:r w:rsidRPr="004118C5">
        <w:rPr>
          <w:i/>
          <w:iCs/>
        </w:rPr>
        <w:tab/>
        <w:t>Welcomes</w:t>
      </w:r>
      <w:r w:rsidRPr="004118C5">
        <w:rPr>
          <w:iCs/>
        </w:rPr>
        <w:t xml:space="preserve"> initiatives of the Parties and signatories to strengthen judicial specialization in environmental law and the capacities of courts and other relevant bodies in </w:t>
      </w:r>
      <w:r>
        <w:rPr>
          <w:iCs/>
        </w:rPr>
        <w:t xml:space="preserve">improving knowledge about environmental risks and </w:t>
      </w:r>
      <w:r w:rsidRPr="004118C5">
        <w:rPr>
          <w:iCs/>
        </w:rPr>
        <w:t xml:space="preserve">using independent environmental expertise, as </w:t>
      </w:r>
      <w:proofErr w:type="gramStart"/>
      <w:r w:rsidRPr="004118C5">
        <w:rPr>
          <w:iCs/>
        </w:rPr>
        <w:t>appropriate;</w:t>
      </w:r>
      <w:proofErr w:type="gramEnd"/>
    </w:p>
    <w:p w14:paraId="0646E537" w14:textId="77777777" w:rsidR="00483CBC" w:rsidRPr="004118C5" w:rsidRDefault="00483CBC" w:rsidP="00483CBC">
      <w:pPr>
        <w:pStyle w:val="SingleTxtG"/>
        <w:ind w:firstLine="567"/>
        <w:rPr>
          <w:iCs/>
        </w:rPr>
      </w:pPr>
      <w:r w:rsidRPr="004118C5">
        <w:rPr>
          <w:iCs/>
        </w:rPr>
        <w:t>1</w:t>
      </w:r>
      <w:r>
        <w:rPr>
          <w:iCs/>
        </w:rPr>
        <w:t>1</w:t>
      </w:r>
      <w:r w:rsidRPr="004118C5">
        <w:rPr>
          <w:iCs/>
        </w:rPr>
        <w:t>.</w:t>
      </w:r>
      <w:r w:rsidRPr="004118C5">
        <w:rPr>
          <w:iCs/>
        </w:rPr>
        <w:tab/>
      </w:r>
      <w:r w:rsidRPr="004118C5">
        <w:rPr>
          <w:i/>
          <w:iCs/>
        </w:rPr>
        <w:t xml:space="preserve">Encourages </w:t>
      </w:r>
      <w:r w:rsidRPr="004118C5">
        <w:rPr>
          <w:iCs/>
        </w:rPr>
        <w:t>Parties to continue the integration, to the extent possible, of the issue of access to justice in environmental matters</w:t>
      </w:r>
      <w:r>
        <w:rPr>
          <w:iCs/>
        </w:rPr>
        <w:t xml:space="preserve"> and of the issue of environmental risks</w:t>
      </w:r>
      <w:r w:rsidRPr="004118C5">
        <w:rPr>
          <w:iCs/>
        </w:rPr>
        <w:t xml:space="preserve"> into the curricul</w:t>
      </w:r>
      <w:r>
        <w:rPr>
          <w:iCs/>
        </w:rPr>
        <w:t>a</w:t>
      </w:r>
      <w:r w:rsidRPr="004118C5">
        <w:rPr>
          <w:iCs/>
        </w:rPr>
        <w:t xml:space="preserve"> of law faculties, public administration and judicial training institutions and other relevant institutions supporting the implementation of the Convention;</w:t>
      </w:r>
    </w:p>
    <w:p w14:paraId="68D4333D" w14:textId="77777777" w:rsidR="00483CBC" w:rsidRPr="004118C5" w:rsidRDefault="00483CBC" w:rsidP="00483CBC">
      <w:pPr>
        <w:pStyle w:val="SingleTxtG"/>
        <w:rPr>
          <w:iCs/>
        </w:rPr>
      </w:pPr>
      <w:r>
        <w:rPr>
          <w:iCs/>
        </w:rPr>
        <w:tab/>
      </w:r>
      <w:r>
        <w:rPr>
          <w:iCs/>
        </w:rPr>
        <w:tab/>
      </w:r>
      <w:r w:rsidRPr="004118C5">
        <w:rPr>
          <w:iCs/>
        </w:rPr>
        <w:t>1</w:t>
      </w:r>
      <w:r>
        <w:rPr>
          <w:iCs/>
        </w:rPr>
        <w:t>2</w:t>
      </w:r>
      <w:r w:rsidRPr="004118C5">
        <w:rPr>
          <w:iCs/>
        </w:rPr>
        <w:t>.</w:t>
      </w:r>
      <w:r w:rsidRPr="004118C5">
        <w:rPr>
          <w:iCs/>
        </w:rPr>
        <w:tab/>
      </w:r>
      <w:r w:rsidRPr="004118C5">
        <w:rPr>
          <w:i/>
          <w:iCs/>
        </w:rPr>
        <w:t>Decides</w:t>
      </w:r>
      <w:r w:rsidRPr="004118C5">
        <w:rPr>
          <w:iCs/>
        </w:rPr>
        <w:t xml:space="preserve"> to extend in time </w:t>
      </w:r>
      <w:r w:rsidRPr="004118C5">
        <w:t xml:space="preserve">the mandate of the Task Force on Access to Justice, </w:t>
      </w:r>
      <w:r w:rsidRPr="004118C5">
        <w:rPr>
          <w:iCs/>
        </w:rPr>
        <w:t xml:space="preserve">under the authority of the Working Group of the Parties, to carry out further work </w:t>
      </w:r>
      <w:r w:rsidRPr="004118C5">
        <w:rPr>
          <w:iCs/>
          <w:szCs w:val="28"/>
        </w:rPr>
        <w:t xml:space="preserve">in relation to the implementation of the </w:t>
      </w:r>
      <w:proofErr w:type="gramStart"/>
      <w:r w:rsidRPr="004118C5">
        <w:rPr>
          <w:iCs/>
          <w:szCs w:val="28"/>
        </w:rPr>
        <w:t>Convention</w:t>
      </w:r>
      <w:r w:rsidRPr="004118C5">
        <w:rPr>
          <w:iCs/>
        </w:rPr>
        <w:t>;</w:t>
      </w:r>
      <w:proofErr w:type="gramEnd"/>
    </w:p>
    <w:p w14:paraId="2FBE9735" w14:textId="6E00214C" w:rsidR="00483CBC" w:rsidRPr="004118C5" w:rsidRDefault="00483CBC" w:rsidP="00BA74E3">
      <w:pPr>
        <w:pStyle w:val="SingleTxtG"/>
        <w:rPr>
          <w:iCs/>
        </w:rPr>
      </w:pPr>
      <w:r>
        <w:rPr>
          <w:iCs/>
        </w:rPr>
        <w:tab/>
      </w:r>
      <w:r>
        <w:rPr>
          <w:iCs/>
        </w:rPr>
        <w:tab/>
      </w:r>
      <w:r w:rsidRPr="004118C5">
        <w:rPr>
          <w:iCs/>
        </w:rPr>
        <w:t>1</w:t>
      </w:r>
      <w:r>
        <w:rPr>
          <w:iCs/>
        </w:rPr>
        <w:t>3</w:t>
      </w:r>
      <w:r w:rsidRPr="004118C5">
        <w:rPr>
          <w:iCs/>
        </w:rPr>
        <w:t>.</w:t>
      </w:r>
      <w:r w:rsidRPr="004118C5">
        <w:rPr>
          <w:iCs/>
        </w:rPr>
        <w:tab/>
      </w:r>
      <w:r w:rsidRPr="004118C5">
        <w:rPr>
          <w:i/>
          <w:iCs/>
        </w:rPr>
        <w:t>Welcomes</w:t>
      </w:r>
      <w:r w:rsidRPr="004118C5">
        <w:rPr>
          <w:iCs/>
        </w:rPr>
        <w:t xml:space="preserve"> the offer of </w:t>
      </w:r>
      <w:r w:rsidR="00BA74E3">
        <w:rPr>
          <w:iCs/>
        </w:rPr>
        <w:t>Belgium</w:t>
      </w:r>
      <w:r w:rsidRPr="004118C5">
        <w:rPr>
          <w:iCs/>
        </w:rPr>
        <w:t xml:space="preserve"> to lead the work of the Task </w:t>
      </w:r>
      <w:proofErr w:type="gramStart"/>
      <w:r w:rsidRPr="004118C5">
        <w:rPr>
          <w:iCs/>
        </w:rPr>
        <w:t>Force;</w:t>
      </w:r>
      <w:proofErr w:type="gramEnd"/>
    </w:p>
    <w:p w14:paraId="3DBBA33F" w14:textId="77777777" w:rsidR="00483CBC" w:rsidRPr="004118C5" w:rsidRDefault="00483CBC" w:rsidP="00483CBC">
      <w:pPr>
        <w:pStyle w:val="SingleTxtG"/>
      </w:pPr>
      <w:r>
        <w:rPr>
          <w:iCs/>
        </w:rPr>
        <w:tab/>
      </w:r>
      <w:r w:rsidRPr="004118C5">
        <w:rPr>
          <w:iCs/>
        </w:rPr>
        <w:tab/>
        <w:t>1</w:t>
      </w:r>
      <w:r>
        <w:rPr>
          <w:iCs/>
        </w:rPr>
        <w:t>4</w:t>
      </w:r>
      <w:r w:rsidRPr="004118C5">
        <w:rPr>
          <w:iCs/>
        </w:rPr>
        <w:t>.</w:t>
      </w:r>
      <w:r w:rsidRPr="004118C5">
        <w:rPr>
          <w:iCs/>
        </w:rPr>
        <w:tab/>
      </w:r>
      <w:r w:rsidRPr="004118C5">
        <w:rPr>
          <w:i/>
          <w:iCs/>
        </w:rPr>
        <w:t>Requests</w:t>
      </w:r>
      <w:r w:rsidRPr="004118C5">
        <w:rPr>
          <w:iCs/>
        </w:rPr>
        <w:t xml:space="preserve"> the Task Force, subject to the availability of resources, to undertake the following work: </w:t>
      </w:r>
    </w:p>
    <w:p w14:paraId="62727D4E" w14:textId="77777777" w:rsidR="00483CBC" w:rsidRPr="00C24B1E" w:rsidRDefault="00483CBC" w:rsidP="00483CBC">
      <w:pPr>
        <w:pStyle w:val="SingleTxtG"/>
        <w:ind w:firstLine="567"/>
        <w:rPr>
          <w:iCs/>
        </w:rPr>
      </w:pPr>
      <w:r w:rsidRPr="004118C5">
        <w:rPr>
          <w:iCs/>
        </w:rPr>
        <w:t>(a)</w:t>
      </w:r>
      <w:r w:rsidRPr="004118C5">
        <w:rPr>
          <w:iCs/>
        </w:rPr>
        <w:tab/>
        <w:t xml:space="preserve">To promote the exchange of information, experiences, </w:t>
      </w:r>
      <w:proofErr w:type="gramStart"/>
      <w:r w:rsidRPr="004118C5">
        <w:rPr>
          <w:iCs/>
        </w:rPr>
        <w:t>challenges</w:t>
      </w:r>
      <w:proofErr w:type="gramEnd"/>
      <w:r w:rsidRPr="004118C5">
        <w:rPr>
          <w:iCs/>
        </w:rPr>
        <w:t xml:space="preserve"> and good practices relating to the implementation of the third pillar of the Convention</w:t>
      </w:r>
      <w:r>
        <w:rPr>
          <w:iCs/>
        </w:rPr>
        <w:t xml:space="preserve">, with the focus </w:t>
      </w:r>
      <w:r w:rsidRPr="00E271B5">
        <w:rPr>
          <w:iCs/>
        </w:rPr>
        <w:t>on</w:t>
      </w:r>
      <w:r w:rsidRPr="00C24B1E">
        <w:rPr>
          <w:iCs/>
        </w:rPr>
        <w:t>:</w:t>
      </w:r>
    </w:p>
    <w:p w14:paraId="5D3DF5DF" w14:textId="77777777" w:rsidR="00483CBC" w:rsidRPr="00E271B5" w:rsidRDefault="00483CBC" w:rsidP="00110984">
      <w:pPr>
        <w:pStyle w:val="SingleTxtG"/>
        <w:ind w:left="1701"/>
        <w:rPr>
          <w:iCs/>
        </w:rPr>
      </w:pPr>
      <w:r w:rsidRPr="00E271B5">
        <w:rPr>
          <w:iCs/>
        </w:rPr>
        <w:t>(i)</w:t>
      </w:r>
      <w:r>
        <w:rPr>
          <w:iCs/>
        </w:rPr>
        <w:tab/>
        <w:t>O</w:t>
      </w:r>
      <w:r w:rsidRPr="00FA714E">
        <w:rPr>
          <w:iCs/>
        </w:rPr>
        <w:t xml:space="preserve">vercoming the main barriers to effective access to justice with regard to standing, scope of review, costs and access to assistance mechanisms, remedies and </w:t>
      </w:r>
      <w:proofErr w:type="gramStart"/>
      <w:r w:rsidRPr="00FA714E">
        <w:rPr>
          <w:iCs/>
        </w:rPr>
        <w:t>timeliness;</w:t>
      </w:r>
      <w:proofErr w:type="gramEnd"/>
    </w:p>
    <w:p w14:paraId="2D0E525E" w14:textId="364A9ED9" w:rsidR="00483CBC" w:rsidRPr="00E271B5" w:rsidRDefault="00483CBC" w:rsidP="00767492">
      <w:pPr>
        <w:pStyle w:val="SingleTxtG"/>
        <w:ind w:left="1701"/>
      </w:pPr>
      <w:r w:rsidRPr="00B329FA">
        <w:t>(ii)</w:t>
      </w:r>
      <w:r>
        <w:tab/>
        <w:t>P</w:t>
      </w:r>
      <w:r w:rsidRPr="00FA714E">
        <w:t>romoting public interest litigation and collective redress</w:t>
      </w:r>
      <w:r w:rsidR="004C0686">
        <w:t xml:space="preserve">, and removing obstacles public interest lawyers </w:t>
      </w:r>
      <w:proofErr w:type="gramStart"/>
      <w:r w:rsidR="004C0686">
        <w:t>face</w:t>
      </w:r>
      <w:r w:rsidRPr="00FA714E">
        <w:t>;</w:t>
      </w:r>
      <w:proofErr w:type="gramEnd"/>
      <w:r w:rsidRPr="00C24B1E">
        <w:t xml:space="preserve"> </w:t>
      </w:r>
    </w:p>
    <w:p w14:paraId="197A9846" w14:textId="274B2C27" w:rsidR="00483CBC" w:rsidRDefault="00483CBC" w:rsidP="00B445C9">
      <w:pPr>
        <w:pStyle w:val="SingleTxtG"/>
        <w:ind w:left="1701"/>
      </w:pPr>
      <w:r w:rsidRPr="00E271B5">
        <w:t>(iii)</w:t>
      </w:r>
      <w:r w:rsidRPr="00E271B5">
        <w:tab/>
      </w:r>
      <w:r>
        <w:t>Promoting</w:t>
      </w:r>
      <w:r w:rsidRPr="00E44B20">
        <w:t xml:space="preserve"> possibilities for </w:t>
      </w:r>
      <w:r>
        <w:t>memb</w:t>
      </w:r>
      <w:r w:rsidRPr="00E44B20">
        <w:t xml:space="preserve">ers of the public to challenge </w:t>
      </w:r>
      <w:r>
        <w:t>a</w:t>
      </w:r>
      <w:r w:rsidRPr="00E271B5">
        <w:t>cts or omissions that contravene permit requirements or laws relating to the environment</w:t>
      </w:r>
      <w:r w:rsidR="00201410">
        <w:t>, in particular,</w:t>
      </w:r>
      <w:r w:rsidR="00C62321">
        <w:t xml:space="preserve"> </w:t>
      </w:r>
      <w:r w:rsidRPr="00B329FA">
        <w:t>in relation to the following issues: climate change; projects, plans and policies</w:t>
      </w:r>
      <w:r w:rsidRPr="00E42B4F">
        <w:t xml:space="preserve"> </w:t>
      </w:r>
      <w:r>
        <w:t xml:space="preserve">related to </w:t>
      </w:r>
      <w:r w:rsidRPr="00C55B45">
        <w:t>energy</w:t>
      </w:r>
      <w:r>
        <w:t xml:space="preserve"> matters</w:t>
      </w:r>
      <w:r w:rsidRPr="00B329FA">
        <w:t xml:space="preserve">; chemicals </w:t>
      </w:r>
      <w:r w:rsidR="001D6B29">
        <w:t xml:space="preserve">and waste </w:t>
      </w:r>
      <w:r w:rsidRPr="00B329FA">
        <w:t xml:space="preserve">management; </w:t>
      </w:r>
      <w:r w:rsidR="001D6B29">
        <w:t>air and water quality</w:t>
      </w:r>
      <w:r w:rsidR="0090236C">
        <w:t>; noise;</w:t>
      </w:r>
      <w:r w:rsidRPr="00B329FA">
        <w:t xml:space="preserve"> biodiversity protection</w:t>
      </w:r>
      <w:r>
        <w:t>;</w:t>
      </w:r>
      <w:r w:rsidR="0010050B">
        <w:t xml:space="preserve"> and spatial planning;</w:t>
      </w:r>
    </w:p>
    <w:p w14:paraId="0F306AC8" w14:textId="7D3C0AFC" w:rsidR="00483CBC" w:rsidRPr="004118C5" w:rsidRDefault="00483CBC" w:rsidP="00483CBC">
      <w:pPr>
        <w:pStyle w:val="SingleTxtG"/>
        <w:ind w:firstLine="567"/>
      </w:pPr>
      <w:r w:rsidRPr="004118C5">
        <w:t>(b)</w:t>
      </w:r>
      <w:r w:rsidRPr="004118C5">
        <w:tab/>
        <w:t xml:space="preserve">To identify priority needs with respect to public access to justice in environmental matters, to take stock of capacity-building initiatives taking place in the region and beyond, and to promote the involvement of </w:t>
      </w:r>
      <w:r w:rsidRPr="004118C5">
        <w:rPr>
          <w:iCs/>
        </w:rPr>
        <w:t>associations of judges, public interest lawyers and other legal professionals in these initiatives;</w:t>
      </w:r>
    </w:p>
    <w:p w14:paraId="4F7D3AB8" w14:textId="77777777" w:rsidR="00483CBC" w:rsidRPr="00B2551B" w:rsidRDefault="00483CBC" w:rsidP="00483CBC">
      <w:pPr>
        <w:pStyle w:val="SingleTxtG"/>
        <w:ind w:firstLine="567"/>
      </w:pPr>
      <w:r w:rsidRPr="004118C5">
        <w:t>(c)</w:t>
      </w:r>
      <w:r w:rsidRPr="004118C5">
        <w:tab/>
        <w:t xml:space="preserve">As resources allow, to prepare analytical, guidance and training materials to support the </w:t>
      </w:r>
      <w:r w:rsidRPr="00E271B5">
        <w:t xml:space="preserve">work detailed in subparagraphs (a) and (b) </w:t>
      </w:r>
      <w:proofErr w:type="gramStart"/>
      <w:r w:rsidRPr="00E271B5">
        <w:t>above;</w:t>
      </w:r>
      <w:proofErr w:type="gramEnd"/>
      <w:r w:rsidRPr="00E271B5">
        <w:t xml:space="preserve"> </w:t>
      </w:r>
    </w:p>
    <w:p w14:paraId="12428A4D" w14:textId="262DF339" w:rsidR="00483CBC" w:rsidRDefault="00483CBC" w:rsidP="00483CBC">
      <w:pPr>
        <w:pStyle w:val="SingleTxtG"/>
        <w:ind w:firstLine="567"/>
      </w:pPr>
      <w:r w:rsidRPr="00C24B1E">
        <w:rPr>
          <w:szCs w:val="28"/>
        </w:rPr>
        <w:lastRenderedPageBreak/>
        <w:t>(d)</w:t>
      </w:r>
      <w:r w:rsidRPr="00C24B1E">
        <w:rPr>
          <w:szCs w:val="28"/>
        </w:rPr>
        <w:tab/>
      </w:r>
      <w:r w:rsidRPr="00E271B5">
        <w:t>To promote</w:t>
      </w:r>
      <w:r>
        <w:t>:</w:t>
      </w:r>
      <w:r w:rsidRPr="00E271B5">
        <w:t xml:space="preserve"> </w:t>
      </w:r>
      <w:r w:rsidRPr="00C24B1E">
        <w:t>(</w:t>
      </w:r>
      <w:r w:rsidRPr="00E271B5">
        <w:t>i) multi-stakeholder dialogues</w:t>
      </w:r>
      <w:r>
        <w:t>;</w:t>
      </w:r>
      <w:r w:rsidRPr="00E271B5">
        <w:t xml:space="preserve"> </w:t>
      </w:r>
      <w:r w:rsidRPr="00B30D59">
        <w:t>(ii) dissemination of information on access to review procedures, collection of relevant data and statistics and access to relevant case law using e-justice initiatives, modern digital technologies and other tools</w:t>
      </w:r>
      <w:r>
        <w:t>;</w:t>
      </w:r>
      <w:r w:rsidRPr="00E271B5">
        <w:t xml:space="preserve"> (i</w:t>
      </w:r>
      <w:r>
        <w:t>ii</w:t>
      </w:r>
      <w:r w:rsidRPr="00E271B5">
        <w:t>) specialization of judiciary and other legal professionals in environmental law and access to independent environmental expertise</w:t>
      </w:r>
      <w:r>
        <w:t xml:space="preserve">; </w:t>
      </w:r>
      <w:r w:rsidRPr="00E271B5">
        <w:t>(</w:t>
      </w:r>
      <w:r>
        <w:t>i</w:t>
      </w:r>
      <w:r w:rsidRPr="00E271B5">
        <w:t>v) measures to discourage strategic lawsuits against public participation</w:t>
      </w:r>
      <w:r>
        <w:t>;</w:t>
      </w:r>
      <w:r w:rsidRPr="00E271B5">
        <w:t xml:space="preserve"> and (v) </w:t>
      </w:r>
      <w:r w:rsidR="00643B36">
        <w:t xml:space="preserve">as appropriate, </w:t>
      </w:r>
      <w:r w:rsidRPr="00E271B5">
        <w:t>alternative dispute resolution methods;</w:t>
      </w:r>
      <w:r w:rsidRPr="00154A63">
        <w:t xml:space="preserve"> </w:t>
      </w:r>
    </w:p>
    <w:p w14:paraId="1DC05D34" w14:textId="6208C3B1" w:rsidR="00483CBC" w:rsidRPr="004118C5" w:rsidRDefault="00483CBC" w:rsidP="00483CBC">
      <w:pPr>
        <w:pStyle w:val="SingleTxtG"/>
        <w:ind w:firstLine="567"/>
      </w:pPr>
      <w:r w:rsidRPr="004118C5">
        <w:t>(e)</w:t>
      </w:r>
      <w:r w:rsidRPr="004118C5">
        <w:tab/>
        <w:t>To continue facilitating cooperation and networking among members of the judiciary, judicial institutions and other review bodies of countries from different subregions (</w:t>
      </w:r>
      <w:proofErr w:type="spellStart"/>
      <w:proofErr w:type="gramStart"/>
      <w:r w:rsidRPr="004118C5">
        <w:t>e.g</w:t>
      </w:r>
      <w:proofErr w:type="spellEnd"/>
      <w:r w:rsidRPr="004118C5">
        <w:t>,</w:t>
      </w:r>
      <w:r w:rsidR="00DE083B">
        <w:t>,</w:t>
      </w:r>
      <w:proofErr w:type="gramEnd"/>
      <w:r w:rsidRPr="004118C5">
        <w:t xml:space="preserve"> Western, Eastern and South-Eastern Europe, the Caucasus and Central Asia);</w:t>
      </w:r>
    </w:p>
    <w:p w14:paraId="77C45453" w14:textId="77777777" w:rsidR="00483CBC" w:rsidRPr="004118C5" w:rsidRDefault="00483CBC" w:rsidP="00483CBC">
      <w:pPr>
        <w:pStyle w:val="SingleTxtG"/>
        <w:rPr>
          <w:iCs/>
        </w:rPr>
      </w:pPr>
      <w:r w:rsidRPr="004118C5">
        <w:tab/>
      </w:r>
      <w:r>
        <w:tab/>
      </w:r>
      <w:r w:rsidRPr="004118C5">
        <w:t>15.</w:t>
      </w:r>
      <w:r w:rsidRPr="004118C5">
        <w:tab/>
      </w:r>
      <w:r w:rsidRPr="004118C5">
        <w:rPr>
          <w:i/>
          <w:iCs/>
        </w:rPr>
        <w:t>Entrusts</w:t>
      </w:r>
      <w:r w:rsidRPr="004118C5">
        <w:rPr>
          <w:iCs/>
        </w:rPr>
        <w:t xml:space="preserve"> the secretariat, subject to the availability of resources, to undertake the following work:</w:t>
      </w:r>
    </w:p>
    <w:p w14:paraId="41E3FC72" w14:textId="77777777" w:rsidR="00483CBC" w:rsidRPr="004118C5" w:rsidRDefault="00483CBC" w:rsidP="00483CBC">
      <w:pPr>
        <w:pStyle w:val="SingleTxtG"/>
        <w:ind w:firstLine="567"/>
      </w:pPr>
      <w:r w:rsidRPr="004118C5">
        <w:t>(a)</w:t>
      </w:r>
      <w:r w:rsidRPr="004118C5">
        <w:tab/>
        <w:t>To participate in, plan and implement, as appropriate, capacity-building activities, including</w:t>
      </w:r>
      <w:r w:rsidRPr="0022286E">
        <w:t xml:space="preserve"> workshops</w:t>
      </w:r>
      <w:r w:rsidRPr="004118C5">
        <w:t xml:space="preserve"> and training</w:t>
      </w:r>
      <w:r>
        <w:t xml:space="preserve"> </w:t>
      </w:r>
      <w:r w:rsidRPr="004118C5">
        <w:t>s</w:t>
      </w:r>
      <w:r>
        <w:t>essions</w:t>
      </w:r>
      <w:r w:rsidRPr="004118C5">
        <w:t xml:space="preserve"> related to access to justice, to be organized in cooperation with relevant partner </w:t>
      </w:r>
      <w:proofErr w:type="gramStart"/>
      <w:r w:rsidRPr="004118C5">
        <w:t>organizations;</w:t>
      </w:r>
      <w:proofErr w:type="gramEnd"/>
    </w:p>
    <w:p w14:paraId="62588AD6" w14:textId="77777777" w:rsidR="00483CBC" w:rsidRPr="004118C5" w:rsidRDefault="00483CBC" w:rsidP="00483CBC">
      <w:pPr>
        <w:pStyle w:val="SingleTxtG"/>
        <w:ind w:firstLine="567"/>
        <w:rPr>
          <w:iCs/>
        </w:rPr>
      </w:pPr>
      <w:r w:rsidRPr="004118C5">
        <w:t>(b)</w:t>
      </w:r>
      <w:r w:rsidRPr="004118C5">
        <w:tab/>
        <w:t xml:space="preserve">To </w:t>
      </w:r>
      <w:r>
        <w:t>maintain</w:t>
      </w:r>
      <w:r w:rsidRPr="00DE083B">
        <w:rPr>
          <w:bCs/>
        </w:rPr>
        <w:t>,</w:t>
      </w:r>
      <w:r w:rsidRPr="00C32F63">
        <w:rPr>
          <w:b/>
        </w:rPr>
        <w:t xml:space="preserve"> </w:t>
      </w:r>
      <w:r w:rsidRPr="00DE083B">
        <w:rPr>
          <w:rStyle w:val="Strong"/>
          <w:b w:val="0"/>
          <w:bCs w:val="0"/>
        </w:rPr>
        <w:t>in cooperation with the Task Force,</w:t>
      </w:r>
      <w:r w:rsidRPr="00C32F63">
        <w:rPr>
          <w:b/>
        </w:rPr>
        <w:t xml:space="preserve"> </w:t>
      </w:r>
      <w:r w:rsidRPr="00C32F63">
        <w:rPr>
          <w:bCs/>
        </w:rPr>
        <w:t>the Aarhus</w:t>
      </w:r>
      <w:r w:rsidRPr="00057791">
        <w:t xml:space="preserve"> Clearinghouse </w:t>
      </w:r>
      <w:r>
        <w:t xml:space="preserve">for Environmental Democracy </w:t>
      </w:r>
      <w:r w:rsidRPr="00057791">
        <w:t xml:space="preserve">and </w:t>
      </w:r>
      <w:r w:rsidRPr="00057791">
        <w:rPr>
          <w:iCs/>
        </w:rPr>
        <w:t xml:space="preserve">the online jurisprudence database concerning the </w:t>
      </w:r>
      <w:proofErr w:type="gramStart"/>
      <w:r w:rsidRPr="00057791">
        <w:rPr>
          <w:iCs/>
        </w:rPr>
        <w:t>Convention;</w:t>
      </w:r>
      <w:proofErr w:type="gramEnd"/>
    </w:p>
    <w:p w14:paraId="79D32362" w14:textId="77777777" w:rsidR="00483CBC" w:rsidRPr="004118C5" w:rsidRDefault="00483CBC" w:rsidP="00483CBC">
      <w:pPr>
        <w:pStyle w:val="SingleTxtG"/>
        <w:ind w:firstLine="567"/>
        <w:rPr>
          <w:iCs/>
        </w:rPr>
      </w:pPr>
      <w:r w:rsidRPr="004118C5">
        <w:rPr>
          <w:iCs/>
        </w:rPr>
        <w:t>(c)</w:t>
      </w:r>
      <w:r w:rsidRPr="004118C5">
        <w:rPr>
          <w:iCs/>
        </w:rPr>
        <w:tab/>
        <w:t xml:space="preserve">To </w:t>
      </w:r>
      <w:r>
        <w:rPr>
          <w:iCs/>
        </w:rPr>
        <w:t>support</w:t>
      </w:r>
      <w:r w:rsidRPr="004118C5">
        <w:rPr>
          <w:iCs/>
        </w:rPr>
        <w:t xml:space="preserve"> </w:t>
      </w:r>
      <w:r w:rsidRPr="00154A63">
        <w:rPr>
          <w:iCs/>
        </w:rPr>
        <w:t>the cooperation and networking</w:t>
      </w:r>
      <w:r w:rsidRPr="004118C5">
        <w:rPr>
          <w:iCs/>
        </w:rPr>
        <w:t xml:space="preserve"> of the judiciary, judicial institutions and other review bodies under the auspices of the Task </w:t>
      </w:r>
      <w:proofErr w:type="gramStart"/>
      <w:r w:rsidRPr="004118C5">
        <w:rPr>
          <w:iCs/>
        </w:rPr>
        <w:t>Force;</w:t>
      </w:r>
      <w:proofErr w:type="gramEnd"/>
      <w:r w:rsidRPr="004118C5">
        <w:rPr>
          <w:sz w:val="18"/>
          <w:szCs w:val="18"/>
        </w:rPr>
        <w:t xml:space="preserve"> </w:t>
      </w:r>
    </w:p>
    <w:p w14:paraId="3401592B" w14:textId="77777777" w:rsidR="00483CBC" w:rsidRPr="004118C5" w:rsidRDefault="00483CBC" w:rsidP="00483CBC">
      <w:pPr>
        <w:pStyle w:val="SingleTxtG"/>
        <w:rPr>
          <w:iCs/>
        </w:rPr>
      </w:pPr>
      <w:r>
        <w:rPr>
          <w:iCs/>
        </w:rPr>
        <w:tab/>
      </w:r>
      <w:r w:rsidRPr="004118C5">
        <w:rPr>
          <w:iCs/>
        </w:rPr>
        <w:tab/>
        <w:t>16.</w:t>
      </w:r>
      <w:r w:rsidRPr="004118C5">
        <w:rPr>
          <w:iCs/>
        </w:rPr>
        <w:tab/>
      </w:r>
      <w:r w:rsidRPr="004118C5">
        <w:rPr>
          <w:i/>
          <w:iCs/>
        </w:rPr>
        <w:t>Invites</w:t>
      </w:r>
      <w:r w:rsidRPr="004118C5">
        <w:rPr>
          <w:iCs/>
        </w:rPr>
        <w:t xml:space="preserve"> Parties, signatories, other interested States and international and other organizations to participate in the Convention’s activities on access to justice, and to allocate funds for this </w:t>
      </w:r>
      <w:proofErr w:type="gramStart"/>
      <w:r w:rsidRPr="004118C5">
        <w:rPr>
          <w:iCs/>
        </w:rPr>
        <w:t>matter;</w:t>
      </w:r>
      <w:proofErr w:type="gramEnd"/>
    </w:p>
    <w:p w14:paraId="32C6961F" w14:textId="77777777" w:rsidR="00483CBC" w:rsidRPr="004118C5" w:rsidRDefault="00483CBC" w:rsidP="00483CBC">
      <w:pPr>
        <w:pStyle w:val="SingleTxtG"/>
        <w:rPr>
          <w:iCs/>
        </w:rPr>
      </w:pPr>
      <w:r>
        <w:rPr>
          <w:iCs/>
        </w:rPr>
        <w:tab/>
      </w:r>
      <w:r>
        <w:rPr>
          <w:iCs/>
        </w:rPr>
        <w:tab/>
      </w:r>
      <w:r w:rsidRPr="004118C5">
        <w:rPr>
          <w:iCs/>
        </w:rPr>
        <w:t>17.</w:t>
      </w:r>
      <w:r w:rsidRPr="004118C5">
        <w:rPr>
          <w:iCs/>
        </w:rPr>
        <w:tab/>
      </w:r>
      <w:r w:rsidRPr="004118C5">
        <w:rPr>
          <w:i/>
          <w:iCs/>
        </w:rPr>
        <w:t>Encourages</w:t>
      </w:r>
      <w:r w:rsidRPr="004118C5">
        <w:rPr>
          <w:iCs/>
        </w:rPr>
        <w:t xml:space="preserve"> Parties, signatories, other interested States and partner organizations to facilitate the involvement of representatives of ministries of justice, the judiciary, judicial training institutions, review bodies and other organizations having a </w:t>
      </w:r>
      <w:r>
        <w:rPr>
          <w:iCs/>
        </w:rPr>
        <w:t>high</w:t>
      </w:r>
      <w:r w:rsidRPr="004118C5">
        <w:rPr>
          <w:iCs/>
        </w:rPr>
        <w:t xml:space="preserve"> profile in access to justice issues in relevant activities under the Convention;</w:t>
      </w:r>
    </w:p>
    <w:p w14:paraId="0779F264" w14:textId="77777777" w:rsidR="00483CBC" w:rsidRPr="004118C5" w:rsidRDefault="00483CBC" w:rsidP="00483CBC">
      <w:pPr>
        <w:pStyle w:val="SingleTxtG"/>
        <w:rPr>
          <w:i/>
        </w:rPr>
      </w:pPr>
      <w:r>
        <w:rPr>
          <w:rFonts w:eastAsia="Calibri"/>
        </w:rPr>
        <w:tab/>
      </w:r>
      <w:r>
        <w:rPr>
          <w:rFonts w:eastAsia="Calibri"/>
        </w:rPr>
        <w:tab/>
      </w:r>
      <w:r w:rsidRPr="004118C5">
        <w:rPr>
          <w:rFonts w:eastAsia="Calibri"/>
        </w:rPr>
        <w:t>18.</w:t>
      </w:r>
      <w:r w:rsidRPr="004118C5">
        <w:rPr>
          <w:rFonts w:eastAsia="Calibri"/>
        </w:rPr>
        <w:tab/>
      </w:r>
      <w:r w:rsidRPr="004118C5">
        <w:rPr>
          <w:rFonts w:eastAsia="Calibri"/>
          <w:i/>
        </w:rPr>
        <w:t>Requests</w:t>
      </w:r>
      <w:r w:rsidRPr="004118C5">
        <w:rPr>
          <w:rFonts w:eastAsia="Calibri"/>
        </w:rPr>
        <w:t xml:space="preserve"> the Working Group to hold a thematic session on promoting effective public access to justice during one of its meetings in the coming intersessional period, with a view to providing opportunities for Parties, signatories and other stakeholders to exchange experiences on th</w:t>
      </w:r>
      <w:r>
        <w:rPr>
          <w:rFonts w:eastAsia="Calibri"/>
        </w:rPr>
        <w:t>os</w:t>
      </w:r>
      <w:r w:rsidRPr="004118C5">
        <w:rPr>
          <w:rFonts w:eastAsia="Calibri"/>
        </w:rPr>
        <w:t xml:space="preserve">e subjects </w:t>
      </w:r>
      <w:r w:rsidRPr="004118C5">
        <w:t>that deserve particular attention.</w:t>
      </w:r>
    </w:p>
    <w:p w14:paraId="6C54929C" w14:textId="77777777" w:rsidR="00483CBC" w:rsidRPr="00425945" w:rsidRDefault="00483CBC" w:rsidP="00483CBC">
      <w:pPr>
        <w:spacing w:before="240"/>
        <w:ind w:left="1134" w:right="1134"/>
        <w:jc w:val="center"/>
        <w:rPr>
          <w:u w:val="single"/>
        </w:rPr>
      </w:pPr>
      <w:r w:rsidRPr="00425945">
        <w:rPr>
          <w:u w:val="single"/>
        </w:rPr>
        <w:tab/>
      </w:r>
      <w:r w:rsidRPr="00425945">
        <w:rPr>
          <w:u w:val="single"/>
        </w:rPr>
        <w:tab/>
      </w:r>
      <w:r w:rsidRPr="00425945">
        <w:rPr>
          <w:u w:val="single"/>
        </w:rPr>
        <w:tab/>
      </w:r>
      <w:r w:rsidRPr="00425945">
        <w:rPr>
          <w:u w:val="single"/>
        </w:rPr>
        <w:tab/>
      </w:r>
    </w:p>
    <w:sectPr w:rsidR="00483CBC" w:rsidRPr="00425945" w:rsidSect="00483CBC">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8CC9E" w14:textId="77777777" w:rsidR="00261D2C" w:rsidRDefault="00261D2C"/>
  </w:endnote>
  <w:endnote w:type="continuationSeparator" w:id="0">
    <w:p w14:paraId="660DC84E" w14:textId="77777777" w:rsidR="00261D2C" w:rsidRDefault="00261D2C"/>
  </w:endnote>
  <w:endnote w:type="continuationNotice" w:id="1">
    <w:p w14:paraId="1E440AE4" w14:textId="77777777" w:rsidR="00261D2C" w:rsidRDefault="0026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DECE" w14:textId="42B45F02" w:rsidR="00483CBC" w:rsidRPr="00483CBC" w:rsidRDefault="00483CBC" w:rsidP="00483CBC">
    <w:pPr>
      <w:pStyle w:val="Footer"/>
      <w:tabs>
        <w:tab w:val="right" w:pos="9638"/>
      </w:tabs>
      <w:rPr>
        <w:sz w:val="18"/>
      </w:rPr>
    </w:pPr>
    <w:r w:rsidRPr="00483CBC">
      <w:rPr>
        <w:b/>
        <w:sz w:val="18"/>
      </w:rPr>
      <w:fldChar w:fldCharType="begin"/>
    </w:r>
    <w:r w:rsidRPr="00483CBC">
      <w:rPr>
        <w:b/>
        <w:sz w:val="18"/>
      </w:rPr>
      <w:instrText xml:space="preserve"> PAGE  \* MERGEFORMAT </w:instrText>
    </w:r>
    <w:r w:rsidRPr="00483CBC">
      <w:rPr>
        <w:b/>
        <w:sz w:val="18"/>
      </w:rPr>
      <w:fldChar w:fldCharType="separate"/>
    </w:r>
    <w:r w:rsidR="00BA74E3">
      <w:rPr>
        <w:b/>
        <w:noProof/>
        <w:sz w:val="18"/>
      </w:rPr>
      <w:t>4</w:t>
    </w:r>
    <w:r w:rsidRPr="00483CB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5891" w14:textId="78F4AB8D" w:rsidR="00483CBC" w:rsidRPr="00483CBC" w:rsidRDefault="00483CBC" w:rsidP="00483CBC">
    <w:pPr>
      <w:pStyle w:val="Footer"/>
      <w:tabs>
        <w:tab w:val="right" w:pos="9638"/>
      </w:tabs>
      <w:rPr>
        <w:b/>
        <w:sz w:val="18"/>
      </w:rPr>
    </w:pPr>
    <w:r>
      <w:tab/>
    </w:r>
    <w:r w:rsidRPr="00483CBC">
      <w:rPr>
        <w:b/>
        <w:sz w:val="18"/>
      </w:rPr>
      <w:fldChar w:fldCharType="begin"/>
    </w:r>
    <w:r w:rsidRPr="00483CBC">
      <w:rPr>
        <w:b/>
        <w:sz w:val="18"/>
      </w:rPr>
      <w:instrText xml:space="preserve"> PAGE  \* MERGEFORMAT </w:instrText>
    </w:r>
    <w:r w:rsidRPr="00483CBC">
      <w:rPr>
        <w:b/>
        <w:sz w:val="18"/>
      </w:rPr>
      <w:fldChar w:fldCharType="separate"/>
    </w:r>
    <w:r w:rsidR="00B445C9">
      <w:rPr>
        <w:b/>
        <w:noProof/>
        <w:sz w:val="18"/>
      </w:rPr>
      <w:t>5</w:t>
    </w:r>
    <w:r w:rsidRPr="00483CB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E8044" w14:textId="77777777" w:rsidR="00261D2C" w:rsidRPr="000B175B" w:rsidRDefault="00261D2C" w:rsidP="000B175B">
      <w:pPr>
        <w:tabs>
          <w:tab w:val="right" w:pos="2155"/>
        </w:tabs>
        <w:spacing w:after="80"/>
        <w:ind w:left="680"/>
        <w:rPr>
          <w:u w:val="single"/>
        </w:rPr>
      </w:pPr>
      <w:r>
        <w:rPr>
          <w:u w:val="single"/>
        </w:rPr>
        <w:tab/>
      </w:r>
    </w:p>
  </w:footnote>
  <w:footnote w:type="continuationSeparator" w:id="0">
    <w:p w14:paraId="3965C0FC" w14:textId="77777777" w:rsidR="00261D2C" w:rsidRPr="00FC68B7" w:rsidRDefault="00261D2C" w:rsidP="00FC68B7">
      <w:pPr>
        <w:tabs>
          <w:tab w:val="left" w:pos="2155"/>
        </w:tabs>
        <w:spacing w:after="80"/>
        <w:ind w:left="680"/>
        <w:rPr>
          <w:u w:val="single"/>
        </w:rPr>
      </w:pPr>
      <w:r>
        <w:rPr>
          <w:u w:val="single"/>
        </w:rPr>
        <w:tab/>
      </w:r>
    </w:p>
  </w:footnote>
  <w:footnote w:type="continuationNotice" w:id="1">
    <w:p w14:paraId="6C3A559F" w14:textId="77777777" w:rsidR="00261D2C" w:rsidRDefault="00261D2C"/>
  </w:footnote>
  <w:footnote w:id="2">
    <w:p w14:paraId="00E52A1B" w14:textId="6A1E2077" w:rsidR="00483CBC" w:rsidRPr="00F3755E" w:rsidRDefault="009B7B42" w:rsidP="009B7B42">
      <w:pPr>
        <w:pStyle w:val="FootnoteText"/>
      </w:pPr>
      <w:r>
        <w:tab/>
      </w:r>
      <w:r w:rsidR="00483CBC">
        <w:rPr>
          <w:rStyle w:val="FootnoteReference"/>
        </w:rPr>
        <w:footnoteRef/>
      </w:r>
      <w:r>
        <w:tab/>
      </w:r>
      <w:r w:rsidR="00483CBC" w:rsidRPr="0028074D">
        <w:t>See ECE/</w:t>
      </w:r>
      <w:proofErr w:type="gramStart"/>
      <w:r w:rsidR="00483CBC" w:rsidRPr="0028074D">
        <w:t>MP.PP</w:t>
      </w:r>
      <w:proofErr w:type="gramEnd"/>
      <w:r w:rsidR="00483CBC" w:rsidRPr="0028074D">
        <w:t>/2/Add.6.</w:t>
      </w:r>
    </w:p>
  </w:footnote>
  <w:footnote w:id="3">
    <w:p w14:paraId="728D0D45" w14:textId="39CD9384" w:rsidR="00483CBC" w:rsidRPr="00F3755E" w:rsidRDefault="009B7B42" w:rsidP="00483CBC">
      <w:pPr>
        <w:pStyle w:val="FootnoteText"/>
      </w:pPr>
      <w:r>
        <w:tab/>
      </w:r>
      <w:r w:rsidR="00483CBC">
        <w:rPr>
          <w:rStyle w:val="FootnoteReference"/>
        </w:rPr>
        <w:footnoteRef/>
      </w:r>
      <w:r>
        <w:tab/>
      </w:r>
      <w:r w:rsidR="00483CBC">
        <w:t xml:space="preserve">See </w:t>
      </w:r>
      <w:r w:rsidR="00483CBC" w:rsidRPr="00535F04">
        <w:t>ECE/</w:t>
      </w:r>
      <w:proofErr w:type="gramStart"/>
      <w:r w:rsidR="00483CBC" w:rsidRPr="00535F04">
        <w:t>MP.PP</w:t>
      </w:r>
      <w:proofErr w:type="gramEnd"/>
      <w:r w:rsidR="00483CBC" w:rsidRPr="00535F04">
        <w:t>/2005/2/Add.3</w:t>
      </w:r>
      <w:r w:rsidR="00483CBC">
        <w:t>.</w:t>
      </w:r>
    </w:p>
  </w:footnote>
  <w:footnote w:id="4">
    <w:p w14:paraId="28430A81" w14:textId="5043559A" w:rsidR="00483CBC" w:rsidRPr="00F3755E" w:rsidRDefault="009B7B42" w:rsidP="00483CBC">
      <w:pPr>
        <w:pStyle w:val="FootnoteText"/>
      </w:pPr>
      <w:r>
        <w:tab/>
      </w:r>
      <w:r w:rsidR="00483CBC">
        <w:rPr>
          <w:rStyle w:val="FootnoteReference"/>
        </w:rPr>
        <w:footnoteRef/>
      </w:r>
      <w:r>
        <w:tab/>
      </w:r>
      <w:r w:rsidR="00483CBC">
        <w:t xml:space="preserve">See </w:t>
      </w:r>
      <w:r w:rsidR="00483CBC" w:rsidRPr="00535F04">
        <w:t>ECE/</w:t>
      </w:r>
      <w:proofErr w:type="gramStart"/>
      <w:r w:rsidR="00483CBC" w:rsidRPr="00535F04">
        <w:t>MP.PP</w:t>
      </w:r>
      <w:proofErr w:type="gramEnd"/>
      <w:r w:rsidR="00483CBC" w:rsidRPr="00535F04">
        <w:t>/2008/2/Add.5</w:t>
      </w:r>
      <w:r w:rsidR="00483CBC">
        <w:t>.</w:t>
      </w:r>
    </w:p>
  </w:footnote>
  <w:footnote w:id="5">
    <w:p w14:paraId="2EF6AE3D" w14:textId="18B5045E" w:rsidR="00483CBC" w:rsidRPr="00F3755E" w:rsidRDefault="009B7B42" w:rsidP="00483CBC">
      <w:pPr>
        <w:pStyle w:val="FootnoteText"/>
      </w:pPr>
      <w:r>
        <w:tab/>
      </w:r>
      <w:r w:rsidR="00483CBC">
        <w:rPr>
          <w:rStyle w:val="FootnoteReference"/>
        </w:rPr>
        <w:footnoteRef/>
      </w:r>
      <w:r>
        <w:tab/>
      </w:r>
      <w:r w:rsidR="00483CBC" w:rsidRPr="0028074D">
        <w:t>See ECE/</w:t>
      </w:r>
      <w:proofErr w:type="gramStart"/>
      <w:r w:rsidR="00483CBC" w:rsidRPr="0028074D">
        <w:t>MP.PP</w:t>
      </w:r>
      <w:proofErr w:type="gramEnd"/>
      <w:r w:rsidR="00483CBC" w:rsidRPr="0028074D">
        <w:t>/2011/2/Add.1.</w:t>
      </w:r>
    </w:p>
  </w:footnote>
  <w:footnote w:id="6">
    <w:p w14:paraId="4887168D" w14:textId="2F4383F8" w:rsidR="00483CBC" w:rsidRPr="00F3755E" w:rsidRDefault="009B7B42" w:rsidP="00483CBC">
      <w:pPr>
        <w:pStyle w:val="FootnoteText"/>
      </w:pPr>
      <w:r>
        <w:tab/>
      </w:r>
      <w:r w:rsidR="00483CBC">
        <w:rPr>
          <w:rStyle w:val="FootnoteReference"/>
        </w:rPr>
        <w:footnoteRef/>
      </w:r>
      <w:r>
        <w:tab/>
      </w:r>
      <w:r w:rsidR="00483CBC">
        <w:t xml:space="preserve">See </w:t>
      </w:r>
      <w:r w:rsidR="00483CBC" w:rsidRPr="00535F04">
        <w:t>ECE/</w:t>
      </w:r>
      <w:proofErr w:type="gramStart"/>
      <w:r w:rsidR="00483CBC" w:rsidRPr="00535F04">
        <w:t>MP.PP</w:t>
      </w:r>
      <w:proofErr w:type="gramEnd"/>
      <w:r w:rsidR="00483CBC" w:rsidRPr="00535F04">
        <w:t>/2014/2/Add.1</w:t>
      </w:r>
      <w:r w:rsidR="00483CBC">
        <w:t>.</w:t>
      </w:r>
    </w:p>
  </w:footnote>
  <w:footnote w:id="7">
    <w:p w14:paraId="01790880" w14:textId="4F058EDF" w:rsidR="00483CBC" w:rsidRPr="00F3755E" w:rsidRDefault="009B7B42" w:rsidP="00483CBC">
      <w:pPr>
        <w:pStyle w:val="FootnoteText"/>
      </w:pPr>
      <w:r>
        <w:tab/>
      </w:r>
      <w:r w:rsidR="00483CBC">
        <w:rPr>
          <w:rStyle w:val="FootnoteReference"/>
        </w:rPr>
        <w:footnoteRef/>
      </w:r>
      <w:r>
        <w:tab/>
      </w:r>
      <w:r w:rsidR="00483CBC" w:rsidRPr="0028074D">
        <w:t>See ECE/</w:t>
      </w:r>
      <w:proofErr w:type="gramStart"/>
      <w:r w:rsidR="00483CBC" w:rsidRPr="0028074D">
        <w:t>MP.PP</w:t>
      </w:r>
      <w:proofErr w:type="gramEnd"/>
      <w:r w:rsidR="00483CBC" w:rsidRPr="0028074D">
        <w:t>/2017/2/Add.1.</w:t>
      </w:r>
    </w:p>
  </w:footnote>
  <w:footnote w:id="8">
    <w:p w14:paraId="129404F2" w14:textId="7F22CBFD" w:rsidR="00FB102F" w:rsidRPr="00FB102F" w:rsidRDefault="000F2242" w:rsidP="000F2242">
      <w:pPr>
        <w:pStyle w:val="FootnoteText"/>
        <w:rPr>
          <w:lang w:val="en-US"/>
        </w:rPr>
      </w:pPr>
      <w:r>
        <w:tab/>
      </w:r>
      <w:r w:rsidR="00FB102F">
        <w:rPr>
          <w:rStyle w:val="FootnoteReference"/>
        </w:rPr>
        <w:footnoteRef/>
      </w:r>
      <w:r>
        <w:tab/>
      </w:r>
      <w:r w:rsidR="00FB102F" w:rsidRPr="00A128BC">
        <w:t>Forthcoming.</w:t>
      </w:r>
    </w:p>
  </w:footnote>
  <w:footnote w:id="9">
    <w:p w14:paraId="0BA4FCD4" w14:textId="416AE312" w:rsidR="00FB102F" w:rsidRPr="00FB102F" w:rsidRDefault="000F2242">
      <w:pPr>
        <w:pStyle w:val="FootnoteText"/>
        <w:rPr>
          <w:lang w:val="en-US"/>
        </w:rPr>
      </w:pPr>
      <w:r>
        <w:tab/>
      </w:r>
      <w:r w:rsidR="00FB102F">
        <w:rPr>
          <w:rStyle w:val="FootnoteReference"/>
        </w:rPr>
        <w:footnoteRef/>
      </w:r>
      <w:r>
        <w:tab/>
      </w:r>
      <w:r w:rsidR="00BD7439" w:rsidRPr="00A128BC">
        <w:t>Forthcoming.</w:t>
      </w:r>
    </w:p>
  </w:footnote>
  <w:footnote w:id="10">
    <w:p w14:paraId="1B47D1D9" w14:textId="64A1A84F" w:rsidR="00483CBC" w:rsidRDefault="009B7B42" w:rsidP="00483CBC">
      <w:pPr>
        <w:pStyle w:val="FootnoteText"/>
        <w:widowControl w:val="0"/>
      </w:pPr>
      <w:r>
        <w:tab/>
      </w:r>
      <w:r w:rsidR="00483CBC" w:rsidRPr="001A393A">
        <w:rPr>
          <w:rStyle w:val="FootnoteReference"/>
        </w:rPr>
        <w:footnoteRef/>
      </w:r>
      <w:r w:rsidR="00483CBC" w:rsidRPr="001A393A">
        <w:tab/>
        <w:t>ECE/</w:t>
      </w:r>
      <w:proofErr w:type="gramStart"/>
      <w:r w:rsidR="00483CBC" w:rsidRPr="001A393A">
        <w:t>MP.PP</w:t>
      </w:r>
      <w:proofErr w:type="gramEnd"/>
      <w:r w:rsidR="00483CBC" w:rsidRPr="001A393A">
        <w:t>/WG.1/2018/3, ECE/MP.PP/WG.1/2019/4, ECE/MP.PP/WG.1/2020/2 and</w:t>
      </w:r>
      <w:r w:rsidR="00E15CA2">
        <w:t xml:space="preserve"> </w:t>
      </w:r>
      <w:r w:rsidR="00483CBC" w:rsidRPr="001A393A">
        <w:t>ECE/MP.PP/WG.1/2021/5.</w:t>
      </w:r>
    </w:p>
  </w:footnote>
  <w:footnote w:id="11">
    <w:p w14:paraId="2D4A1FEA" w14:textId="006C7032" w:rsidR="00483CBC" w:rsidRPr="00154677" w:rsidRDefault="009B7B42" w:rsidP="00483CBC">
      <w:pPr>
        <w:pStyle w:val="FootnoteText"/>
        <w:rPr>
          <w:lang w:val="en-US"/>
        </w:rPr>
      </w:pPr>
      <w:r>
        <w:tab/>
      </w:r>
      <w:r w:rsidR="00483CBC">
        <w:rPr>
          <w:rStyle w:val="FootnoteReference"/>
        </w:rPr>
        <w:footnoteRef/>
      </w:r>
      <w:r w:rsidR="00483CBC">
        <w:tab/>
        <w:t>E-justice initiatives include the use of information and communications technologies to improve public access to justice and other types of activities involving the resolution of disputes.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33EB" w14:textId="39B3C660" w:rsidR="00466CC1" w:rsidRPr="006B5456" w:rsidRDefault="006B5456" w:rsidP="006B5456">
    <w:pPr>
      <w:pStyle w:val="Header"/>
      <w:rPr>
        <w:b w:val="0"/>
        <w:bCs/>
        <w:sz w:val="20"/>
      </w:rPr>
    </w:pPr>
    <w:r w:rsidRPr="006B5456">
      <w:rPr>
        <w:b w:val="0"/>
        <w:bCs/>
        <w:sz w:val="20"/>
      </w:rPr>
      <w:t>ECE/</w:t>
    </w:r>
    <w:proofErr w:type="gramStart"/>
    <w:r w:rsidRPr="006B5456">
      <w:rPr>
        <w:b w:val="0"/>
        <w:bCs/>
        <w:sz w:val="20"/>
      </w:rPr>
      <w:t>MP.PP</w:t>
    </w:r>
    <w:proofErr w:type="gramEnd"/>
    <w:r w:rsidRPr="006B5456">
      <w:rPr>
        <w:b w:val="0"/>
        <w:bCs/>
        <w:sz w:val="20"/>
      </w:rPr>
      <w:t>/2021/10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AAD1" w14:textId="77777777" w:rsidR="006B5456" w:rsidRPr="006B5456" w:rsidRDefault="006B5456" w:rsidP="006B5456">
    <w:pPr>
      <w:pStyle w:val="Header"/>
      <w:jc w:val="right"/>
      <w:rPr>
        <w:b w:val="0"/>
        <w:bCs/>
        <w:sz w:val="20"/>
      </w:rPr>
    </w:pPr>
    <w:r w:rsidRPr="006B5456">
      <w:rPr>
        <w:b w:val="0"/>
        <w:bCs/>
        <w:sz w:val="20"/>
      </w:rPr>
      <w:t>ECE/</w:t>
    </w:r>
    <w:proofErr w:type="gramStart"/>
    <w:r w:rsidRPr="006B5456">
      <w:rPr>
        <w:b w:val="0"/>
        <w:bCs/>
        <w:sz w:val="20"/>
      </w:rPr>
      <w:t>MP.PP</w:t>
    </w:r>
    <w:proofErr w:type="gramEnd"/>
    <w:r w:rsidRPr="006B5456">
      <w:rPr>
        <w:b w:val="0"/>
        <w:bCs/>
        <w:sz w:val="20"/>
      </w:rPr>
      <w:t>/2021/10</w:t>
    </w:r>
  </w:p>
  <w:p w14:paraId="2A7A217E" w14:textId="15A46812" w:rsidR="00483CBC" w:rsidRPr="00483CBC" w:rsidRDefault="00D47DE7" w:rsidP="00483CBC">
    <w:pPr>
      <w:pStyle w:val="Header"/>
      <w:jc w:val="right"/>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BC"/>
    <w:rsid w:val="00002A7D"/>
    <w:rsid w:val="000038A8"/>
    <w:rsid w:val="00006790"/>
    <w:rsid w:val="000227DD"/>
    <w:rsid w:val="00027624"/>
    <w:rsid w:val="00027A93"/>
    <w:rsid w:val="00050C30"/>
    <w:rsid w:val="00050F6B"/>
    <w:rsid w:val="000678CD"/>
    <w:rsid w:val="00072C8C"/>
    <w:rsid w:val="00081CE0"/>
    <w:rsid w:val="00084D30"/>
    <w:rsid w:val="00090320"/>
    <w:rsid w:val="000931C0"/>
    <w:rsid w:val="000A2E09"/>
    <w:rsid w:val="000A3E62"/>
    <w:rsid w:val="000B175B"/>
    <w:rsid w:val="000B3A0F"/>
    <w:rsid w:val="000E0415"/>
    <w:rsid w:val="000F2242"/>
    <w:rsid w:val="000F5FAB"/>
    <w:rsid w:val="000F7715"/>
    <w:rsid w:val="0010050B"/>
    <w:rsid w:val="00102026"/>
    <w:rsid w:val="00110984"/>
    <w:rsid w:val="00133CB5"/>
    <w:rsid w:val="00156B99"/>
    <w:rsid w:val="00166124"/>
    <w:rsid w:val="00184DDA"/>
    <w:rsid w:val="001900CD"/>
    <w:rsid w:val="001A0452"/>
    <w:rsid w:val="001B4B04"/>
    <w:rsid w:val="001B5875"/>
    <w:rsid w:val="001C14F7"/>
    <w:rsid w:val="001C4B9C"/>
    <w:rsid w:val="001C6663"/>
    <w:rsid w:val="001C7895"/>
    <w:rsid w:val="001D26DF"/>
    <w:rsid w:val="001D6B29"/>
    <w:rsid w:val="001F1599"/>
    <w:rsid w:val="001F19C4"/>
    <w:rsid w:val="00201410"/>
    <w:rsid w:val="002043F0"/>
    <w:rsid w:val="00211E0B"/>
    <w:rsid w:val="00232575"/>
    <w:rsid w:val="00247258"/>
    <w:rsid w:val="00257CAC"/>
    <w:rsid w:val="00261D2C"/>
    <w:rsid w:val="0027237A"/>
    <w:rsid w:val="002955D6"/>
    <w:rsid w:val="002974E9"/>
    <w:rsid w:val="002A7F94"/>
    <w:rsid w:val="002B109A"/>
    <w:rsid w:val="002C200F"/>
    <w:rsid w:val="002C6D45"/>
    <w:rsid w:val="002D6E53"/>
    <w:rsid w:val="002F046D"/>
    <w:rsid w:val="002F3023"/>
    <w:rsid w:val="002F495F"/>
    <w:rsid w:val="002F73CD"/>
    <w:rsid w:val="00301764"/>
    <w:rsid w:val="003142B4"/>
    <w:rsid w:val="003229D8"/>
    <w:rsid w:val="00336C97"/>
    <w:rsid w:val="00337F88"/>
    <w:rsid w:val="00342432"/>
    <w:rsid w:val="0035223F"/>
    <w:rsid w:val="00352D4B"/>
    <w:rsid w:val="00352F9A"/>
    <w:rsid w:val="0035638C"/>
    <w:rsid w:val="003A46BB"/>
    <w:rsid w:val="003A4EC7"/>
    <w:rsid w:val="003A7295"/>
    <w:rsid w:val="003B0E72"/>
    <w:rsid w:val="003B1F60"/>
    <w:rsid w:val="003C2CC4"/>
    <w:rsid w:val="003D4B23"/>
    <w:rsid w:val="003E278A"/>
    <w:rsid w:val="003E62A0"/>
    <w:rsid w:val="0040110C"/>
    <w:rsid w:val="00413520"/>
    <w:rsid w:val="00420AA3"/>
    <w:rsid w:val="004325CB"/>
    <w:rsid w:val="00440A07"/>
    <w:rsid w:val="00462880"/>
    <w:rsid w:val="00466CC1"/>
    <w:rsid w:val="00476F24"/>
    <w:rsid w:val="004838BC"/>
    <w:rsid w:val="00483CBC"/>
    <w:rsid w:val="004A3521"/>
    <w:rsid w:val="004B4725"/>
    <w:rsid w:val="004C0686"/>
    <w:rsid w:val="004C55B0"/>
    <w:rsid w:val="004D158A"/>
    <w:rsid w:val="004D256C"/>
    <w:rsid w:val="004E618D"/>
    <w:rsid w:val="004F2293"/>
    <w:rsid w:val="004F6BA0"/>
    <w:rsid w:val="00503BEA"/>
    <w:rsid w:val="005171F3"/>
    <w:rsid w:val="00533616"/>
    <w:rsid w:val="00535ABA"/>
    <w:rsid w:val="0053768B"/>
    <w:rsid w:val="005420F2"/>
    <w:rsid w:val="0054285C"/>
    <w:rsid w:val="00547D59"/>
    <w:rsid w:val="00584173"/>
    <w:rsid w:val="00595520"/>
    <w:rsid w:val="005A44B9"/>
    <w:rsid w:val="005B1BA0"/>
    <w:rsid w:val="005B3DB3"/>
    <w:rsid w:val="005C187A"/>
    <w:rsid w:val="005D15CA"/>
    <w:rsid w:val="005F08DF"/>
    <w:rsid w:val="005F3066"/>
    <w:rsid w:val="005F3E61"/>
    <w:rsid w:val="00604DDD"/>
    <w:rsid w:val="00605FB3"/>
    <w:rsid w:val="006115CC"/>
    <w:rsid w:val="00611FC4"/>
    <w:rsid w:val="006176FB"/>
    <w:rsid w:val="00630FCB"/>
    <w:rsid w:val="00640B26"/>
    <w:rsid w:val="00643B36"/>
    <w:rsid w:val="0065766B"/>
    <w:rsid w:val="00664C41"/>
    <w:rsid w:val="0066654F"/>
    <w:rsid w:val="006770B2"/>
    <w:rsid w:val="006772A6"/>
    <w:rsid w:val="00686A48"/>
    <w:rsid w:val="006940E1"/>
    <w:rsid w:val="006A3C72"/>
    <w:rsid w:val="006A7392"/>
    <w:rsid w:val="006B03A1"/>
    <w:rsid w:val="006B5456"/>
    <w:rsid w:val="006B67D9"/>
    <w:rsid w:val="006C5535"/>
    <w:rsid w:val="006D0589"/>
    <w:rsid w:val="006E564B"/>
    <w:rsid w:val="006E7154"/>
    <w:rsid w:val="006F6D0D"/>
    <w:rsid w:val="007003CD"/>
    <w:rsid w:val="0070701E"/>
    <w:rsid w:val="0071142D"/>
    <w:rsid w:val="0071311B"/>
    <w:rsid w:val="00722780"/>
    <w:rsid w:val="0072632A"/>
    <w:rsid w:val="007358E8"/>
    <w:rsid w:val="00735DE8"/>
    <w:rsid w:val="00736ECE"/>
    <w:rsid w:val="0074533B"/>
    <w:rsid w:val="00747947"/>
    <w:rsid w:val="007643BC"/>
    <w:rsid w:val="00767492"/>
    <w:rsid w:val="00780C68"/>
    <w:rsid w:val="007946E3"/>
    <w:rsid w:val="007959FE"/>
    <w:rsid w:val="007A0CF1"/>
    <w:rsid w:val="007B6BA5"/>
    <w:rsid w:val="007C3390"/>
    <w:rsid w:val="007C42D8"/>
    <w:rsid w:val="007C4F4B"/>
    <w:rsid w:val="007C74CB"/>
    <w:rsid w:val="007D7362"/>
    <w:rsid w:val="007F5CE2"/>
    <w:rsid w:val="007F6611"/>
    <w:rsid w:val="008050D9"/>
    <w:rsid w:val="00810BAC"/>
    <w:rsid w:val="008175E9"/>
    <w:rsid w:val="008242D7"/>
    <w:rsid w:val="0082577B"/>
    <w:rsid w:val="00843EFA"/>
    <w:rsid w:val="00866893"/>
    <w:rsid w:val="00866F02"/>
    <w:rsid w:val="00867D18"/>
    <w:rsid w:val="00871F9A"/>
    <w:rsid w:val="00871FD5"/>
    <w:rsid w:val="0088172E"/>
    <w:rsid w:val="00881EFA"/>
    <w:rsid w:val="008843EB"/>
    <w:rsid w:val="008879CB"/>
    <w:rsid w:val="008979B1"/>
    <w:rsid w:val="008A6B25"/>
    <w:rsid w:val="008A6C4F"/>
    <w:rsid w:val="008B389E"/>
    <w:rsid w:val="008C29F6"/>
    <w:rsid w:val="008D045E"/>
    <w:rsid w:val="008D3F25"/>
    <w:rsid w:val="008D4D82"/>
    <w:rsid w:val="008E0E46"/>
    <w:rsid w:val="008E7116"/>
    <w:rsid w:val="008F143B"/>
    <w:rsid w:val="008F3882"/>
    <w:rsid w:val="008F4B7C"/>
    <w:rsid w:val="009022CF"/>
    <w:rsid w:val="0090236C"/>
    <w:rsid w:val="00926E47"/>
    <w:rsid w:val="009326F1"/>
    <w:rsid w:val="00944121"/>
    <w:rsid w:val="009449EC"/>
    <w:rsid w:val="0094673F"/>
    <w:rsid w:val="00947162"/>
    <w:rsid w:val="009610D0"/>
    <w:rsid w:val="00961304"/>
    <w:rsid w:val="0096375C"/>
    <w:rsid w:val="009662E6"/>
    <w:rsid w:val="0097095E"/>
    <w:rsid w:val="009724E4"/>
    <w:rsid w:val="0098592B"/>
    <w:rsid w:val="00985FC4"/>
    <w:rsid w:val="00990766"/>
    <w:rsid w:val="00991261"/>
    <w:rsid w:val="00991B48"/>
    <w:rsid w:val="009964C4"/>
    <w:rsid w:val="009A7B81"/>
    <w:rsid w:val="009B7B42"/>
    <w:rsid w:val="009D01C0"/>
    <w:rsid w:val="009D6A08"/>
    <w:rsid w:val="009E0A16"/>
    <w:rsid w:val="009E6CB7"/>
    <w:rsid w:val="009E7970"/>
    <w:rsid w:val="009F2EAC"/>
    <w:rsid w:val="009F57E3"/>
    <w:rsid w:val="009F5AE3"/>
    <w:rsid w:val="00A10F4F"/>
    <w:rsid w:val="00A11067"/>
    <w:rsid w:val="00A11E67"/>
    <w:rsid w:val="00A16B69"/>
    <w:rsid w:val="00A1704A"/>
    <w:rsid w:val="00A425EB"/>
    <w:rsid w:val="00A47271"/>
    <w:rsid w:val="00A66BD3"/>
    <w:rsid w:val="00A72F22"/>
    <w:rsid w:val="00A733BC"/>
    <w:rsid w:val="00A748A6"/>
    <w:rsid w:val="00A75F5B"/>
    <w:rsid w:val="00A76A69"/>
    <w:rsid w:val="00A879A4"/>
    <w:rsid w:val="00AA0FF8"/>
    <w:rsid w:val="00AC0F2C"/>
    <w:rsid w:val="00AC502A"/>
    <w:rsid w:val="00AE4C1D"/>
    <w:rsid w:val="00AF58C1"/>
    <w:rsid w:val="00B04A3F"/>
    <w:rsid w:val="00B06643"/>
    <w:rsid w:val="00B15055"/>
    <w:rsid w:val="00B20551"/>
    <w:rsid w:val="00B30179"/>
    <w:rsid w:val="00B33FC7"/>
    <w:rsid w:val="00B37B15"/>
    <w:rsid w:val="00B445C9"/>
    <w:rsid w:val="00B449F7"/>
    <w:rsid w:val="00B45C02"/>
    <w:rsid w:val="00B70B63"/>
    <w:rsid w:val="00B72A1E"/>
    <w:rsid w:val="00B81E12"/>
    <w:rsid w:val="00BA12A1"/>
    <w:rsid w:val="00BA339B"/>
    <w:rsid w:val="00BA74E3"/>
    <w:rsid w:val="00BC1E7E"/>
    <w:rsid w:val="00BC74E9"/>
    <w:rsid w:val="00BD7439"/>
    <w:rsid w:val="00BE36A9"/>
    <w:rsid w:val="00BE618E"/>
    <w:rsid w:val="00BE7BEC"/>
    <w:rsid w:val="00BF0A5A"/>
    <w:rsid w:val="00BF0E63"/>
    <w:rsid w:val="00BF12A3"/>
    <w:rsid w:val="00BF16D7"/>
    <w:rsid w:val="00BF2373"/>
    <w:rsid w:val="00C0018B"/>
    <w:rsid w:val="00C044E2"/>
    <w:rsid w:val="00C048CB"/>
    <w:rsid w:val="00C066F3"/>
    <w:rsid w:val="00C261D3"/>
    <w:rsid w:val="00C26EA5"/>
    <w:rsid w:val="00C37459"/>
    <w:rsid w:val="00C463DD"/>
    <w:rsid w:val="00C47173"/>
    <w:rsid w:val="00C60F43"/>
    <w:rsid w:val="00C62321"/>
    <w:rsid w:val="00C745C3"/>
    <w:rsid w:val="00C87136"/>
    <w:rsid w:val="00C978F5"/>
    <w:rsid w:val="00CA24A4"/>
    <w:rsid w:val="00CB348D"/>
    <w:rsid w:val="00CC2EE7"/>
    <w:rsid w:val="00CD46F5"/>
    <w:rsid w:val="00CE4A8F"/>
    <w:rsid w:val="00CF071D"/>
    <w:rsid w:val="00D0123D"/>
    <w:rsid w:val="00D15B04"/>
    <w:rsid w:val="00D2031B"/>
    <w:rsid w:val="00D25FE2"/>
    <w:rsid w:val="00D37DA9"/>
    <w:rsid w:val="00D406A7"/>
    <w:rsid w:val="00D43252"/>
    <w:rsid w:val="00D44D86"/>
    <w:rsid w:val="00D47DE7"/>
    <w:rsid w:val="00D50B7D"/>
    <w:rsid w:val="00D52012"/>
    <w:rsid w:val="00D704E5"/>
    <w:rsid w:val="00D72727"/>
    <w:rsid w:val="00D978C6"/>
    <w:rsid w:val="00DA0956"/>
    <w:rsid w:val="00DA1FAA"/>
    <w:rsid w:val="00DA357F"/>
    <w:rsid w:val="00DA3E12"/>
    <w:rsid w:val="00DC09F8"/>
    <w:rsid w:val="00DC18AD"/>
    <w:rsid w:val="00DD0E69"/>
    <w:rsid w:val="00DD6380"/>
    <w:rsid w:val="00DE083B"/>
    <w:rsid w:val="00DE7E03"/>
    <w:rsid w:val="00DF544B"/>
    <w:rsid w:val="00DF7CAE"/>
    <w:rsid w:val="00E15CA2"/>
    <w:rsid w:val="00E22602"/>
    <w:rsid w:val="00E22704"/>
    <w:rsid w:val="00E423C0"/>
    <w:rsid w:val="00E52040"/>
    <w:rsid w:val="00E55A5C"/>
    <w:rsid w:val="00E6414C"/>
    <w:rsid w:val="00E7260F"/>
    <w:rsid w:val="00E769E1"/>
    <w:rsid w:val="00E8702D"/>
    <w:rsid w:val="00E905F4"/>
    <w:rsid w:val="00E916A9"/>
    <w:rsid w:val="00E916DE"/>
    <w:rsid w:val="00E925AD"/>
    <w:rsid w:val="00E96630"/>
    <w:rsid w:val="00EA6DD4"/>
    <w:rsid w:val="00ED18DC"/>
    <w:rsid w:val="00ED2108"/>
    <w:rsid w:val="00ED6201"/>
    <w:rsid w:val="00ED7A2A"/>
    <w:rsid w:val="00EF1D7F"/>
    <w:rsid w:val="00F0137E"/>
    <w:rsid w:val="00F21786"/>
    <w:rsid w:val="00F3742B"/>
    <w:rsid w:val="00F41FDB"/>
    <w:rsid w:val="00F51819"/>
    <w:rsid w:val="00F538E0"/>
    <w:rsid w:val="00F54AA9"/>
    <w:rsid w:val="00F56D63"/>
    <w:rsid w:val="00F609A9"/>
    <w:rsid w:val="00F80C99"/>
    <w:rsid w:val="00F867EC"/>
    <w:rsid w:val="00F91B2B"/>
    <w:rsid w:val="00FA6B3C"/>
    <w:rsid w:val="00FB102F"/>
    <w:rsid w:val="00FB1E05"/>
    <w:rsid w:val="00FC03CD"/>
    <w:rsid w:val="00FC0646"/>
    <w:rsid w:val="00FC3147"/>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1F68C"/>
  <w15:docId w15:val="{C8FF36F0-831C-490A-AAB8-E0FD0C2E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symbol,Footnote reference number,Footnote Reference Superscript,BVI fnr,SUPERS,(Footnote Reference),Footnote,Voetnootverwijzing,Times 10 Point,Exposant 3 Point,note TESI,Odwołanie przypisu,Footnotemark,FR,Ref,E"/>
    <w:basedOn w:val="DefaultParagraphFont"/>
    <w:qFormat/>
    <w:rsid w:val="00E925AD"/>
    <w:rPr>
      <w:rFonts w:ascii="Times New Roman" w:hAnsi="Times New Roman"/>
      <w:sz w:val="18"/>
      <w:vertAlign w:val="superscript"/>
    </w:rPr>
  </w:style>
  <w:style w:type="paragraph" w:styleId="FootnoteText">
    <w:name w:val="footnote text"/>
    <w:aliases w:val="5_G,fn,footnote text,Footnotes,Footnote ak,Tekst przypisu,Fußnote"/>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SingleTxtGChar">
    <w:name w:val="_ Single Txt_G Char"/>
    <w:link w:val="SingleTxtG"/>
    <w:qFormat/>
    <w:rsid w:val="00483CBC"/>
    <w:rPr>
      <w:lang w:val="en-GB"/>
    </w:rPr>
  </w:style>
  <w:style w:type="character" w:customStyle="1" w:styleId="H1GChar">
    <w:name w:val="_ H_1_G Char"/>
    <w:link w:val="H1G"/>
    <w:rsid w:val="00483CBC"/>
    <w:rPr>
      <w:b/>
      <w:sz w:val="24"/>
      <w:lang w:val="en-GB"/>
    </w:rPr>
  </w:style>
  <w:style w:type="character" w:customStyle="1" w:styleId="FootnoteTextChar">
    <w:name w:val="Footnote Text Char"/>
    <w:aliases w:val="5_G Char,fn Char,footnote text Char,Footnotes Char,Footnote ak Char,Tekst przypisu Char,Fußnote Char"/>
    <w:link w:val="FootnoteText"/>
    <w:rsid w:val="00483CBC"/>
    <w:rPr>
      <w:sz w:val="18"/>
      <w:lang w:val="en-GB"/>
    </w:rPr>
  </w:style>
  <w:style w:type="character" w:styleId="CommentReference">
    <w:name w:val="annotation reference"/>
    <w:basedOn w:val="DefaultParagraphFont"/>
    <w:rsid w:val="00483CBC"/>
    <w:rPr>
      <w:sz w:val="6"/>
    </w:rPr>
  </w:style>
  <w:style w:type="paragraph" w:styleId="CommentText">
    <w:name w:val="annotation text"/>
    <w:basedOn w:val="Normal"/>
    <w:link w:val="CommentTextChar"/>
    <w:rsid w:val="00483CBC"/>
    <w:rPr>
      <w:lang w:eastAsia="en-US"/>
    </w:rPr>
  </w:style>
  <w:style w:type="character" w:customStyle="1" w:styleId="CommentTextChar">
    <w:name w:val="Comment Text Char"/>
    <w:basedOn w:val="DefaultParagraphFont"/>
    <w:link w:val="CommentText"/>
    <w:rsid w:val="00483CBC"/>
    <w:rPr>
      <w:lang w:val="en-GB" w:eastAsia="en-US"/>
    </w:rPr>
  </w:style>
  <w:style w:type="character" w:styleId="Strong">
    <w:name w:val="Strong"/>
    <w:basedOn w:val="DefaultParagraphFont"/>
    <w:qFormat/>
    <w:rsid w:val="00483CBC"/>
    <w:rPr>
      <w:b/>
      <w:bCs/>
    </w:rPr>
  </w:style>
  <w:style w:type="character" w:customStyle="1" w:styleId="UnresolvedMention1">
    <w:name w:val="Unresolved Mention1"/>
    <w:basedOn w:val="DefaultParagraphFont"/>
    <w:uiPriority w:val="99"/>
    <w:semiHidden/>
    <w:unhideWhenUsed/>
    <w:rsid w:val="00483CBC"/>
    <w:rPr>
      <w:color w:val="605E5C"/>
      <w:shd w:val="clear" w:color="auto" w:fill="E1DFDD"/>
    </w:rPr>
  </w:style>
  <w:style w:type="paragraph" w:styleId="CommentSubject">
    <w:name w:val="annotation subject"/>
    <w:basedOn w:val="CommentText"/>
    <w:next w:val="CommentText"/>
    <w:link w:val="CommentSubjectChar"/>
    <w:semiHidden/>
    <w:unhideWhenUsed/>
    <w:rsid w:val="00E22602"/>
    <w:pPr>
      <w:spacing w:line="240" w:lineRule="auto"/>
    </w:pPr>
    <w:rPr>
      <w:b/>
      <w:bCs/>
      <w:lang w:eastAsia="fr-FR"/>
    </w:rPr>
  </w:style>
  <w:style w:type="character" w:customStyle="1" w:styleId="CommentSubjectChar">
    <w:name w:val="Comment Subject Char"/>
    <w:basedOn w:val="CommentTextChar"/>
    <w:link w:val="CommentSubject"/>
    <w:semiHidden/>
    <w:rsid w:val="00E2260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3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Props1.xml><?xml version="1.0" encoding="utf-8"?>
<ds:datastoreItem xmlns:ds="http://schemas.openxmlformats.org/officeDocument/2006/customXml" ds:itemID="{6159F347-0601-4B5E-BC30-CBC37579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FE673-4A22-4517-8473-142E0DD69AE4}">
  <ds:schemaRefs>
    <ds:schemaRef ds:uri="http://schemas.microsoft.com/sharepoint/v3/contenttype/forms"/>
  </ds:schemaRefs>
</ds:datastoreItem>
</file>

<file path=customXml/itemProps3.xml><?xml version="1.0" encoding="utf-8"?>
<ds:datastoreItem xmlns:ds="http://schemas.openxmlformats.org/officeDocument/2006/customXml" ds:itemID="{A0E13D3D-8F9A-4A34-93A3-F6C13C2DDD22}">
  <ds:schemaRefs>
    <ds:schemaRef ds:uri="http://schemas.openxmlformats.org/officeDocument/2006/bibliography"/>
  </ds:schemaRefs>
</ds:datastoreItem>
</file>

<file path=customXml/itemProps4.xml><?xml version="1.0" encoding="utf-8"?>
<ds:datastoreItem xmlns:ds="http://schemas.openxmlformats.org/officeDocument/2006/customXml" ds:itemID="{F838CD49-121F-43BE-AB48-7344AA18FDF9}">
  <ds:schemaRefs>
    <ds:schemaRef ds:uri="http://purl.org/dc/elements/1.1/"/>
    <ds:schemaRef ds:uri="http://schemas.microsoft.com/office/2006/metadata/properties"/>
    <ds:schemaRef ds:uri="c938e5d9-4d9f-46ad-8df2-2c223b949764"/>
    <ds:schemaRef ds:uri="http://schemas.microsoft.com/office/infopath/2007/PartnerControls"/>
    <ds:schemaRef ds:uri="http://purl.org/dc/terms/"/>
    <ds:schemaRef ds:uri="http://schemas.microsoft.com/office/2006/documentManagement/types"/>
    <ds:schemaRef ds:uri="218fc245-16fb-4e80-b15a-44d5324d7fea"/>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9943</Characters>
  <Application>Microsoft Office Word</Application>
  <DocSecurity>0</DocSecurity>
  <Lines>174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ECE/MP.PP/WG.1/2021/16</vt:lpstr>
      <vt:lpstr/>
    </vt:vector>
  </TitlesOfParts>
  <Company>CSD</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ECE/MP.PP/WG.1/2021/16</dc:title>
  <dc:subject>2103386</dc:subject>
  <dc:creator>Sadaf Shamsie</dc:creator>
  <cp:keywords/>
  <dc:description/>
  <cp:lastModifiedBy>Sadaf Shamsie</cp:lastModifiedBy>
  <cp:revision>3</cp:revision>
  <cp:lastPrinted>2009-02-18T09:36:00Z</cp:lastPrinted>
  <dcterms:created xsi:type="dcterms:W3CDTF">2021-07-22T07:13:00Z</dcterms:created>
  <dcterms:modified xsi:type="dcterms:W3CDTF">2021-07-22T07:14:00Z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