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0B0002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D1ED71B" w14:textId="77777777" w:rsidR="00F35BAF" w:rsidRPr="00DB58B5" w:rsidRDefault="00F35BAF" w:rsidP="00B84CB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32EFD4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CB757CD" w14:textId="614894E6" w:rsidR="00F35BAF" w:rsidRPr="00DB58B5" w:rsidRDefault="00B84CB8" w:rsidP="00B84CB8">
            <w:pPr>
              <w:jc w:val="right"/>
            </w:pPr>
            <w:r w:rsidRPr="00B84CB8">
              <w:rPr>
                <w:sz w:val="40"/>
              </w:rPr>
              <w:t>ECE</w:t>
            </w:r>
            <w:r>
              <w:t>/TRANS/WP.29/GRVA/2021/29</w:t>
            </w:r>
          </w:p>
        </w:tc>
      </w:tr>
      <w:tr w:rsidR="00F35BAF" w:rsidRPr="00DB58B5" w14:paraId="25CF9B6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B01D5B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7F75687" wp14:editId="66BF63D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70C4B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562CEA1" w14:textId="77777777" w:rsidR="00F35BAF" w:rsidRDefault="00B84CB8" w:rsidP="00C97039">
            <w:pPr>
              <w:spacing w:before="240"/>
            </w:pPr>
            <w:r>
              <w:t>Distr. générale</w:t>
            </w:r>
          </w:p>
          <w:p w14:paraId="4C297D9B" w14:textId="77777777" w:rsidR="00B84CB8" w:rsidRDefault="00B84CB8" w:rsidP="00B84CB8">
            <w:pPr>
              <w:spacing w:line="240" w:lineRule="exact"/>
            </w:pPr>
            <w:r>
              <w:t>12 juillet 2021</w:t>
            </w:r>
          </w:p>
          <w:p w14:paraId="3AC74EA6" w14:textId="77777777" w:rsidR="00B84CB8" w:rsidRDefault="00B84CB8" w:rsidP="00B84CB8">
            <w:pPr>
              <w:spacing w:line="240" w:lineRule="exact"/>
            </w:pPr>
            <w:r>
              <w:t>Français</w:t>
            </w:r>
          </w:p>
          <w:p w14:paraId="013693C5" w14:textId="0AA6B8F5" w:rsidR="00B84CB8" w:rsidRPr="00DB58B5" w:rsidRDefault="00B84CB8" w:rsidP="00B84CB8">
            <w:pPr>
              <w:spacing w:line="240" w:lineRule="exact"/>
            </w:pPr>
            <w:r>
              <w:t>Original : anglais</w:t>
            </w:r>
          </w:p>
        </w:tc>
      </w:tr>
    </w:tbl>
    <w:p w14:paraId="28896B30" w14:textId="15B37520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F736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AE1D47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0DB671C" w14:textId="5ABEC06D" w:rsidR="00B84CB8" w:rsidRDefault="00B84CB8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FF736C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C0F5824" w14:textId="77777777" w:rsidR="00B84CB8" w:rsidRDefault="00B84CB8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</w:p>
    <w:p w14:paraId="03B5350C" w14:textId="4DB67526" w:rsidR="00B84CB8" w:rsidRDefault="00B84CB8" w:rsidP="00A3029F">
      <w:pPr>
        <w:spacing w:before="120"/>
        <w:rPr>
          <w:b/>
        </w:rPr>
      </w:pPr>
      <w:r w:rsidRPr="00B84CB8">
        <w:rPr>
          <w:b/>
          <w:bCs/>
          <w:lang w:val="fr-FR"/>
        </w:rPr>
        <w:t>Onzième</w:t>
      </w:r>
      <w:r w:rsidRPr="00B84CB8">
        <w:rPr>
          <w:b/>
        </w:rPr>
        <w:t xml:space="preserve"> </w:t>
      </w:r>
      <w:r>
        <w:rPr>
          <w:b/>
        </w:rPr>
        <w:t>session</w:t>
      </w:r>
    </w:p>
    <w:p w14:paraId="59C0CA46" w14:textId="4861790F" w:rsidR="00B84CB8" w:rsidRPr="00B84CB8" w:rsidRDefault="00B84CB8" w:rsidP="00A3029F">
      <w:pPr>
        <w:spacing w:line="240" w:lineRule="exact"/>
      </w:pPr>
      <w:r>
        <w:t xml:space="preserve">Genève, </w:t>
      </w:r>
      <w:r w:rsidRPr="00B84CB8">
        <w:rPr>
          <w:lang w:val="fr-FR"/>
        </w:rPr>
        <w:t>27 septembre-1</w:t>
      </w:r>
      <w:r w:rsidRPr="00B84CB8">
        <w:rPr>
          <w:vertAlign w:val="superscript"/>
          <w:lang w:val="fr-FR"/>
        </w:rPr>
        <w:t>er</w:t>
      </w:r>
      <w:r w:rsidRPr="00B84CB8">
        <w:rPr>
          <w:lang w:val="fr-FR"/>
        </w:rPr>
        <w:t xml:space="preserve"> octobre 2021</w:t>
      </w:r>
    </w:p>
    <w:p w14:paraId="541CD31E" w14:textId="215DFD83" w:rsidR="00B84CB8" w:rsidRPr="00B84CB8" w:rsidRDefault="00B84CB8" w:rsidP="00A3029F">
      <w:pPr>
        <w:spacing w:line="240" w:lineRule="exact"/>
      </w:pPr>
      <w:r w:rsidRPr="00B84CB8">
        <w:t xml:space="preserve">Point </w:t>
      </w:r>
      <w:r>
        <w:t>10</w:t>
      </w:r>
      <w:r w:rsidRPr="00B84CB8">
        <w:t xml:space="preserve"> de l</w:t>
      </w:r>
      <w:r w:rsidR="00FF736C">
        <w:t>’</w:t>
      </w:r>
      <w:r w:rsidRPr="00B84CB8">
        <w:t>ordre du jour provisoire</w:t>
      </w:r>
    </w:p>
    <w:p w14:paraId="3C1C2FFE" w14:textId="43F4B88E" w:rsidR="00B84CB8" w:rsidRPr="00B84CB8" w:rsidRDefault="00B84CB8" w:rsidP="00B84CB8">
      <w:pPr>
        <w:rPr>
          <w:b/>
          <w:bCs/>
          <w:lang w:val="fr-FR"/>
        </w:rPr>
      </w:pPr>
      <w:r w:rsidRPr="00B84CB8">
        <w:rPr>
          <w:b/>
          <w:bCs/>
          <w:lang w:val="fr-FR"/>
        </w:rPr>
        <w:t>Règlement ONU n</w:t>
      </w:r>
      <w:r w:rsidRPr="00B84CB8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B84CB8">
        <w:rPr>
          <w:b/>
          <w:bCs/>
          <w:lang w:val="fr-FR"/>
        </w:rPr>
        <w:t>90</w:t>
      </w:r>
    </w:p>
    <w:p w14:paraId="2069EC41" w14:textId="1D6553D0" w:rsidR="00B84CB8" w:rsidRPr="00B84CB8" w:rsidRDefault="00B84CB8" w:rsidP="00B84CB8">
      <w:pPr>
        <w:pStyle w:val="HChG"/>
        <w:rPr>
          <w:lang w:val="fr-FR"/>
        </w:rPr>
      </w:pPr>
      <w:r w:rsidRPr="00B84CB8">
        <w:rPr>
          <w:lang w:val="fr-FR"/>
        </w:rPr>
        <w:tab/>
      </w:r>
      <w:r w:rsidRPr="00B84CB8">
        <w:rPr>
          <w:lang w:val="fr-FR"/>
        </w:rPr>
        <w:tab/>
        <w:t>Proposition d</w:t>
      </w:r>
      <w:r w:rsidR="00FF736C">
        <w:rPr>
          <w:lang w:val="fr-FR"/>
        </w:rPr>
        <w:t>’</w:t>
      </w:r>
      <w:r w:rsidRPr="00B84CB8">
        <w:rPr>
          <w:lang w:val="fr-FR"/>
        </w:rPr>
        <w:t>amendements au Règlement ONU n</w:t>
      </w:r>
      <w:r w:rsidRPr="00B84CB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84CB8">
        <w:rPr>
          <w:lang w:val="fr-FR"/>
        </w:rPr>
        <w:t>90 (Pièces</w:t>
      </w:r>
      <w:r>
        <w:rPr>
          <w:lang w:val="fr-FR"/>
        </w:rPr>
        <w:t> </w:t>
      </w:r>
      <w:r w:rsidRPr="00B84CB8">
        <w:rPr>
          <w:lang w:val="fr-FR"/>
        </w:rPr>
        <w:t>de rechange pour systèmes de freinage)</w:t>
      </w:r>
    </w:p>
    <w:p w14:paraId="1A99504F" w14:textId="7D974F23" w:rsidR="00B84CB8" w:rsidRPr="00B84CB8" w:rsidRDefault="00B84CB8" w:rsidP="00B84CB8">
      <w:pPr>
        <w:pStyle w:val="H1G"/>
        <w:rPr>
          <w:lang w:val="fr-FR"/>
        </w:rPr>
      </w:pPr>
      <w:r w:rsidRPr="00B84CB8">
        <w:rPr>
          <w:lang w:val="fr-FR"/>
        </w:rPr>
        <w:tab/>
      </w:r>
      <w:r w:rsidRPr="00B84CB8">
        <w:rPr>
          <w:lang w:val="fr-FR"/>
        </w:rPr>
        <w:tab/>
        <w:t>Communication de l</w:t>
      </w:r>
      <w:r w:rsidR="00FF736C">
        <w:rPr>
          <w:lang w:val="fr-FR"/>
        </w:rPr>
        <w:t>’</w:t>
      </w:r>
      <w:r w:rsidRPr="00B84CB8">
        <w:rPr>
          <w:lang w:val="fr-FR"/>
        </w:rPr>
        <w:t>expert de l</w:t>
      </w:r>
      <w:r w:rsidR="00FF736C">
        <w:rPr>
          <w:lang w:val="fr-FR"/>
        </w:rPr>
        <w:t>’</w:t>
      </w:r>
      <w:r w:rsidRPr="00B84CB8">
        <w:rPr>
          <w:lang w:val="fr-FR"/>
        </w:rPr>
        <w:t>Italie</w:t>
      </w:r>
      <w:r w:rsidRPr="00B84CB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9F8F053" w14:textId="48562FD1" w:rsidR="00F9573C" w:rsidRDefault="00B84CB8" w:rsidP="00B84CB8">
      <w:pPr>
        <w:pStyle w:val="SingleTxtG"/>
        <w:ind w:firstLine="567"/>
        <w:rPr>
          <w:lang w:val="fr-FR"/>
        </w:rPr>
      </w:pPr>
      <w:r w:rsidRPr="00B84CB8">
        <w:rPr>
          <w:lang w:val="fr-FR"/>
        </w:rPr>
        <w:t>La présente proposition, établie par l</w:t>
      </w:r>
      <w:r w:rsidR="00FF736C">
        <w:rPr>
          <w:lang w:val="fr-FR"/>
        </w:rPr>
        <w:t>’</w:t>
      </w:r>
      <w:r w:rsidRPr="00B84CB8">
        <w:rPr>
          <w:lang w:val="fr-FR"/>
        </w:rPr>
        <w:t>expert de l</w:t>
      </w:r>
      <w:r w:rsidR="00FF736C">
        <w:rPr>
          <w:lang w:val="fr-FR"/>
        </w:rPr>
        <w:t>’</w:t>
      </w:r>
      <w:r w:rsidRPr="00B84CB8">
        <w:rPr>
          <w:lang w:val="fr-FR"/>
        </w:rPr>
        <w:t>Italie, est soumise au Groupe de travail des véhicules automatisés/autonomes et connectés (GRVA) pour examen à sa onzième session, qui se tiendra en septembre 2021. Les modifications qu</w:t>
      </w:r>
      <w:r w:rsidR="00FF736C">
        <w:rPr>
          <w:lang w:val="fr-FR"/>
        </w:rPr>
        <w:t>’</w:t>
      </w:r>
      <w:r w:rsidRPr="00B84CB8">
        <w:rPr>
          <w:lang w:val="fr-FR"/>
        </w:rPr>
        <w:t>il est proposé d</w:t>
      </w:r>
      <w:r w:rsidR="00FF736C">
        <w:rPr>
          <w:lang w:val="fr-FR"/>
        </w:rPr>
        <w:t>’</w:t>
      </w:r>
      <w:r w:rsidRPr="00B84CB8">
        <w:rPr>
          <w:lang w:val="fr-FR"/>
        </w:rPr>
        <w:t>apporter au texte actuel du Règlement figurent en caractères gras pour les ajouts et biffés pour les suppressions.</w:t>
      </w:r>
    </w:p>
    <w:p w14:paraId="7E6AF26E" w14:textId="21643033" w:rsidR="00B84CB8" w:rsidRDefault="00B84CB8" w:rsidP="00B84CB8">
      <w:r>
        <w:br w:type="page"/>
      </w:r>
    </w:p>
    <w:p w14:paraId="772D0DED" w14:textId="27EBF6E9" w:rsidR="00B84CB8" w:rsidRPr="00B84CB8" w:rsidRDefault="00B84CB8" w:rsidP="00B84CB8">
      <w:pPr>
        <w:pStyle w:val="HChG"/>
        <w:rPr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</w:r>
      <w:r w:rsidRPr="00B84CB8">
        <w:rPr>
          <w:lang w:val="fr-FR"/>
        </w:rPr>
        <w:t>Proposition</w:t>
      </w:r>
    </w:p>
    <w:p w14:paraId="167C3B5B" w14:textId="77777777" w:rsidR="00B84CB8" w:rsidRPr="00B84CB8" w:rsidRDefault="00B84CB8" w:rsidP="00B84CB8">
      <w:pPr>
        <w:pStyle w:val="SingleTxtG"/>
        <w:rPr>
          <w:i/>
          <w:iCs/>
          <w:lang w:val="fr-FR"/>
        </w:rPr>
      </w:pPr>
      <w:r w:rsidRPr="00B84CB8">
        <w:rPr>
          <w:i/>
          <w:iCs/>
          <w:lang w:val="fr-FR"/>
        </w:rPr>
        <w:t>Annexe 7a</w:t>
      </w:r>
    </w:p>
    <w:p w14:paraId="36FDC815" w14:textId="44ADED31" w:rsidR="00B84CB8" w:rsidRPr="00B84CB8" w:rsidRDefault="00B84CB8" w:rsidP="00B84CB8">
      <w:pPr>
        <w:pStyle w:val="SingleTxtG"/>
        <w:rPr>
          <w:rFonts w:eastAsia="Malgun Gothic"/>
          <w:lang w:val="fr-FR"/>
        </w:rPr>
      </w:pPr>
      <w:r w:rsidRPr="00B84CB8">
        <w:rPr>
          <w:i/>
          <w:iCs/>
          <w:lang w:val="fr-FR"/>
        </w:rPr>
        <w:t>Paragraphe 1</w:t>
      </w:r>
      <w:r w:rsidRPr="00B84CB8">
        <w:rPr>
          <w:lang w:val="fr-FR"/>
        </w:rPr>
        <w:t>, lire</w:t>
      </w:r>
      <w:r>
        <w:rPr>
          <w:lang w:val="fr-FR"/>
        </w:rPr>
        <w:t> :</w:t>
      </w:r>
    </w:p>
    <w:p w14:paraId="40F1A60B" w14:textId="5E5F826F" w:rsidR="00B84CB8" w:rsidRPr="00B84CB8" w:rsidRDefault="00B84CB8" w:rsidP="00B84CB8">
      <w:pPr>
        <w:pStyle w:val="SingleTxtG"/>
        <w:ind w:left="2268" w:hanging="1134"/>
      </w:pPr>
      <w:r w:rsidRPr="00B84CB8">
        <w:t>«</w:t>
      </w:r>
      <w:r>
        <w:t> </w:t>
      </w:r>
      <w:r w:rsidRPr="00B84CB8">
        <w:t>1.</w:t>
      </w:r>
      <w:r w:rsidRPr="00B84CB8">
        <w:tab/>
        <w:t xml:space="preserve">Critères de </w:t>
      </w:r>
      <w:r w:rsidRPr="00B84CB8">
        <w:rPr>
          <w:lang w:val="fr-FR"/>
        </w:rPr>
        <w:t>regroupement</w:t>
      </w:r>
    </w:p>
    <w:p w14:paraId="117BDABA" w14:textId="2CB7D68C" w:rsidR="00B84CB8" w:rsidRPr="00B84CB8" w:rsidRDefault="00B84CB8" w:rsidP="00B84CB8">
      <w:pPr>
        <w:pStyle w:val="SingleTxtG"/>
        <w:ind w:left="2268"/>
        <w:rPr>
          <w:lang w:val="fr-FR"/>
        </w:rPr>
      </w:pPr>
      <w:r w:rsidRPr="00B84CB8">
        <w:rPr>
          <w:lang w:val="fr-FR"/>
        </w:rPr>
        <w:t>Le regroupement se fait selon la méthode suivante</w:t>
      </w:r>
      <w:r w:rsidR="00FF736C">
        <w:rPr>
          <w:lang w:val="fr-FR"/>
        </w:rPr>
        <w:t> </w:t>
      </w:r>
      <w:r w:rsidRPr="00B84CB8">
        <w:rPr>
          <w:lang w:val="fr-FR"/>
        </w:rPr>
        <w:t>:</w:t>
      </w:r>
    </w:p>
    <w:p w14:paraId="5782C62B" w14:textId="2F97CF57" w:rsidR="00B84CB8" w:rsidRPr="00B84CB8" w:rsidRDefault="00B84CB8" w:rsidP="00B84CB8">
      <w:pPr>
        <w:pStyle w:val="SingleTxtG"/>
        <w:ind w:left="2835" w:hanging="567"/>
        <w:rPr>
          <w:lang w:val="fr-FR"/>
        </w:rPr>
      </w:pPr>
      <w:r w:rsidRPr="00B84CB8">
        <w:rPr>
          <w:lang w:val="fr-FR"/>
        </w:rPr>
        <w:t>a)</w:t>
      </w:r>
      <w:r w:rsidRPr="00B84CB8">
        <w:rPr>
          <w:lang w:val="fr-FR"/>
        </w:rPr>
        <w:tab/>
        <w:t>En fonction du matériau de friction de la garniture de frein</w:t>
      </w:r>
      <w:r w:rsidR="00FF736C">
        <w:rPr>
          <w:lang w:val="fr-FR"/>
        </w:rPr>
        <w:t> </w:t>
      </w:r>
      <w:r w:rsidRPr="00B84CB8">
        <w:rPr>
          <w:lang w:val="fr-FR"/>
        </w:rPr>
        <w:t>;</w:t>
      </w:r>
    </w:p>
    <w:p w14:paraId="4EF94D17" w14:textId="74433A8C" w:rsidR="00B84CB8" w:rsidRPr="00B84CB8" w:rsidRDefault="00B84CB8" w:rsidP="00B84CB8">
      <w:pPr>
        <w:pStyle w:val="SingleTxtG"/>
        <w:ind w:left="2835" w:hanging="567"/>
        <w:rPr>
          <w:lang w:val="fr-FR"/>
        </w:rPr>
      </w:pPr>
      <w:r w:rsidRPr="00B84CB8">
        <w:rPr>
          <w:lang w:val="fr-FR"/>
        </w:rPr>
        <w:t>b)</w:t>
      </w:r>
      <w:r w:rsidRPr="00B84CB8">
        <w:rPr>
          <w:lang w:val="fr-FR"/>
        </w:rPr>
        <w:tab/>
        <w:t>En fonction de la surface du matériau de friction de la garniture de frein assemblée actionné par le ou les piston(s) d</w:t>
      </w:r>
      <w:r w:rsidR="00FF736C">
        <w:rPr>
          <w:lang w:val="fr-FR"/>
        </w:rPr>
        <w:t>’</w:t>
      </w:r>
      <w:r w:rsidRPr="00B84CB8">
        <w:rPr>
          <w:lang w:val="fr-FR"/>
        </w:rPr>
        <w:t>un seul côté de l</w:t>
      </w:r>
      <w:r w:rsidR="00FF736C">
        <w:rPr>
          <w:lang w:val="fr-FR"/>
        </w:rPr>
        <w:t>’</w:t>
      </w:r>
      <w:r w:rsidRPr="00B84CB8">
        <w:rPr>
          <w:lang w:val="fr-FR"/>
        </w:rPr>
        <w:t xml:space="preserve">étrier de frein </w:t>
      </w:r>
      <w:r w:rsidRPr="00B84CB8">
        <w:rPr>
          <w:b/>
          <w:lang w:val="fr-FR"/>
        </w:rPr>
        <w:t>ou, dans le cas de freins à tambour, d</w:t>
      </w:r>
      <w:r w:rsidR="00FF736C">
        <w:rPr>
          <w:b/>
          <w:lang w:val="fr-FR"/>
        </w:rPr>
        <w:t>’</w:t>
      </w:r>
      <w:r w:rsidRPr="00B84CB8">
        <w:rPr>
          <w:b/>
          <w:lang w:val="fr-FR"/>
        </w:rPr>
        <w:t>une seule mâchoire de frein</w:t>
      </w:r>
      <w:r w:rsidRPr="00B84CB8">
        <w:rPr>
          <w:lang w:val="fr-FR"/>
        </w:rPr>
        <w:t>.</w:t>
      </w:r>
    </w:p>
    <w:p w14:paraId="4D0F53A8" w14:textId="5790CBD3" w:rsidR="00B84CB8" w:rsidRPr="00B84CB8" w:rsidRDefault="00B84CB8" w:rsidP="00B84CB8">
      <w:pPr>
        <w:pStyle w:val="SingleTxtG"/>
        <w:ind w:left="2268"/>
        <w:rPr>
          <w:b/>
          <w:lang w:val="fr-FR"/>
        </w:rPr>
      </w:pPr>
      <w:r w:rsidRPr="00B84CB8">
        <w:rPr>
          <w:lang w:val="fr-FR"/>
        </w:rPr>
        <w:tab/>
        <w:t>Par “surface du matériau de friction”, on entend toute la surface située à l</w:t>
      </w:r>
      <w:r w:rsidR="00FF736C">
        <w:rPr>
          <w:lang w:val="fr-FR"/>
        </w:rPr>
        <w:t>’</w:t>
      </w:r>
      <w:r w:rsidRPr="00B84CB8">
        <w:rPr>
          <w:lang w:val="fr-FR"/>
        </w:rPr>
        <w:t xml:space="preserve">intérieur du périmètre de la garniture de frein (voir la zone hachurée rouge, fig. 1 et </w:t>
      </w:r>
      <w:r w:rsidRPr="00B84CB8">
        <w:rPr>
          <w:b/>
          <w:lang w:val="fr-FR"/>
        </w:rPr>
        <w:t>fig. 2</w:t>
      </w:r>
      <w:r w:rsidRPr="00B84CB8">
        <w:rPr>
          <w:lang w:val="fr-FR"/>
        </w:rPr>
        <w:t>), ce qui exclut la présence de toute rainure et/ou chanfrein.</w:t>
      </w:r>
    </w:p>
    <w:p w14:paraId="600927E0" w14:textId="5406F540" w:rsidR="00B84CB8" w:rsidRPr="00B84CB8" w:rsidRDefault="00B84CB8" w:rsidP="00B84CB8">
      <w:pPr>
        <w:pStyle w:val="SingleTxtG"/>
        <w:ind w:left="2268"/>
        <w:rPr>
          <w:bCs/>
        </w:rPr>
      </w:pPr>
      <w:r w:rsidRPr="00B84CB8">
        <w:rPr>
          <w:lang w:val="fr-FR"/>
        </w:rPr>
        <w:t>Figure 1</w:t>
      </w:r>
    </w:p>
    <w:p w14:paraId="5A4BA007" w14:textId="77777777" w:rsidR="00B84CB8" w:rsidRPr="00B84CB8" w:rsidRDefault="00B84CB8" w:rsidP="00B84CB8">
      <w:pPr>
        <w:pStyle w:val="SingleTxtG"/>
        <w:ind w:left="2268"/>
        <w:jc w:val="left"/>
      </w:pPr>
      <w:r w:rsidRPr="00B84CB8">
        <w:rPr>
          <w:noProof/>
          <w:lang w:val="fr-FR" w:eastAsia="fr-FR"/>
        </w:rPr>
        <w:drawing>
          <wp:inline distT="0" distB="0" distL="0" distR="0" wp14:anchorId="3A642D3D" wp14:editId="302847F1">
            <wp:extent cx="2200275" cy="21145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71CB6" w14:textId="77777777" w:rsidR="00B84CB8" w:rsidRPr="00B84CB8" w:rsidRDefault="00B84CB8" w:rsidP="00B84CB8">
      <w:pPr>
        <w:pStyle w:val="SingleTxtG"/>
        <w:ind w:left="2268"/>
        <w:rPr>
          <w:b/>
        </w:rPr>
      </w:pPr>
      <w:r w:rsidRPr="00B84CB8">
        <w:rPr>
          <w:b/>
          <w:bCs/>
          <w:lang w:val="fr-FR"/>
        </w:rPr>
        <w:t>Figure 2</w:t>
      </w:r>
    </w:p>
    <w:p w14:paraId="1B99D27F" w14:textId="5C4DF7CF" w:rsidR="00B84CB8" w:rsidRPr="00B84CB8" w:rsidRDefault="00B84CB8" w:rsidP="00B84CB8">
      <w:pPr>
        <w:pStyle w:val="SingleTxtG"/>
        <w:ind w:left="2268"/>
      </w:pPr>
      <w:r w:rsidRPr="00B84CB8">
        <w:rPr>
          <w:noProof/>
          <w:lang w:val="fr-FR" w:eastAsia="fr-FR"/>
        </w:rPr>
        <w:drawing>
          <wp:inline distT="0" distB="0" distL="0" distR="0" wp14:anchorId="145CA6AB" wp14:editId="1DBCCEED">
            <wp:extent cx="2473960" cy="2661784"/>
            <wp:effectExtent l="0" t="0" r="2540" b="571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6204" cy="269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D80EB" w14:textId="77777777" w:rsidR="00B84CB8" w:rsidRPr="00B84CB8" w:rsidRDefault="00B84CB8" w:rsidP="00B84CB8">
      <w:pPr>
        <w:pStyle w:val="SingleTxtG"/>
        <w:keepNext/>
        <w:ind w:left="2268"/>
        <w:rPr>
          <w:lang w:val="fr-FR"/>
        </w:rPr>
      </w:pPr>
      <w:r w:rsidRPr="00B84CB8">
        <w:rPr>
          <w:lang w:val="fr-FR"/>
        </w:rPr>
        <w:lastRenderedPageBreak/>
        <w:t>Trois groupes de surfaces sont établis, tels que définis dans le tableau 1 :</w:t>
      </w:r>
    </w:p>
    <w:p w14:paraId="1D578500" w14:textId="257C14F9" w:rsidR="00B84CB8" w:rsidRDefault="00B84CB8" w:rsidP="00B84CB8">
      <w:pPr>
        <w:pStyle w:val="SingleTxtG"/>
        <w:keepNext/>
        <w:ind w:left="2268"/>
        <w:rPr>
          <w:lang w:val="fr-FR"/>
        </w:rPr>
      </w:pPr>
      <w:r w:rsidRPr="00B84CB8">
        <w:rPr>
          <w:lang w:val="fr-FR"/>
        </w:rPr>
        <w:t>Tableau 1</w:t>
      </w:r>
    </w:p>
    <w:tbl>
      <w:tblPr>
        <w:tblW w:w="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154"/>
      </w:tblGrid>
      <w:tr w:rsidR="00B84CB8" w:rsidRPr="006728C9" w14:paraId="2F0339B0" w14:textId="77777777" w:rsidTr="001764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71319E" w14:textId="77777777" w:rsidR="00B84CB8" w:rsidRPr="006728C9" w:rsidRDefault="00B84CB8" w:rsidP="00B84CB8">
            <w:pPr>
              <w:keepNext/>
              <w:suppressAutoHyphens w:val="0"/>
              <w:spacing w:after="120" w:line="240" w:lineRule="auto"/>
              <w:jc w:val="center"/>
              <w:rPr>
                <w:rFonts w:eastAsia="SimSun"/>
                <w:i/>
                <w:sz w:val="18"/>
                <w:szCs w:val="18"/>
              </w:rPr>
            </w:pPr>
            <w:r w:rsidRPr="006728C9">
              <w:rPr>
                <w:i/>
                <w:iCs/>
                <w:sz w:val="18"/>
                <w:szCs w:val="18"/>
                <w:lang w:val="fr-FR"/>
              </w:rPr>
              <w:t>Groupe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897967" w14:textId="58DF23E4" w:rsidR="00B84CB8" w:rsidRPr="006728C9" w:rsidRDefault="00B84CB8" w:rsidP="00B84CB8">
            <w:pPr>
              <w:keepNext/>
              <w:suppressAutoHyphens w:val="0"/>
              <w:spacing w:after="120" w:line="240" w:lineRule="auto"/>
              <w:jc w:val="center"/>
              <w:rPr>
                <w:rFonts w:eastAsia="SimSun"/>
                <w:i/>
                <w:sz w:val="18"/>
                <w:szCs w:val="18"/>
                <w:lang w:val="fr-FR"/>
              </w:rPr>
            </w:pPr>
            <w:r w:rsidRPr="006728C9">
              <w:rPr>
                <w:i/>
                <w:iCs/>
                <w:sz w:val="18"/>
                <w:szCs w:val="18"/>
                <w:lang w:val="fr-FR"/>
              </w:rPr>
              <w:t>Surface de la garniture de</w:t>
            </w:r>
            <w:r w:rsidR="006728C9">
              <w:rPr>
                <w:i/>
                <w:iCs/>
                <w:sz w:val="18"/>
                <w:szCs w:val="18"/>
                <w:lang w:val="fr-FR"/>
              </w:rPr>
              <w:t> </w:t>
            </w:r>
            <w:r w:rsidRPr="006728C9">
              <w:rPr>
                <w:i/>
                <w:iCs/>
                <w:sz w:val="18"/>
                <w:szCs w:val="18"/>
                <w:lang w:val="fr-FR"/>
              </w:rPr>
              <w:t>frein (en cm</w:t>
            </w:r>
            <w:r w:rsidRPr="006728C9">
              <w:rPr>
                <w:i/>
                <w:iCs/>
                <w:sz w:val="18"/>
                <w:szCs w:val="18"/>
                <w:vertAlign w:val="superscript"/>
                <w:lang w:val="fr-FR"/>
              </w:rPr>
              <w:t>2</w:t>
            </w:r>
            <w:r w:rsidRPr="006728C9">
              <w:rPr>
                <w:i/>
                <w:iCs/>
                <w:sz w:val="18"/>
                <w:szCs w:val="18"/>
                <w:lang w:val="fr-FR"/>
              </w:rPr>
              <w:t>)</w:t>
            </w:r>
          </w:p>
        </w:tc>
      </w:tr>
      <w:tr w:rsidR="00B84CB8" w:rsidRPr="00B84CB8" w14:paraId="6917E685" w14:textId="77777777" w:rsidTr="00176406">
        <w:trPr>
          <w:jc w:val="center"/>
        </w:trPr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E38A" w14:textId="77777777" w:rsidR="00B84CB8" w:rsidRPr="00B84CB8" w:rsidRDefault="00B84CB8" w:rsidP="00B84CB8">
            <w:pPr>
              <w:keepNext/>
              <w:suppressAutoHyphens w:val="0"/>
              <w:spacing w:after="120" w:line="240" w:lineRule="auto"/>
              <w:jc w:val="center"/>
              <w:rPr>
                <w:rFonts w:eastAsia="SimSun"/>
              </w:rPr>
            </w:pPr>
            <w:r w:rsidRPr="00B84CB8">
              <w:rPr>
                <w:lang w:val="fr-FR"/>
              </w:rPr>
              <w:t>A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ED5E" w14:textId="77777777" w:rsidR="00B84CB8" w:rsidRPr="00B84CB8" w:rsidRDefault="00B84CB8" w:rsidP="00B84CB8">
            <w:pPr>
              <w:keepNext/>
              <w:suppressAutoHyphens w:val="0"/>
              <w:spacing w:after="120" w:line="240" w:lineRule="auto"/>
              <w:jc w:val="center"/>
              <w:rPr>
                <w:rFonts w:eastAsia="SimSun"/>
              </w:rPr>
            </w:pPr>
            <w:r w:rsidRPr="00B84CB8">
              <w:rPr>
                <w:lang w:val="fr-FR"/>
              </w:rPr>
              <w:t>≤15</w:t>
            </w:r>
          </w:p>
        </w:tc>
      </w:tr>
      <w:tr w:rsidR="00B84CB8" w:rsidRPr="00B84CB8" w14:paraId="0211F346" w14:textId="77777777" w:rsidTr="001764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5F12" w14:textId="77777777" w:rsidR="00B84CB8" w:rsidRPr="00B84CB8" w:rsidRDefault="00B84CB8" w:rsidP="00B84CB8">
            <w:pPr>
              <w:keepNext/>
              <w:suppressAutoHyphens w:val="0"/>
              <w:spacing w:after="120" w:line="240" w:lineRule="auto"/>
              <w:jc w:val="center"/>
              <w:rPr>
                <w:rFonts w:eastAsia="SimSun"/>
              </w:rPr>
            </w:pPr>
            <w:r w:rsidRPr="00B84CB8">
              <w:rPr>
                <w:lang w:val="fr-FR"/>
              </w:rPr>
              <w:t>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1ED1" w14:textId="77777777" w:rsidR="00B84CB8" w:rsidRPr="00B84CB8" w:rsidRDefault="00B84CB8" w:rsidP="00B84CB8">
            <w:pPr>
              <w:keepNext/>
              <w:suppressAutoHyphens w:val="0"/>
              <w:spacing w:after="120" w:line="240" w:lineRule="auto"/>
              <w:jc w:val="center"/>
              <w:rPr>
                <w:rFonts w:eastAsia="SimSun"/>
              </w:rPr>
            </w:pPr>
            <w:r w:rsidRPr="00B84CB8">
              <w:rPr>
                <w:lang w:val="fr-FR"/>
              </w:rPr>
              <w:t>&gt; 15 ≤ 22</w:t>
            </w:r>
          </w:p>
        </w:tc>
      </w:tr>
      <w:tr w:rsidR="00B84CB8" w:rsidRPr="00B84CB8" w14:paraId="14A148E6" w14:textId="77777777" w:rsidTr="001764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AE7284" w14:textId="77777777" w:rsidR="00B84CB8" w:rsidRPr="00B84CB8" w:rsidRDefault="00B84CB8" w:rsidP="00B84CB8">
            <w:pPr>
              <w:keepNext/>
              <w:suppressAutoHyphens w:val="0"/>
              <w:spacing w:after="120" w:line="240" w:lineRule="auto"/>
              <w:jc w:val="center"/>
              <w:rPr>
                <w:rFonts w:eastAsia="SimSun"/>
              </w:rPr>
            </w:pPr>
            <w:r w:rsidRPr="00B84CB8">
              <w:rPr>
                <w:lang w:val="fr-FR"/>
              </w:rPr>
              <w:t>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6BDA45" w14:textId="77777777" w:rsidR="00B84CB8" w:rsidRPr="00B84CB8" w:rsidRDefault="00B84CB8" w:rsidP="00B84CB8">
            <w:pPr>
              <w:keepNext/>
              <w:suppressAutoHyphens w:val="0"/>
              <w:spacing w:after="120" w:line="240" w:lineRule="auto"/>
              <w:jc w:val="center"/>
              <w:rPr>
                <w:rFonts w:eastAsia="SimSun"/>
              </w:rPr>
            </w:pPr>
            <w:r w:rsidRPr="00B84CB8">
              <w:rPr>
                <w:lang w:val="fr-FR"/>
              </w:rPr>
              <w:t>&gt; 22</w:t>
            </w:r>
          </w:p>
        </w:tc>
      </w:tr>
    </w:tbl>
    <w:p w14:paraId="43FE14D2" w14:textId="5DCC4D2E" w:rsidR="00B84CB8" w:rsidRPr="00B84CB8" w:rsidRDefault="00B84CB8" w:rsidP="00B84CB8">
      <w:pPr>
        <w:pStyle w:val="SingleTxtG"/>
        <w:jc w:val="right"/>
        <w:rPr>
          <w:rFonts w:eastAsia="Malgun Gothic"/>
        </w:rPr>
      </w:pPr>
      <w:r w:rsidRPr="00B84CB8">
        <w:rPr>
          <w:lang w:val="fr-FR"/>
        </w:rPr>
        <w:t>»</w:t>
      </w:r>
      <w:r>
        <w:rPr>
          <w:lang w:val="fr-FR"/>
        </w:rPr>
        <w:t>.</w:t>
      </w:r>
    </w:p>
    <w:p w14:paraId="05719828" w14:textId="3BD228D2" w:rsidR="00B84CB8" w:rsidRPr="00B84CB8" w:rsidRDefault="00B84CB8" w:rsidP="00B84CB8">
      <w:pPr>
        <w:pStyle w:val="SingleTxtG"/>
        <w:rPr>
          <w:rFonts w:eastAsia="Malgun Gothic"/>
        </w:rPr>
      </w:pPr>
      <w:r w:rsidRPr="00B84CB8">
        <w:rPr>
          <w:i/>
          <w:iCs/>
          <w:lang w:val="fr-FR"/>
        </w:rPr>
        <w:t>Paragraphe 2</w:t>
      </w:r>
      <w:r w:rsidRPr="00B84CB8">
        <w:rPr>
          <w:lang w:val="fr-FR"/>
        </w:rPr>
        <w:t>, lire</w:t>
      </w:r>
      <w:r>
        <w:rPr>
          <w:lang w:val="fr-FR"/>
        </w:rPr>
        <w:t> </w:t>
      </w:r>
      <w:r w:rsidRPr="00B84CB8">
        <w:rPr>
          <w:lang w:val="fr-FR"/>
        </w:rPr>
        <w:t>:</w:t>
      </w:r>
    </w:p>
    <w:p w14:paraId="71E6DE2A" w14:textId="77777777" w:rsidR="00B84CB8" w:rsidRPr="00B84CB8" w:rsidRDefault="00B84CB8" w:rsidP="00B84CB8">
      <w:pPr>
        <w:pStyle w:val="SingleTxtG"/>
        <w:ind w:left="2268" w:hanging="1134"/>
        <w:rPr>
          <w:lang w:val="fr-FR"/>
        </w:rPr>
      </w:pPr>
      <w:r w:rsidRPr="00B84CB8">
        <w:rPr>
          <w:lang w:val="fr-FR"/>
        </w:rPr>
        <w:t>« 2.</w:t>
      </w:r>
      <w:r w:rsidRPr="00B84CB8">
        <w:rPr>
          <w:lang w:val="fr-FR"/>
        </w:rPr>
        <w:tab/>
        <w:t>Procédure de sélection de la garniture de frein assemblée représentative du groupe à homologuer</w:t>
      </w:r>
    </w:p>
    <w:p w14:paraId="40E5F4D5" w14:textId="4A4168DD" w:rsidR="00B84CB8" w:rsidRPr="00B84CB8" w:rsidRDefault="00B84CB8" w:rsidP="00B84CB8">
      <w:pPr>
        <w:pStyle w:val="SingleTxtG"/>
        <w:ind w:left="2268"/>
        <w:rPr>
          <w:lang w:val="fr-FR"/>
        </w:rPr>
      </w:pPr>
      <w:r w:rsidRPr="00B84CB8">
        <w:rPr>
          <w:lang w:val="fr-FR"/>
        </w:rPr>
        <w:t>La garniture de frein assemblée à homologuer est définie en fonction des critères suivants :</w:t>
      </w:r>
    </w:p>
    <w:p w14:paraId="50EE67B8" w14:textId="065D019C" w:rsidR="00B84CB8" w:rsidRPr="00B84CB8" w:rsidRDefault="00B84CB8" w:rsidP="00B84CB8">
      <w:pPr>
        <w:pStyle w:val="SingleTxtG"/>
        <w:ind w:left="2835" w:hanging="567"/>
        <w:rPr>
          <w:lang w:val="fr-FR"/>
        </w:rPr>
      </w:pPr>
      <w:r w:rsidRPr="00B84CB8">
        <w:rPr>
          <w:lang w:val="fr-FR"/>
        </w:rPr>
        <w:t>a)</w:t>
      </w:r>
      <w:r w:rsidRPr="00B84CB8">
        <w:rPr>
          <w:lang w:val="fr-FR"/>
        </w:rPr>
        <w:tab/>
        <w:t>Choix du matériau de friction à homologuer</w:t>
      </w:r>
      <w:r>
        <w:rPr>
          <w:lang w:val="fr-FR"/>
        </w:rPr>
        <w:t> </w:t>
      </w:r>
      <w:r w:rsidRPr="00B84CB8">
        <w:rPr>
          <w:lang w:val="fr-FR"/>
        </w:rPr>
        <w:t>;</w:t>
      </w:r>
    </w:p>
    <w:p w14:paraId="650DDD9A" w14:textId="77777777" w:rsidR="00B84CB8" w:rsidRPr="00B84CB8" w:rsidRDefault="00B84CB8" w:rsidP="00B84CB8">
      <w:pPr>
        <w:pStyle w:val="SingleTxtG"/>
        <w:ind w:left="2835" w:hanging="567"/>
        <w:rPr>
          <w:lang w:val="fr-FR"/>
        </w:rPr>
      </w:pPr>
      <w:r w:rsidRPr="00B84CB8">
        <w:rPr>
          <w:lang w:val="fr-FR"/>
        </w:rPr>
        <w:t>b)</w:t>
      </w:r>
      <w:r w:rsidRPr="00B84CB8">
        <w:rPr>
          <w:lang w:val="fr-FR"/>
        </w:rPr>
        <w:tab/>
        <w:t>Vérification des applications dans lesquelles le matériau de friction choisi est employé ;</w:t>
      </w:r>
    </w:p>
    <w:p w14:paraId="5FFB3C07" w14:textId="77777777" w:rsidR="00B84CB8" w:rsidRPr="00B84CB8" w:rsidRDefault="00B84CB8" w:rsidP="00B84CB8">
      <w:pPr>
        <w:pStyle w:val="SingleTxtG"/>
        <w:ind w:left="2835" w:hanging="567"/>
        <w:rPr>
          <w:lang w:val="fr-FR"/>
        </w:rPr>
      </w:pPr>
      <w:r w:rsidRPr="00B84CB8">
        <w:rPr>
          <w:lang w:val="fr-FR"/>
        </w:rPr>
        <w:t>c)</w:t>
      </w:r>
      <w:r w:rsidRPr="00B84CB8">
        <w:rPr>
          <w:lang w:val="fr-FR"/>
        </w:rPr>
        <w:tab/>
        <w:t>Définition de la surface des garnitures de frein assemblées sélectionnées en fonction du tableau 1, et classification dans un des groupes A, B ou C ;</w:t>
      </w:r>
    </w:p>
    <w:p w14:paraId="443AC5A3" w14:textId="4352B5BE" w:rsidR="00B84CB8" w:rsidRPr="00B84CB8" w:rsidRDefault="00B84CB8" w:rsidP="00B84CB8">
      <w:pPr>
        <w:pStyle w:val="SingleTxtG"/>
        <w:ind w:left="2835" w:hanging="567"/>
        <w:rPr>
          <w:lang w:val="fr-FR"/>
        </w:rPr>
      </w:pPr>
      <w:r w:rsidRPr="00B84CB8">
        <w:rPr>
          <w:lang w:val="fr-FR"/>
        </w:rPr>
        <w:t>d)</w:t>
      </w:r>
      <w:r w:rsidRPr="00B84CB8">
        <w:rPr>
          <w:lang w:val="fr-FR"/>
        </w:rPr>
        <w:tab/>
        <w:t>Pour chaque groupe, sélection de l</w:t>
      </w:r>
      <w:r w:rsidR="00FF736C">
        <w:rPr>
          <w:lang w:val="fr-FR"/>
        </w:rPr>
        <w:t>’</w:t>
      </w:r>
      <w:r w:rsidRPr="00B84CB8">
        <w:rPr>
          <w:lang w:val="fr-FR"/>
        </w:rPr>
        <w:t>application la plus sévère, selon la valeur la plus élevée de l</w:t>
      </w:r>
      <w:r w:rsidR="00FF736C">
        <w:rPr>
          <w:lang w:val="fr-FR"/>
        </w:rPr>
        <w:t>’</w:t>
      </w:r>
      <w:r w:rsidRPr="00B84CB8">
        <w:rPr>
          <w:lang w:val="fr-FR"/>
        </w:rPr>
        <w:t>indice Ep (énergie cinétique par surface des garnitures de frein), comme suit :</w:t>
      </w:r>
    </w:p>
    <w:p w14:paraId="1DBCEA0A" w14:textId="77777777" w:rsidR="00B84CB8" w:rsidRPr="00B84CB8" w:rsidRDefault="00B84CB8" w:rsidP="00B84CB8">
      <w:pPr>
        <w:pStyle w:val="SingleTxtG"/>
        <w:ind w:left="2268"/>
        <w:jc w:val="center"/>
        <w:rPr>
          <w:color w:val="000000"/>
          <w:lang w:val="en-US"/>
        </w:rPr>
      </w:pPr>
      <w:r w:rsidRPr="00B84CB8">
        <w:rPr>
          <w:lang w:val="en-US"/>
        </w:rPr>
        <w:t>Ep = ½*M*p*(V*c)</w:t>
      </w:r>
      <w:r w:rsidRPr="00B84CB8">
        <w:rPr>
          <w:vertAlign w:val="superscript"/>
          <w:lang w:val="en-US"/>
        </w:rPr>
        <w:t>2</w:t>
      </w:r>
      <w:r w:rsidRPr="00B84CB8">
        <w:rPr>
          <w:lang w:val="en-US"/>
        </w:rPr>
        <w:t xml:space="preserve"> / (S*q</w:t>
      </w:r>
      <w:r w:rsidRPr="00B84CB8">
        <w:rPr>
          <w:vertAlign w:val="subscript"/>
          <w:lang w:val="en-US"/>
        </w:rPr>
        <w:t>p</w:t>
      </w:r>
      <w:r w:rsidRPr="00B84CB8">
        <w:rPr>
          <w:lang w:val="en-US"/>
        </w:rPr>
        <w:t>)</w:t>
      </w:r>
    </w:p>
    <w:p w14:paraId="736B43B7" w14:textId="65BEC6AC" w:rsidR="00B84CB8" w:rsidRPr="00FF736C" w:rsidRDefault="00B84CB8" w:rsidP="00B84CB8">
      <w:pPr>
        <w:pStyle w:val="SingleTxtG"/>
        <w:ind w:left="2268"/>
      </w:pPr>
      <w:r w:rsidRPr="00FF736C">
        <w:t>où</w:t>
      </w:r>
      <w:r w:rsidRPr="00FF736C">
        <w:t> </w:t>
      </w:r>
      <w:r w:rsidRPr="00FF736C">
        <w:t>:</w:t>
      </w:r>
    </w:p>
    <w:p w14:paraId="7511CB9F" w14:textId="5A1D5CEF" w:rsidR="00B84CB8" w:rsidRPr="00B84CB8" w:rsidRDefault="00B84CB8" w:rsidP="00B84CB8">
      <w:pPr>
        <w:pStyle w:val="SingleTxtG"/>
        <w:ind w:left="2268"/>
        <w:rPr>
          <w:lang w:val="fr-FR"/>
        </w:rPr>
      </w:pPr>
      <w:r w:rsidRPr="00B84CB8">
        <w:rPr>
          <w:lang w:val="fr-FR"/>
        </w:rPr>
        <w:t>Ep = indice de l</w:t>
      </w:r>
      <w:r w:rsidR="00FF736C">
        <w:rPr>
          <w:lang w:val="fr-FR"/>
        </w:rPr>
        <w:t>’</w:t>
      </w:r>
      <w:r w:rsidRPr="00B84CB8">
        <w:rPr>
          <w:lang w:val="fr-FR"/>
        </w:rPr>
        <w:t>énergie cinétique [kJ/</w:t>
      </w:r>
      <w:r w:rsidRPr="00FF736C">
        <w:t>cm</w:t>
      </w:r>
      <w:r w:rsidRPr="006728C9">
        <w:rPr>
          <w:vertAlign w:val="superscript"/>
        </w:rPr>
        <w:t>2</w:t>
      </w:r>
      <w:r w:rsidRPr="00B84CB8">
        <w:rPr>
          <w:lang w:val="fr-FR"/>
        </w:rPr>
        <w:t>]</w:t>
      </w:r>
      <w:r w:rsidR="006728C9">
        <w:rPr>
          <w:lang w:val="fr-FR"/>
        </w:rPr>
        <w:t> ;</w:t>
      </w:r>
    </w:p>
    <w:p w14:paraId="46BD949D" w14:textId="475CA5AE" w:rsidR="00B84CB8" w:rsidRPr="00B84CB8" w:rsidRDefault="00B84CB8" w:rsidP="00B84CB8">
      <w:pPr>
        <w:pStyle w:val="SingleTxtG"/>
        <w:ind w:left="2268"/>
        <w:rPr>
          <w:lang w:val="fr-FR"/>
        </w:rPr>
      </w:pPr>
      <w:r w:rsidRPr="00B84CB8">
        <w:rPr>
          <w:lang w:val="fr-FR"/>
        </w:rPr>
        <w:t>M = poids nominal brut du véhicule [</w:t>
      </w:r>
      <w:r w:rsidRPr="006728C9">
        <w:t>kg</w:t>
      </w:r>
      <w:r w:rsidRPr="00B84CB8">
        <w:rPr>
          <w:lang w:val="fr-FR"/>
        </w:rPr>
        <w:t>]</w:t>
      </w:r>
      <w:r w:rsidR="006728C9">
        <w:rPr>
          <w:lang w:val="fr-FR"/>
        </w:rPr>
        <w:t> ;</w:t>
      </w:r>
    </w:p>
    <w:p w14:paraId="71FB1CA1" w14:textId="3BF3B8F1" w:rsidR="00B84CB8" w:rsidRPr="00B84CB8" w:rsidRDefault="00B84CB8" w:rsidP="00B84CB8">
      <w:pPr>
        <w:pStyle w:val="SingleTxtG"/>
        <w:ind w:left="2268"/>
        <w:rPr>
          <w:lang w:val="fr-FR"/>
        </w:rPr>
      </w:pPr>
      <w:r w:rsidRPr="00B84CB8">
        <w:rPr>
          <w:lang w:val="fr-FR"/>
        </w:rPr>
        <w:t>p = pourcentage de répartition du poids du véhicule, comme suit</w:t>
      </w:r>
      <w:r>
        <w:rPr>
          <w:lang w:val="fr-FR"/>
        </w:rPr>
        <w:t> </w:t>
      </w:r>
      <w:r w:rsidRPr="00B84CB8">
        <w:rPr>
          <w:lang w:val="fr-FR"/>
        </w:rPr>
        <w:t>:</w:t>
      </w:r>
    </w:p>
    <w:p w14:paraId="49864546" w14:textId="06872640" w:rsidR="00B84CB8" w:rsidRPr="00B84CB8" w:rsidRDefault="00B84CB8" w:rsidP="00B84CB8">
      <w:pPr>
        <w:pStyle w:val="SingleTxtG"/>
        <w:ind w:left="2835" w:hanging="567"/>
        <w:rPr>
          <w:lang w:val="fr-FR"/>
        </w:rPr>
      </w:pPr>
      <w:r w:rsidRPr="00B84CB8">
        <w:rPr>
          <w:lang w:val="fr-FR"/>
        </w:rPr>
        <w:t>a)</w:t>
      </w:r>
      <w:r w:rsidRPr="00B84CB8">
        <w:rPr>
          <w:lang w:val="fr-FR"/>
        </w:rPr>
        <w:tab/>
        <w:t>Pour le système de freinage avant</w:t>
      </w:r>
      <w:r>
        <w:rPr>
          <w:lang w:val="fr-FR"/>
        </w:rPr>
        <w:t> </w:t>
      </w:r>
      <w:r w:rsidRPr="00B84CB8">
        <w:rPr>
          <w:lang w:val="fr-FR"/>
        </w:rPr>
        <w:t>:</w:t>
      </w:r>
    </w:p>
    <w:p w14:paraId="3F1C60C7" w14:textId="179CF822" w:rsidR="00B84CB8" w:rsidRPr="00B84CB8" w:rsidRDefault="00B84CB8" w:rsidP="00B84CB8">
      <w:pPr>
        <w:pStyle w:val="SingleTxtG"/>
        <w:ind w:left="3402" w:hanging="567"/>
        <w:rPr>
          <w:lang w:val="fr-FR"/>
        </w:rPr>
      </w:pPr>
      <w:r w:rsidRPr="00B84CB8">
        <w:rPr>
          <w:lang w:val="fr-FR"/>
        </w:rPr>
        <w:t>i)</w:t>
      </w:r>
      <w:r w:rsidRPr="00B84CB8">
        <w:rPr>
          <w:lang w:val="fr-FR"/>
        </w:rPr>
        <w:tab/>
        <w:t>75</w:t>
      </w:r>
      <w:r w:rsidR="006728C9">
        <w:rPr>
          <w:lang w:val="fr-FR"/>
        </w:rPr>
        <w:t> </w:t>
      </w:r>
      <w:r w:rsidRPr="00B84CB8">
        <w:rPr>
          <w:lang w:val="fr-FR"/>
        </w:rPr>
        <w:t>% dans le cas d</w:t>
      </w:r>
      <w:r w:rsidR="00FF736C">
        <w:rPr>
          <w:lang w:val="fr-FR"/>
        </w:rPr>
        <w:t>’</w:t>
      </w:r>
      <w:r w:rsidRPr="00B84CB8">
        <w:rPr>
          <w:lang w:val="fr-FR"/>
        </w:rPr>
        <w:t>un disque de frein</w:t>
      </w:r>
      <w:r>
        <w:rPr>
          <w:lang w:val="fr-FR"/>
        </w:rPr>
        <w:t> </w:t>
      </w:r>
      <w:r w:rsidRPr="00B84CB8">
        <w:rPr>
          <w:lang w:val="fr-FR"/>
        </w:rPr>
        <w:t>;</w:t>
      </w:r>
    </w:p>
    <w:p w14:paraId="3EB97DAC" w14:textId="77777777" w:rsidR="00B84CB8" w:rsidRPr="00B84CB8" w:rsidRDefault="00B84CB8" w:rsidP="00B84CB8">
      <w:pPr>
        <w:pStyle w:val="SingleTxtG"/>
        <w:ind w:left="3402" w:hanging="567"/>
        <w:rPr>
          <w:lang w:val="fr-FR"/>
        </w:rPr>
      </w:pPr>
      <w:r w:rsidRPr="00B84CB8">
        <w:rPr>
          <w:lang w:val="fr-FR"/>
        </w:rPr>
        <w:t>ii)</w:t>
      </w:r>
      <w:r w:rsidRPr="00B84CB8">
        <w:rPr>
          <w:lang w:val="fr-FR"/>
        </w:rPr>
        <w:tab/>
        <w:t>37,5 % dans le cas de deux disques de frein ;</w:t>
      </w:r>
    </w:p>
    <w:p w14:paraId="6D16FEFB" w14:textId="77777777" w:rsidR="00B84CB8" w:rsidRPr="00B84CB8" w:rsidRDefault="00B84CB8" w:rsidP="00B84CB8">
      <w:pPr>
        <w:pStyle w:val="SingleTxtG"/>
        <w:ind w:left="2835" w:hanging="567"/>
        <w:rPr>
          <w:lang w:val="fr-FR"/>
        </w:rPr>
      </w:pPr>
      <w:r w:rsidRPr="00B84CB8">
        <w:rPr>
          <w:lang w:val="fr-FR"/>
        </w:rPr>
        <w:t>b)</w:t>
      </w:r>
      <w:r w:rsidRPr="00B84CB8">
        <w:rPr>
          <w:lang w:val="fr-FR"/>
        </w:rPr>
        <w:tab/>
        <w:t>Pour le système de freinage arrière :</w:t>
      </w:r>
    </w:p>
    <w:p w14:paraId="2640D8AC" w14:textId="08E87B87" w:rsidR="00B84CB8" w:rsidRPr="00B84CB8" w:rsidRDefault="00B84CB8" w:rsidP="00B84CB8">
      <w:pPr>
        <w:pStyle w:val="SingleTxtG"/>
        <w:ind w:left="3402" w:hanging="567"/>
        <w:rPr>
          <w:lang w:val="fr-FR"/>
        </w:rPr>
      </w:pPr>
      <w:r w:rsidRPr="00B84CB8">
        <w:rPr>
          <w:lang w:val="fr-FR"/>
        </w:rPr>
        <w:t>i)</w:t>
      </w:r>
      <w:r w:rsidRPr="00B84CB8">
        <w:rPr>
          <w:lang w:val="fr-FR"/>
        </w:rPr>
        <w:tab/>
        <w:t>50</w:t>
      </w:r>
      <w:r w:rsidR="006728C9">
        <w:rPr>
          <w:lang w:val="fr-FR"/>
        </w:rPr>
        <w:t> </w:t>
      </w:r>
      <w:r w:rsidRPr="00B84CB8">
        <w:rPr>
          <w:lang w:val="fr-FR"/>
        </w:rPr>
        <w:t>%</w:t>
      </w:r>
    </w:p>
    <w:p w14:paraId="20C51122" w14:textId="4CFFE97C" w:rsidR="00B84CB8" w:rsidRPr="00B84CB8" w:rsidRDefault="00B84CB8" w:rsidP="00B84CB8">
      <w:pPr>
        <w:pStyle w:val="SingleTxtG"/>
        <w:ind w:left="2268"/>
        <w:rPr>
          <w:lang w:val="fr-FR"/>
        </w:rPr>
      </w:pPr>
      <w:r w:rsidRPr="00B84CB8">
        <w:rPr>
          <w:lang w:val="fr-FR"/>
        </w:rPr>
        <w:t>V = vitesse maximale du véhicule [m/s]</w:t>
      </w:r>
      <w:r w:rsidR="006728C9">
        <w:rPr>
          <w:lang w:val="fr-FR"/>
        </w:rPr>
        <w:t> ;</w:t>
      </w:r>
    </w:p>
    <w:p w14:paraId="432F063D" w14:textId="48A2FB0D" w:rsidR="00B84CB8" w:rsidRPr="00B84CB8" w:rsidRDefault="00B84CB8" w:rsidP="00B84CB8">
      <w:pPr>
        <w:pStyle w:val="SingleTxtG"/>
        <w:ind w:left="2268"/>
        <w:rPr>
          <w:lang w:val="fr-FR"/>
        </w:rPr>
      </w:pPr>
      <w:r w:rsidRPr="00B84CB8">
        <w:rPr>
          <w:lang w:val="fr-FR"/>
        </w:rPr>
        <w:t>c = coefficient de correction de vitesse, comme suit</w:t>
      </w:r>
      <w:r>
        <w:rPr>
          <w:lang w:val="fr-FR"/>
        </w:rPr>
        <w:t> </w:t>
      </w:r>
      <w:r w:rsidRPr="00B84CB8">
        <w:rPr>
          <w:lang w:val="fr-FR"/>
        </w:rPr>
        <w:t>:</w:t>
      </w:r>
    </w:p>
    <w:p w14:paraId="7E0F3789" w14:textId="59AC09E9" w:rsidR="00B84CB8" w:rsidRPr="00B84CB8" w:rsidRDefault="00B84CB8" w:rsidP="00B84CB8">
      <w:pPr>
        <w:pStyle w:val="SingleTxtG"/>
        <w:ind w:left="2835" w:hanging="567"/>
        <w:rPr>
          <w:lang w:val="fr-FR"/>
        </w:rPr>
      </w:pPr>
      <w:r w:rsidRPr="00B84CB8">
        <w:rPr>
          <w:lang w:val="fr-FR"/>
        </w:rPr>
        <w:t>a)</w:t>
      </w:r>
      <w:r w:rsidRPr="00B84CB8">
        <w:rPr>
          <w:lang w:val="fr-FR"/>
        </w:rPr>
        <w:tab/>
        <w:t>Pour le système de freinage avant</w:t>
      </w:r>
      <w:r>
        <w:rPr>
          <w:lang w:val="fr-FR"/>
        </w:rPr>
        <w:t> </w:t>
      </w:r>
      <w:r w:rsidRPr="00B84CB8">
        <w:rPr>
          <w:lang w:val="fr-FR"/>
        </w:rPr>
        <w:t>: 0,8</w:t>
      </w:r>
      <w:r>
        <w:rPr>
          <w:lang w:val="fr-FR"/>
        </w:rPr>
        <w:t> </w:t>
      </w:r>
      <w:r w:rsidRPr="00B84CB8">
        <w:rPr>
          <w:lang w:val="fr-FR"/>
        </w:rPr>
        <w:t>;</w:t>
      </w:r>
    </w:p>
    <w:p w14:paraId="28D279C2" w14:textId="34EAA47A" w:rsidR="00B84CB8" w:rsidRPr="00B84CB8" w:rsidRDefault="00B84CB8" w:rsidP="00B84CB8">
      <w:pPr>
        <w:pStyle w:val="SingleTxtG"/>
        <w:ind w:left="2835" w:hanging="567"/>
        <w:rPr>
          <w:lang w:val="fr-FR"/>
        </w:rPr>
      </w:pPr>
      <w:r w:rsidRPr="00B84CB8">
        <w:rPr>
          <w:lang w:val="fr-FR"/>
        </w:rPr>
        <w:t>b)</w:t>
      </w:r>
      <w:r w:rsidRPr="00B84CB8">
        <w:rPr>
          <w:lang w:val="fr-FR"/>
        </w:rPr>
        <w:tab/>
        <w:t>Pour le système de freinage arrière</w:t>
      </w:r>
      <w:r>
        <w:rPr>
          <w:lang w:val="fr-FR"/>
        </w:rPr>
        <w:t> </w:t>
      </w:r>
      <w:r w:rsidRPr="00B84CB8">
        <w:rPr>
          <w:lang w:val="fr-FR"/>
        </w:rPr>
        <w:t xml:space="preserve">: variable selon le diamètre du disque de frein </w:t>
      </w:r>
      <w:r w:rsidRPr="00B84CB8">
        <w:rPr>
          <w:b/>
          <w:lang w:val="fr-FR"/>
        </w:rPr>
        <w:t>ou du tambour</w:t>
      </w:r>
      <w:r w:rsidRPr="00B84CB8">
        <w:rPr>
          <w:lang w:val="fr-FR"/>
        </w:rPr>
        <w:t> :</w:t>
      </w:r>
    </w:p>
    <w:p w14:paraId="2D95CC0A" w14:textId="3794D661" w:rsidR="00B84CB8" w:rsidRPr="00B84CB8" w:rsidRDefault="00B84CB8" w:rsidP="00B84CB8">
      <w:pPr>
        <w:pStyle w:val="SingleTxtG"/>
        <w:ind w:left="3402" w:hanging="567"/>
        <w:rPr>
          <w:lang w:val="en-US"/>
        </w:rPr>
      </w:pPr>
      <w:r w:rsidRPr="00B84CB8">
        <w:rPr>
          <w:lang w:val="en-US"/>
        </w:rPr>
        <w:t>i)</w:t>
      </w:r>
      <w:r w:rsidRPr="00B84CB8">
        <w:rPr>
          <w:lang w:val="en-US"/>
        </w:rPr>
        <w:tab/>
        <w:t>0,5</w:t>
      </w:r>
      <w:r w:rsidRPr="00B84CB8">
        <w:rPr>
          <w:lang w:val="en-US"/>
        </w:rPr>
        <w:tab/>
        <w:t>(Ø ≤ 245 [</w:t>
      </w:r>
      <w:r w:rsidRPr="00FF736C">
        <w:rPr>
          <w:lang w:val="en-US"/>
        </w:rPr>
        <w:t>mm</w:t>
      </w:r>
      <w:r w:rsidRPr="00B84CB8">
        <w:rPr>
          <w:lang w:val="en-US"/>
        </w:rPr>
        <w:t>])</w:t>
      </w:r>
      <w:r>
        <w:rPr>
          <w:lang w:val="en-US"/>
        </w:rPr>
        <w:t> </w:t>
      </w:r>
      <w:r w:rsidRPr="00B84CB8">
        <w:rPr>
          <w:lang w:val="en-US"/>
        </w:rPr>
        <w:t>;</w:t>
      </w:r>
    </w:p>
    <w:p w14:paraId="66C156D3" w14:textId="31A36F90" w:rsidR="00B84CB8" w:rsidRPr="00B84CB8" w:rsidRDefault="00B84CB8" w:rsidP="00B84CB8">
      <w:pPr>
        <w:pStyle w:val="SingleTxtG"/>
        <w:ind w:left="3402" w:hanging="567"/>
        <w:rPr>
          <w:lang w:val="en-US"/>
        </w:rPr>
      </w:pPr>
      <w:r w:rsidRPr="00B84CB8">
        <w:rPr>
          <w:lang w:val="en-US"/>
        </w:rPr>
        <w:t>ii)</w:t>
      </w:r>
      <w:r w:rsidRPr="00B84CB8">
        <w:rPr>
          <w:lang w:val="en-US"/>
        </w:rPr>
        <w:tab/>
        <w:t>0,6</w:t>
      </w:r>
      <w:r w:rsidRPr="00B84CB8">
        <w:rPr>
          <w:lang w:val="en-US"/>
        </w:rPr>
        <w:tab/>
        <w:t>(245 &lt; Ø &lt; 280 [mm])</w:t>
      </w:r>
      <w:r>
        <w:rPr>
          <w:lang w:val="en-US"/>
        </w:rPr>
        <w:t> </w:t>
      </w:r>
      <w:r w:rsidRPr="00B84CB8">
        <w:rPr>
          <w:lang w:val="en-US"/>
        </w:rPr>
        <w:t>;</w:t>
      </w:r>
    </w:p>
    <w:p w14:paraId="222CC986" w14:textId="05B50C46" w:rsidR="00B84CB8" w:rsidRPr="00B84CB8" w:rsidRDefault="00B84CB8" w:rsidP="00B84CB8">
      <w:pPr>
        <w:pStyle w:val="SingleTxtG"/>
        <w:ind w:left="3402" w:hanging="567"/>
        <w:rPr>
          <w:lang w:val="en-US"/>
        </w:rPr>
      </w:pPr>
      <w:r w:rsidRPr="00B84CB8">
        <w:rPr>
          <w:lang w:val="en-US"/>
        </w:rPr>
        <w:t>iii)</w:t>
      </w:r>
      <w:r w:rsidRPr="00B84CB8">
        <w:rPr>
          <w:lang w:val="en-US"/>
        </w:rPr>
        <w:tab/>
        <w:t>0,75</w:t>
      </w:r>
      <w:r w:rsidRPr="00B84CB8">
        <w:rPr>
          <w:lang w:val="en-US"/>
        </w:rPr>
        <w:tab/>
        <w:t>(Ø ≥ 280 [mm])</w:t>
      </w:r>
      <w:r>
        <w:rPr>
          <w:lang w:val="en-US"/>
        </w:rPr>
        <w:t> </w:t>
      </w:r>
      <w:r w:rsidRPr="00B84CB8">
        <w:rPr>
          <w:lang w:val="en-US"/>
        </w:rPr>
        <w:t>;</w:t>
      </w:r>
    </w:p>
    <w:p w14:paraId="2B3BF099" w14:textId="165F60F7" w:rsidR="00B84CB8" w:rsidRPr="00B84CB8" w:rsidRDefault="00B84CB8" w:rsidP="00B84CB8">
      <w:pPr>
        <w:pStyle w:val="SingleTxtG"/>
        <w:ind w:left="2268"/>
        <w:rPr>
          <w:lang w:val="fr-FR"/>
        </w:rPr>
      </w:pPr>
      <w:r w:rsidRPr="00B84CB8">
        <w:rPr>
          <w:lang w:val="fr-FR"/>
        </w:rPr>
        <w:t>S = surface de la garniture de frein telle que définie dans le tableau 1 [cm</w:t>
      </w:r>
      <w:r w:rsidRPr="00F0177E">
        <w:rPr>
          <w:vertAlign w:val="superscript"/>
          <w:lang w:val="fr-FR"/>
        </w:rPr>
        <w:t>2</w:t>
      </w:r>
      <w:r w:rsidRPr="00B84CB8">
        <w:rPr>
          <w:lang w:val="fr-FR"/>
        </w:rPr>
        <w:t>]</w:t>
      </w:r>
      <w:r w:rsidR="00FF736C">
        <w:rPr>
          <w:lang w:val="fr-FR"/>
        </w:rPr>
        <w:t> </w:t>
      </w:r>
      <w:r w:rsidRPr="00B84CB8">
        <w:rPr>
          <w:lang w:val="fr-FR"/>
        </w:rPr>
        <w:t>;</w:t>
      </w:r>
    </w:p>
    <w:p w14:paraId="3589EC08" w14:textId="31BE3B95" w:rsidR="00B84CB8" w:rsidRPr="00FF736C" w:rsidRDefault="00B84CB8" w:rsidP="00B84CB8">
      <w:pPr>
        <w:pStyle w:val="SingleTxtG"/>
        <w:ind w:left="2268"/>
        <w:rPr>
          <w:lang w:val="fr-FR"/>
        </w:rPr>
      </w:pPr>
      <w:r w:rsidRPr="00B84CB8">
        <w:rPr>
          <w:lang w:val="fr-FR"/>
        </w:rPr>
        <w:t>q</w:t>
      </w:r>
      <w:r w:rsidRPr="00B84CB8">
        <w:rPr>
          <w:vertAlign w:val="subscript"/>
          <w:lang w:val="fr-FR"/>
        </w:rPr>
        <w:t>p</w:t>
      </w:r>
      <w:r w:rsidRPr="00B84CB8">
        <w:rPr>
          <w:lang w:val="fr-FR"/>
        </w:rPr>
        <w:t xml:space="preserve"> = nombre de plaquettes dans un étrier </w:t>
      </w:r>
      <w:r w:rsidRPr="00B84CB8">
        <w:rPr>
          <w:b/>
          <w:bCs/>
          <w:lang w:val="fr-FR"/>
        </w:rPr>
        <w:t>ou nombre de mâchoires de frein actives de l</w:t>
      </w:r>
      <w:r w:rsidR="00FF736C">
        <w:rPr>
          <w:b/>
          <w:bCs/>
          <w:lang w:val="fr-FR"/>
        </w:rPr>
        <w:t>’</w:t>
      </w:r>
      <w:r w:rsidRPr="00B84CB8">
        <w:rPr>
          <w:b/>
          <w:bCs/>
          <w:lang w:val="fr-FR"/>
        </w:rPr>
        <w:t>essieu concerné</w:t>
      </w:r>
      <w:r w:rsidRPr="00B84CB8">
        <w:rPr>
          <w:lang w:val="fr-FR"/>
        </w:rPr>
        <w:t>.</w:t>
      </w:r>
    </w:p>
    <w:p w14:paraId="0730CF91" w14:textId="4E3C9D64" w:rsidR="00B84CB8" w:rsidRPr="00B84CB8" w:rsidRDefault="00B84CB8" w:rsidP="00B84CB8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B84CB8">
        <w:rPr>
          <w:lang w:val="fr-FR"/>
        </w:rPr>
        <w:t>II.</w:t>
      </w:r>
      <w:r w:rsidRPr="00B84CB8">
        <w:rPr>
          <w:lang w:val="fr-FR"/>
        </w:rPr>
        <w:tab/>
        <w:t>Justification</w:t>
      </w:r>
    </w:p>
    <w:p w14:paraId="7697AD49" w14:textId="283B7D7A" w:rsidR="00B84CB8" w:rsidRPr="00B84CB8" w:rsidRDefault="00B84CB8" w:rsidP="00B84CB8">
      <w:pPr>
        <w:pStyle w:val="SingleTxtG"/>
        <w:rPr>
          <w:lang w:val="fr-FR"/>
        </w:rPr>
      </w:pPr>
      <w:r w:rsidRPr="00B84CB8">
        <w:rPr>
          <w:lang w:val="fr-FR"/>
        </w:rPr>
        <w:t>1.</w:t>
      </w:r>
      <w:r w:rsidRPr="00B84CB8">
        <w:rPr>
          <w:lang w:val="fr-FR"/>
        </w:rPr>
        <w:tab/>
        <w:t>Il est apparu qu</w:t>
      </w:r>
      <w:r w:rsidR="00FF736C">
        <w:rPr>
          <w:lang w:val="fr-FR"/>
        </w:rPr>
        <w:t>’</w:t>
      </w:r>
      <w:r w:rsidRPr="00B84CB8">
        <w:rPr>
          <w:lang w:val="fr-FR"/>
        </w:rPr>
        <w:t>il manquait certaines informations pour la mise en œuvre du Règlement ONU n</w:t>
      </w:r>
      <w:r w:rsidR="00F0177E" w:rsidRPr="00F0177E">
        <w:rPr>
          <w:vertAlign w:val="superscript"/>
          <w:lang w:val="fr-FR"/>
        </w:rPr>
        <w:t>o</w:t>
      </w:r>
      <w:r w:rsidR="00F0177E">
        <w:rPr>
          <w:lang w:val="fr-FR"/>
        </w:rPr>
        <w:t> </w:t>
      </w:r>
      <w:r w:rsidRPr="00B84CB8">
        <w:rPr>
          <w:lang w:val="fr-FR"/>
        </w:rPr>
        <w:t xml:space="preserve">90. </w:t>
      </w:r>
    </w:p>
    <w:p w14:paraId="33DFD1E4" w14:textId="0D497F79" w:rsidR="00B84CB8" w:rsidRPr="00B84CB8" w:rsidRDefault="00B84CB8" w:rsidP="00B84CB8">
      <w:pPr>
        <w:pStyle w:val="SingleTxtG"/>
        <w:rPr>
          <w:lang w:val="fr-FR"/>
        </w:rPr>
      </w:pPr>
      <w:r w:rsidRPr="00B84CB8">
        <w:rPr>
          <w:lang w:val="fr-FR"/>
        </w:rPr>
        <w:t>2.</w:t>
      </w:r>
      <w:r w:rsidRPr="00B84CB8">
        <w:rPr>
          <w:lang w:val="fr-FR"/>
        </w:rPr>
        <w:tab/>
        <w:t>Malgré son objectif, qui est de préciser les critères de regroupement des garnitures de frein assemblées pour les véhicules de la catégorie L, l</w:t>
      </w:r>
      <w:r w:rsidR="00FF736C">
        <w:rPr>
          <w:lang w:val="fr-FR"/>
        </w:rPr>
        <w:t>’</w:t>
      </w:r>
      <w:r w:rsidRPr="00B84CB8">
        <w:rPr>
          <w:lang w:val="fr-FR"/>
        </w:rPr>
        <w:t>Annexe 7a ne fournit pas d</w:t>
      </w:r>
      <w:r w:rsidR="00FF736C">
        <w:rPr>
          <w:lang w:val="fr-FR"/>
        </w:rPr>
        <w:t>’</w:t>
      </w:r>
      <w:r w:rsidRPr="00B84CB8">
        <w:rPr>
          <w:lang w:val="fr-FR"/>
        </w:rPr>
        <w:t xml:space="preserve">instructions claires pour les mâchoires de frein. </w:t>
      </w:r>
    </w:p>
    <w:p w14:paraId="2C83E1C9" w14:textId="493ADDDB" w:rsidR="00B84CB8" w:rsidRPr="00B84CB8" w:rsidRDefault="00B84CB8" w:rsidP="00B84CB8">
      <w:pPr>
        <w:pStyle w:val="SingleTxtG"/>
        <w:rPr>
          <w:lang w:val="fr-FR"/>
        </w:rPr>
      </w:pPr>
      <w:r w:rsidRPr="00B84CB8">
        <w:rPr>
          <w:lang w:val="fr-FR"/>
        </w:rPr>
        <w:t>3.</w:t>
      </w:r>
      <w:r w:rsidRPr="00B84CB8">
        <w:rPr>
          <w:lang w:val="fr-FR"/>
        </w:rPr>
        <w:tab/>
        <w:t>Le paragraphe 2.2.3 définit la «</w:t>
      </w:r>
      <w:r w:rsidRPr="00B84CB8">
        <w:rPr>
          <w:i/>
          <w:iCs/>
          <w:lang w:val="fr-FR"/>
        </w:rPr>
        <w:t> garniture de frein assemblée </w:t>
      </w:r>
      <w:r w:rsidRPr="00B84CB8">
        <w:rPr>
          <w:lang w:val="fr-FR"/>
        </w:rPr>
        <w:t>» comme l</w:t>
      </w:r>
      <w:r w:rsidR="00FF736C">
        <w:rPr>
          <w:lang w:val="fr-FR"/>
        </w:rPr>
        <w:t>’</w:t>
      </w:r>
      <w:r w:rsidRPr="00B84CB8">
        <w:rPr>
          <w:lang w:val="fr-FR"/>
        </w:rPr>
        <w:t>élément d</w:t>
      </w:r>
      <w:r w:rsidR="00FF736C">
        <w:rPr>
          <w:lang w:val="fr-FR"/>
        </w:rPr>
        <w:t>’</w:t>
      </w:r>
      <w:r w:rsidRPr="00B84CB8">
        <w:rPr>
          <w:lang w:val="fr-FR"/>
        </w:rPr>
        <w:t xml:space="preserve">un frein à friction qui est appliqué contre le tambour ou le disque pour produire la force de frottement et la </w:t>
      </w:r>
      <w:r w:rsidR="00F0177E">
        <w:rPr>
          <w:lang w:val="fr-FR"/>
        </w:rPr>
        <w:t>« </w:t>
      </w:r>
      <w:r w:rsidRPr="00B84CB8">
        <w:rPr>
          <w:i/>
          <w:iCs/>
          <w:lang w:val="fr-FR"/>
        </w:rPr>
        <w:t>mâchoire</w:t>
      </w:r>
      <w:r w:rsidR="00F0177E">
        <w:rPr>
          <w:lang w:val="fr-FR"/>
        </w:rPr>
        <w:t> »</w:t>
      </w:r>
      <w:r w:rsidRPr="00B84CB8">
        <w:rPr>
          <w:lang w:val="fr-FR"/>
        </w:rPr>
        <w:t xml:space="preserve"> comme un type de garniture de frein assemblée. Par conséquent, il est nécessaire de fournir des instructions claires sur les critères de regroupement pour les mâchoires de frein (comme cela a déjà été fait pour les plaquettes de frein) afin de permettre aux fabricants de mâchoires de frein de procéder à l</w:t>
      </w:r>
      <w:r w:rsidR="00FF736C">
        <w:rPr>
          <w:lang w:val="fr-FR"/>
        </w:rPr>
        <w:t>’</w:t>
      </w:r>
      <w:r w:rsidRPr="00B84CB8">
        <w:rPr>
          <w:lang w:val="fr-FR"/>
        </w:rPr>
        <w:t>homologation conformément au présent Règlement.</w:t>
      </w:r>
    </w:p>
    <w:p w14:paraId="3628A833" w14:textId="1C7AFBF1" w:rsidR="00B84CB8" w:rsidRDefault="00B84CB8" w:rsidP="00B84CB8">
      <w:pPr>
        <w:pStyle w:val="SingleTxtG"/>
        <w:rPr>
          <w:lang w:val="fr-FR"/>
        </w:rPr>
      </w:pPr>
      <w:r w:rsidRPr="00B84CB8">
        <w:rPr>
          <w:lang w:val="fr-FR"/>
        </w:rPr>
        <w:t>4.</w:t>
      </w:r>
      <w:r w:rsidRPr="00B84CB8">
        <w:rPr>
          <w:lang w:val="fr-FR"/>
        </w:rPr>
        <w:tab/>
        <w:t>La présente proposition vise à clarifier le Règlement et son champ d</w:t>
      </w:r>
      <w:r w:rsidR="00FF736C">
        <w:rPr>
          <w:lang w:val="fr-FR"/>
        </w:rPr>
        <w:t>’</w:t>
      </w:r>
      <w:r w:rsidRPr="00B84CB8">
        <w:rPr>
          <w:lang w:val="fr-FR"/>
        </w:rPr>
        <w:t>application. Elle</w:t>
      </w:r>
      <w:r w:rsidR="00F0177E">
        <w:rPr>
          <w:lang w:val="fr-FR"/>
        </w:rPr>
        <w:t> </w:t>
      </w:r>
      <w:r w:rsidRPr="00B84CB8">
        <w:rPr>
          <w:lang w:val="fr-FR"/>
        </w:rPr>
        <w:t>ne modifie en rien sa teneur technique.</w:t>
      </w:r>
    </w:p>
    <w:p w14:paraId="5537871A" w14:textId="0F26C909" w:rsidR="00B84CB8" w:rsidRPr="00B84CB8" w:rsidRDefault="00B84CB8" w:rsidP="00B84CB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84CB8" w:rsidRPr="00B84CB8" w:rsidSect="00B84CB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120B9" w14:textId="77777777" w:rsidR="004B1EAF" w:rsidRDefault="004B1EAF" w:rsidP="00F95C08">
      <w:pPr>
        <w:spacing w:line="240" w:lineRule="auto"/>
      </w:pPr>
    </w:p>
  </w:endnote>
  <w:endnote w:type="continuationSeparator" w:id="0">
    <w:p w14:paraId="3E5D6645" w14:textId="77777777" w:rsidR="004B1EAF" w:rsidRPr="00AC3823" w:rsidRDefault="004B1EAF" w:rsidP="00AC3823">
      <w:pPr>
        <w:pStyle w:val="Pieddepage"/>
      </w:pPr>
    </w:p>
  </w:endnote>
  <w:endnote w:type="continuationNotice" w:id="1">
    <w:p w14:paraId="670EF698" w14:textId="77777777" w:rsidR="004B1EAF" w:rsidRDefault="004B1E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1E73C" w14:textId="6D0EA43B" w:rsidR="00B84CB8" w:rsidRPr="00B84CB8" w:rsidRDefault="00B84CB8" w:rsidP="00B84CB8">
    <w:pPr>
      <w:pStyle w:val="Pieddepage"/>
      <w:tabs>
        <w:tab w:val="right" w:pos="9638"/>
      </w:tabs>
    </w:pPr>
    <w:r w:rsidRPr="00B84CB8">
      <w:rPr>
        <w:b/>
        <w:sz w:val="18"/>
      </w:rPr>
      <w:fldChar w:fldCharType="begin"/>
    </w:r>
    <w:r w:rsidRPr="00B84CB8">
      <w:rPr>
        <w:b/>
        <w:sz w:val="18"/>
      </w:rPr>
      <w:instrText xml:space="preserve"> PAGE  \* MERGEFORMAT </w:instrText>
    </w:r>
    <w:r w:rsidRPr="00B84CB8">
      <w:rPr>
        <w:b/>
        <w:sz w:val="18"/>
      </w:rPr>
      <w:fldChar w:fldCharType="separate"/>
    </w:r>
    <w:r w:rsidRPr="00B84CB8">
      <w:rPr>
        <w:b/>
        <w:noProof/>
        <w:sz w:val="18"/>
      </w:rPr>
      <w:t>2</w:t>
    </w:r>
    <w:r w:rsidRPr="00B84CB8">
      <w:rPr>
        <w:b/>
        <w:sz w:val="18"/>
      </w:rPr>
      <w:fldChar w:fldCharType="end"/>
    </w:r>
    <w:r>
      <w:rPr>
        <w:b/>
        <w:sz w:val="18"/>
      </w:rPr>
      <w:tab/>
    </w:r>
    <w:r>
      <w:t>GE.21-09630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694BB" w14:textId="1A5B2BA5" w:rsidR="00B84CB8" w:rsidRPr="00B84CB8" w:rsidRDefault="00B84CB8" w:rsidP="00B84CB8">
    <w:pPr>
      <w:pStyle w:val="Pieddepage"/>
      <w:tabs>
        <w:tab w:val="right" w:pos="9638"/>
      </w:tabs>
      <w:rPr>
        <w:b/>
        <w:sz w:val="18"/>
      </w:rPr>
    </w:pPr>
    <w:r>
      <w:t>GE.21-09630</w:t>
    </w:r>
    <w:r>
      <w:tab/>
    </w:r>
    <w:r w:rsidRPr="00B84CB8">
      <w:rPr>
        <w:b/>
        <w:sz w:val="18"/>
      </w:rPr>
      <w:fldChar w:fldCharType="begin"/>
    </w:r>
    <w:r w:rsidRPr="00B84CB8">
      <w:rPr>
        <w:b/>
        <w:sz w:val="18"/>
      </w:rPr>
      <w:instrText xml:space="preserve"> PAGE  \* MERGEFORMAT </w:instrText>
    </w:r>
    <w:r w:rsidRPr="00B84CB8">
      <w:rPr>
        <w:b/>
        <w:sz w:val="18"/>
      </w:rPr>
      <w:fldChar w:fldCharType="separate"/>
    </w:r>
    <w:r w:rsidRPr="00B84CB8">
      <w:rPr>
        <w:b/>
        <w:noProof/>
        <w:sz w:val="18"/>
      </w:rPr>
      <w:t>3</w:t>
    </w:r>
    <w:r w:rsidRPr="00B84C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02C5D" w14:textId="793152D2" w:rsidR="007F20FA" w:rsidRPr="00B84CB8" w:rsidRDefault="00B84CB8" w:rsidP="00B84CB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6CC0D15" wp14:editId="2F9BA12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21-09630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34BDAAE" wp14:editId="43141D5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36C">
      <w:rPr>
        <w:sz w:val="20"/>
      </w:rPr>
      <w:t xml:space="preserve">    100821    100821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51C9F" w14:textId="77777777" w:rsidR="004B1EAF" w:rsidRPr="00AC3823" w:rsidRDefault="004B1EA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95A1BC" w14:textId="77777777" w:rsidR="004B1EAF" w:rsidRPr="00AC3823" w:rsidRDefault="004B1EA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5DD9075" w14:textId="77777777" w:rsidR="004B1EAF" w:rsidRPr="00AC3823" w:rsidRDefault="004B1EAF">
      <w:pPr>
        <w:spacing w:line="240" w:lineRule="auto"/>
        <w:rPr>
          <w:sz w:val="2"/>
          <w:szCs w:val="2"/>
        </w:rPr>
      </w:pPr>
    </w:p>
  </w:footnote>
  <w:footnote w:id="2">
    <w:p w14:paraId="406B224D" w14:textId="5C48F3C5" w:rsidR="00B84CB8" w:rsidRPr="00B84CB8" w:rsidRDefault="00B84CB8">
      <w:pPr>
        <w:pStyle w:val="Notedebasdepage"/>
      </w:pPr>
      <w:r>
        <w:rPr>
          <w:rStyle w:val="Appelnotedebasdep"/>
        </w:rPr>
        <w:tab/>
      </w:r>
      <w:r w:rsidRPr="00B84CB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2021 tel qu</w:t>
      </w:r>
      <w:r w:rsidR="00FF736C">
        <w:rPr>
          <w:lang w:val="fr-FR"/>
        </w:rPr>
        <w:t>’</w:t>
      </w:r>
      <w:r>
        <w:rPr>
          <w:lang w:val="fr-FR"/>
        </w:rPr>
        <w:t>il figure dans le projet de budget-programme pour 2021 (A/75/6 (Sect. 20), par. 20.51), le Forum mondial a pour mission d</w:t>
      </w:r>
      <w:r w:rsidR="00FF736C">
        <w:rPr>
          <w:lang w:val="fr-FR"/>
        </w:rPr>
        <w:t>’</w:t>
      </w:r>
      <w:r>
        <w:rPr>
          <w:lang w:val="fr-FR"/>
        </w:rPr>
        <w:t>élaborer, d</w:t>
      </w:r>
      <w:r w:rsidR="00FF736C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FF736C">
        <w:rPr>
          <w:lang w:val="fr-FR"/>
        </w:rPr>
        <w:t>’</w:t>
      </w:r>
      <w:r>
        <w:rPr>
          <w:lang w:val="fr-FR"/>
        </w:rPr>
        <w:t xml:space="preserve">améliorer les caractéristiques fonctionnelles des véhicules. Le présent document est soumis en vertu de ce mandat.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BF96C" w14:textId="3F336227" w:rsidR="00B84CB8" w:rsidRPr="00B84CB8" w:rsidRDefault="00B84CB8">
    <w:pPr>
      <w:pStyle w:val="En-tte"/>
    </w:pPr>
    <w:fldSimple w:instr=" TITLE  \* MERGEFORMAT ">
      <w:r w:rsidR="00373317">
        <w:t>ECE/TRANS/WP.29/GRVA/2021/29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C9AE1" w14:textId="622CAEF6" w:rsidR="00B84CB8" w:rsidRPr="00B84CB8" w:rsidRDefault="00B84CB8" w:rsidP="00B84CB8">
    <w:pPr>
      <w:pStyle w:val="En-tte"/>
      <w:jc w:val="right"/>
    </w:pPr>
    <w:fldSimple w:instr=" TITLE  \* MERGEFORMAT ">
      <w:r w:rsidR="00373317">
        <w:t>ECE/TRANS/WP.29/GRVA/2021/29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A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73317"/>
    <w:rsid w:val="003916DE"/>
    <w:rsid w:val="003C5F38"/>
    <w:rsid w:val="00421996"/>
    <w:rsid w:val="00441C3B"/>
    <w:rsid w:val="00446FE5"/>
    <w:rsid w:val="00452396"/>
    <w:rsid w:val="00477EB2"/>
    <w:rsid w:val="004837D8"/>
    <w:rsid w:val="004B1EAF"/>
    <w:rsid w:val="004E2EED"/>
    <w:rsid w:val="004E468C"/>
    <w:rsid w:val="005505B7"/>
    <w:rsid w:val="00573BE5"/>
    <w:rsid w:val="00586ED3"/>
    <w:rsid w:val="00596AA9"/>
    <w:rsid w:val="006657E6"/>
    <w:rsid w:val="006728C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84CB8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0177E"/>
    <w:rsid w:val="00F35BAF"/>
    <w:rsid w:val="00F660DF"/>
    <w:rsid w:val="00F94664"/>
    <w:rsid w:val="00F9573C"/>
    <w:rsid w:val="00F95C08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B5421A"/>
  <w15:docId w15:val="{0C6A734F-B204-4B5D-8E60-DC3234F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-E Fußnotentext Car,footnote text Car,Fußnotentext Ursprung Car,Footnote Text Char Char Car,Footnote Text Char Char Char Char Car,Footnote Text1 Car,Footnote Text Char Char Char Car,Fußnotentext Char1 Car"/>
    <w:basedOn w:val="Policepardfaut"/>
    <w:link w:val="Notedebasdepage"/>
    <w:uiPriority w:val="99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6BE70-ABBD-49F7-8B16-E2F6D98D538E}"/>
</file>

<file path=customXml/itemProps2.xml><?xml version="1.0" encoding="utf-8"?>
<ds:datastoreItem xmlns:ds="http://schemas.openxmlformats.org/officeDocument/2006/customXml" ds:itemID="{6E9B960E-A770-4455-B50F-D28E0E80EDEA}"/>
</file>

<file path=customXml/itemProps3.xml><?xml version="1.0" encoding="utf-8"?>
<ds:datastoreItem xmlns:ds="http://schemas.openxmlformats.org/officeDocument/2006/customXml" ds:itemID="{42152555-ADEC-4146-BAF0-4EB41005684C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553</Words>
  <Characters>3876</Characters>
  <Application>Microsoft Office Word</Application>
  <DocSecurity>0</DocSecurity>
  <Lines>323</Lines>
  <Paragraphs>177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ECE/TRANS/WP.29/GRVA/2021/29</vt:lpstr>
    </vt:vector>
  </TitlesOfParts>
  <Company>DCM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ECE/TRANS/WP.29/GRVA/2021/29</dc:title>
  <dc:subject/>
  <dc:creator>Julien OKRZESIK</dc:creator>
  <cp:keywords/>
  <cp:lastModifiedBy>Julien Okrzesik</cp:lastModifiedBy>
  <cp:revision>3</cp:revision>
  <cp:lastPrinted>2021-08-10T11:22:00Z</cp:lastPrinted>
  <dcterms:created xsi:type="dcterms:W3CDTF">2021-08-10T11:22:00Z</dcterms:created>
  <dcterms:modified xsi:type="dcterms:W3CDTF">2021-08-10T11:22:00Z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