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569719D5"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6575ADC2"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7079A0">
              <w:t>29</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0D51ABC5" w:rsidR="00EA2A77" w:rsidRPr="004C4906" w:rsidRDefault="00844BB6" w:rsidP="00844BB6">
            <w:pPr>
              <w:spacing w:before="240" w:line="240" w:lineRule="exact"/>
            </w:pPr>
            <w:r w:rsidRPr="004C4906">
              <w:t>Distr.: General</w:t>
            </w:r>
          </w:p>
          <w:p w14:paraId="5B2929BA" w14:textId="11745B8F" w:rsidR="00844BB6" w:rsidRPr="004C4906" w:rsidRDefault="007079A0" w:rsidP="00844BB6">
            <w:pPr>
              <w:spacing w:line="240" w:lineRule="exact"/>
            </w:pPr>
            <w:r>
              <w:t>1</w:t>
            </w:r>
            <w:r w:rsidR="003D13F2">
              <w:t>2</w:t>
            </w:r>
            <w:r w:rsidR="002169BD">
              <w:t xml:space="preserve"> </w:t>
            </w:r>
            <w:r>
              <w:t>July</w:t>
            </w:r>
            <w:r w:rsidR="002169BD">
              <w:t xml:space="preserve"> </w:t>
            </w:r>
            <w:r w:rsidR="00BF6DED">
              <w:t>20</w:t>
            </w:r>
            <w:r w:rsidR="00AD425D">
              <w:t>21</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2EEEB9E5" w:rsidR="008841F1" w:rsidRDefault="00310AF9" w:rsidP="00310AF9">
      <w:pPr>
        <w:spacing w:before="120"/>
        <w:rPr>
          <w:b/>
        </w:rPr>
      </w:pPr>
      <w:bookmarkStart w:id="0" w:name="_Hlk518466992"/>
      <w:bookmarkStart w:id="1" w:name="_Hlk56769561"/>
      <w:r w:rsidRPr="00AE5D67">
        <w:rPr>
          <w:b/>
          <w:bCs/>
        </w:rPr>
        <w:t>Working Party on Automated/Autonomous and Connected Vehicl</w:t>
      </w:r>
      <w:bookmarkEnd w:id="0"/>
      <w:r>
        <w:rPr>
          <w:b/>
          <w:bCs/>
        </w:rPr>
        <w:t>es</w:t>
      </w:r>
      <w:bookmarkEnd w:id="1"/>
    </w:p>
    <w:p w14:paraId="4E8FFFCE" w14:textId="240AB9B8" w:rsidR="00A6508B" w:rsidRPr="004C4906" w:rsidRDefault="00AD425D" w:rsidP="00A6508B">
      <w:pPr>
        <w:spacing w:before="120"/>
        <w:rPr>
          <w:b/>
        </w:rPr>
      </w:pPr>
      <w:r>
        <w:rPr>
          <w:b/>
        </w:rPr>
        <w:t>Eleventh</w:t>
      </w:r>
      <w:r w:rsidR="00BF6DED">
        <w:rPr>
          <w:b/>
        </w:rPr>
        <w:t xml:space="preserve"> session</w:t>
      </w:r>
    </w:p>
    <w:p w14:paraId="080F2812" w14:textId="77777777" w:rsidR="006B1A47" w:rsidRDefault="00A6508B" w:rsidP="00310AF9">
      <w:bookmarkStart w:id="2" w:name="OLE_LINK2"/>
      <w:r>
        <w:t xml:space="preserve">Geneva, </w:t>
      </w:r>
      <w:r w:rsidR="006B1A47">
        <w:t>27 September – 1 October 2021</w:t>
      </w:r>
    </w:p>
    <w:p w14:paraId="66600728" w14:textId="623E389F" w:rsidR="00310AF9" w:rsidRPr="004C4906" w:rsidRDefault="00310AF9" w:rsidP="00310AF9">
      <w:r>
        <w:t xml:space="preserve">Item </w:t>
      </w:r>
      <w:r w:rsidR="007079A0">
        <w:t>10</w:t>
      </w:r>
      <w:r>
        <w:t xml:space="preserve"> of the provisional agenda</w:t>
      </w:r>
    </w:p>
    <w:p w14:paraId="3FF25E63" w14:textId="3B9FF7B7" w:rsidR="00961324" w:rsidRPr="002A07AE" w:rsidRDefault="007079A0" w:rsidP="00310AF9">
      <w:pPr>
        <w:rPr>
          <w:b/>
          <w:bCs/>
          <w:lang w:val="en-US"/>
        </w:rPr>
      </w:pPr>
      <w:r>
        <w:rPr>
          <w:b/>
          <w:bCs/>
        </w:rPr>
        <w:t>UN Regulation No. 90</w:t>
      </w:r>
    </w:p>
    <w:p w14:paraId="501BCCA9" w14:textId="10AF7BDA" w:rsidR="00135769" w:rsidRPr="005268DD" w:rsidRDefault="00135769" w:rsidP="00310AF9">
      <w:pPr>
        <w:pStyle w:val="HChG"/>
        <w:rPr>
          <w:lang w:val="en-US"/>
        </w:rPr>
      </w:pPr>
      <w:r w:rsidRPr="004C4906">
        <w:tab/>
      </w:r>
      <w:r w:rsidRPr="004C4906">
        <w:tab/>
      </w:r>
      <w:bookmarkEnd w:id="2"/>
      <w:r w:rsidR="00D111D5">
        <w:rPr>
          <w:bCs/>
          <w:szCs w:val="28"/>
          <w:lang w:val="en-US"/>
        </w:rPr>
        <w:t>Proposal for amendments to UN Regulation No. 90 (Replacement brake parts)</w:t>
      </w:r>
    </w:p>
    <w:p w14:paraId="55876149" w14:textId="70E59FDB" w:rsidR="009F1A57" w:rsidRDefault="009F1A57" w:rsidP="009F1A57">
      <w:pPr>
        <w:pStyle w:val="H1G"/>
        <w:rPr>
          <w:szCs w:val="24"/>
          <w:lang w:val="en-US"/>
        </w:rPr>
      </w:pPr>
      <w:r>
        <w:tab/>
      </w:r>
      <w:r>
        <w:tab/>
        <w:t xml:space="preserve">Submitted by the expert from </w:t>
      </w:r>
      <w:r w:rsidR="007079A0">
        <w:t>Italy</w:t>
      </w:r>
      <w:r w:rsidR="00EA475E" w:rsidRPr="00524BC2">
        <w:rPr>
          <w:rStyle w:val="FootnoteReference"/>
          <w:b w:val="0"/>
          <w:bCs/>
          <w:sz w:val="24"/>
          <w:szCs w:val="24"/>
          <w:vertAlign w:val="baseline"/>
        </w:rPr>
        <w:footnoteReference w:customMarkFollows="1" w:id="2"/>
        <w:t>*</w:t>
      </w:r>
    </w:p>
    <w:p w14:paraId="45AC0AF5" w14:textId="53979FC0" w:rsidR="009F1A57" w:rsidRDefault="005E1406" w:rsidP="00007DCB">
      <w:pPr>
        <w:keepNext/>
        <w:keepLines/>
        <w:spacing w:before="360" w:after="240" w:line="240" w:lineRule="auto"/>
        <w:ind w:left="1134" w:right="1134" w:firstLine="567"/>
        <w:jc w:val="both"/>
        <w:rPr>
          <w:lang w:val="en-US"/>
        </w:rPr>
      </w:pPr>
      <w:r w:rsidRPr="0053188C">
        <w:t xml:space="preserve">This proposal </w:t>
      </w:r>
      <w:r w:rsidR="002A07AE">
        <w:t xml:space="preserve">was prepared </w:t>
      </w:r>
      <w:r w:rsidR="00873D05">
        <w:t xml:space="preserve">by the expert from </w:t>
      </w:r>
      <w:r w:rsidR="00D111D5">
        <w:t>Italy. It is submitted for review at the eleventh</w:t>
      </w:r>
      <w:r w:rsidR="005556CB">
        <w:t xml:space="preserve"> session </w:t>
      </w:r>
      <w:r w:rsidR="007174B8">
        <w:t xml:space="preserve">of the </w:t>
      </w:r>
      <w:r w:rsidR="007174B8" w:rsidRPr="007174B8">
        <w:t xml:space="preserve">Working Party on Automated/Autonomous and Connected Vehicles </w:t>
      </w:r>
      <w:r w:rsidR="007174B8">
        <w:t xml:space="preserve">(GRVA) </w:t>
      </w:r>
      <w:r w:rsidR="005556CB">
        <w:t>in September 202</w:t>
      </w:r>
      <w:r w:rsidR="00D111D5">
        <w:t>1</w:t>
      </w:r>
      <w:r w:rsidR="005556CB">
        <w:t>.</w:t>
      </w:r>
      <w:r w:rsidR="005268DD">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213B54DA"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p>
    <w:p w14:paraId="390F3A2D" w14:textId="0A295986" w:rsidR="00D73FD4" w:rsidRDefault="00E53C20" w:rsidP="00D73FD4">
      <w:pPr>
        <w:keepNext/>
        <w:keepLines/>
        <w:spacing w:after="120"/>
        <w:ind w:left="2268" w:right="1134" w:hanging="1134"/>
        <w:jc w:val="both"/>
        <w:rPr>
          <w:rFonts w:asciiTheme="majorBidi" w:hAnsiTheme="majorBidi" w:cstheme="majorBidi"/>
          <w:i/>
          <w:lang w:val="sv-SE"/>
        </w:rPr>
      </w:pPr>
      <w:r>
        <w:rPr>
          <w:rFonts w:asciiTheme="majorBidi" w:hAnsiTheme="majorBidi" w:cstheme="majorBidi"/>
          <w:i/>
          <w:lang w:val="sv-SE"/>
        </w:rPr>
        <w:t>Annex 7a</w:t>
      </w:r>
    </w:p>
    <w:p w14:paraId="6F5C16EF" w14:textId="561210A5" w:rsidR="007D24AF" w:rsidRDefault="007F3E51" w:rsidP="00D73FD4">
      <w:pPr>
        <w:keepNext/>
        <w:keepLines/>
        <w:spacing w:after="120"/>
        <w:ind w:left="2268" w:right="1134" w:hanging="1134"/>
        <w:jc w:val="both"/>
        <w:rPr>
          <w:rFonts w:eastAsia="Malgun Gothic"/>
          <w:lang w:val="en-US"/>
        </w:rPr>
      </w:pPr>
      <w:r w:rsidRPr="007F3E51">
        <w:rPr>
          <w:rFonts w:eastAsia="Malgun Gothic"/>
          <w:i/>
          <w:iCs/>
          <w:lang w:val="en-US"/>
        </w:rPr>
        <w:t>Paragraph 1</w:t>
      </w:r>
      <w:r w:rsidR="008F487E">
        <w:rPr>
          <w:rFonts w:eastAsia="Malgun Gothic"/>
          <w:i/>
          <w:iCs/>
          <w:lang w:val="en-US"/>
        </w:rPr>
        <w:t>.</w:t>
      </w:r>
      <w:r w:rsidRPr="007F3E51">
        <w:rPr>
          <w:rFonts w:eastAsia="Malgun Gothic"/>
          <w:i/>
          <w:iCs/>
          <w:lang w:val="en-US"/>
        </w:rPr>
        <w:t>,</w:t>
      </w:r>
      <w:r>
        <w:rPr>
          <w:rFonts w:eastAsia="Malgun Gothic"/>
          <w:lang w:val="en-US"/>
        </w:rPr>
        <w:t xml:space="preserve"> amend to read:</w:t>
      </w:r>
    </w:p>
    <w:p w14:paraId="345ED7D1" w14:textId="7DE6C4E1" w:rsidR="00F93913" w:rsidRPr="00C330FB" w:rsidRDefault="006B1A47" w:rsidP="00F93913">
      <w:pPr>
        <w:pStyle w:val="ListParagraph1"/>
        <w:spacing w:after="120" w:line="240" w:lineRule="auto"/>
        <w:ind w:left="2268" w:right="1134" w:hanging="1134"/>
        <w:contextualSpacing w:val="0"/>
        <w:jc w:val="both"/>
        <w:rPr>
          <w:rFonts w:ascii="Times New Roman" w:hAnsi="Times New Roman"/>
          <w:sz w:val="20"/>
        </w:rPr>
      </w:pPr>
      <w:r>
        <w:rPr>
          <w:rFonts w:ascii="Times New Roman" w:hAnsi="Times New Roman"/>
          <w:sz w:val="20"/>
          <w:szCs w:val="24"/>
        </w:rPr>
        <w:t>“</w:t>
      </w:r>
      <w:r w:rsidR="00F93913" w:rsidRPr="00C330FB">
        <w:rPr>
          <w:rFonts w:ascii="Times New Roman" w:hAnsi="Times New Roman"/>
          <w:sz w:val="20"/>
          <w:szCs w:val="24"/>
        </w:rPr>
        <w:t>1.</w:t>
      </w:r>
      <w:r w:rsidR="00F93913" w:rsidRPr="00C330FB">
        <w:rPr>
          <w:rFonts w:ascii="Times New Roman" w:hAnsi="Times New Roman"/>
          <w:sz w:val="20"/>
          <w:szCs w:val="24"/>
        </w:rPr>
        <w:tab/>
      </w:r>
      <w:r w:rsidR="00F93913" w:rsidRPr="00C330FB">
        <w:rPr>
          <w:rFonts w:ascii="Times New Roman" w:hAnsi="Times New Roman"/>
          <w:sz w:val="20"/>
        </w:rPr>
        <w:t>Grouping criteria</w:t>
      </w:r>
    </w:p>
    <w:p w14:paraId="358A4BDC" w14:textId="77777777" w:rsidR="00F93913" w:rsidRPr="00F56765" w:rsidRDefault="00F93913" w:rsidP="00F93913">
      <w:pPr>
        <w:pStyle w:val="ListParagraph1"/>
        <w:spacing w:after="120" w:line="240" w:lineRule="auto"/>
        <w:ind w:left="2268" w:right="1134" w:hanging="1134"/>
        <w:contextualSpacing w:val="0"/>
        <w:jc w:val="both"/>
        <w:rPr>
          <w:rFonts w:ascii="Times New Roman" w:hAnsi="Times New Roman"/>
          <w:sz w:val="20"/>
        </w:rPr>
      </w:pPr>
      <w:r w:rsidRPr="00F56765">
        <w:rPr>
          <w:rFonts w:ascii="Times New Roman" w:hAnsi="Times New Roman"/>
          <w:sz w:val="20"/>
        </w:rPr>
        <w:tab/>
        <w:t>The grouping is made according to the following approach:</w:t>
      </w:r>
    </w:p>
    <w:p w14:paraId="158D1615" w14:textId="77777777" w:rsidR="00F93913" w:rsidRPr="00F56765" w:rsidRDefault="00F93913" w:rsidP="00F93913">
      <w:pPr>
        <w:pStyle w:val="ListParagraph1"/>
        <w:spacing w:after="120" w:line="240" w:lineRule="auto"/>
        <w:ind w:left="2835" w:right="1134" w:hanging="567"/>
        <w:contextualSpacing w:val="0"/>
        <w:jc w:val="both"/>
        <w:rPr>
          <w:rFonts w:ascii="Times New Roman" w:hAnsi="Times New Roman"/>
          <w:sz w:val="20"/>
        </w:rPr>
      </w:pPr>
      <w:r w:rsidRPr="00F56765">
        <w:rPr>
          <w:rFonts w:ascii="Times New Roman" w:hAnsi="Times New Roman"/>
          <w:sz w:val="20"/>
        </w:rPr>
        <w:t>(a)</w:t>
      </w:r>
      <w:r w:rsidRPr="00F56765">
        <w:rPr>
          <w:rFonts w:ascii="Times New Roman" w:hAnsi="Times New Roman"/>
          <w:sz w:val="20"/>
        </w:rPr>
        <w:tab/>
        <w:t>According to the</w:t>
      </w:r>
      <w:r w:rsidRPr="00F56765">
        <w:rPr>
          <w:rFonts w:ascii="Times New Roman" w:hAnsi="Times New Roman"/>
          <w:color w:val="FF0000"/>
          <w:sz w:val="20"/>
        </w:rPr>
        <w:t xml:space="preserve"> </w:t>
      </w:r>
      <w:r w:rsidRPr="00F56765">
        <w:rPr>
          <w:rFonts w:ascii="Times New Roman" w:hAnsi="Times New Roman"/>
          <w:sz w:val="20"/>
        </w:rPr>
        <w:t>individual friction material of the brake lining;</w:t>
      </w:r>
    </w:p>
    <w:p w14:paraId="6094F154" w14:textId="77777777" w:rsidR="00F93913" w:rsidRPr="00F56765" w:rsidRDefault="00F93913" w:rsidP="00F93913">
      <w:pPr>
        <w:pStyle w:val="ListParagraph1"/>
        <w:spacing w:after="120" w:line="240" w:lineRule="auto"/>
        <w:ind w:left="2835" w:right="1134" w:hanging="567"/>
        <w:contextualSpacing w:val="0"/>
        <w:jc w:val="both"/>
        <w:rPr>
          <w:rFonts w:ascii="Times New Roman" w:hAnsi="Times New Roman"/>
        </w:rPr>
      </w:pPr>
      <w:r w:rsidRPr="00F56765">
        <w:rPr>
          <w:rFonts w:ascii="Times New Roman" w:hAnsi="Times New Roman"/>
          <w:sz w:val="20"/>
        </w:rPr>
        <w:t>(b)</w:t>
      </w:r>
      <w:r w:rsidRPr="00F56765">
        <w:rPr>
          <w:rFonts w:ascii="Times New Roman" w:hAnsi="Times New Roman"/>
          <w:sz w:val="20"/>
        </w:rPr>
        <w:tab/>
        <w:t>Depending on the area of the friction material area of the brake lining assembly operated by the piston/pistons of only one side of the brake caliper</w:t>
      </w:r>
      <w:r>
        <w:rPr>
          <w:rFonts w:ascii="Times New Roman" w:hAnsi="Times New Roman"/>
          <w:sz w:val="20"/>
        </w:rPr>
        <w:t xml:space="preserve"> </w:t>
      </w:r>
      <w:r w:rsidRPr="0034712C">
        <w:rPr>
          <w:rFonts w:ascii="Times New Roman" w:hAnsi="Times New Roman"/>
          <w:b/>
          <w:bCs/>
          <w:sz w:val="20"/>
        </w:rPr>
        <w:t xml:space="preserve">or, in case of drum brakes, of </w:t>
      </w:r>
      <w:r>
        <w:rPr>
          <w:rFonts w:ascii="Times New Roman" w:hAnsi="Times New Roman"/>
          <w:b/>
          <w:bCs/>
          <w:sz w:val="20"/>
        </w:rPr>
        <w:t xml:space="preserve">only one brake </w:t>
      </w:r>
      <w:r w:rsidRPr="0034712C">
        <w:rPr>
          <w:rFonts w:ascii="Times New Roman" w:hAnsi="Times New Roman"/>
          <w:b/>
          <w:bCs/>
          <w:sz w:val="20"/>
        </w:rPr>
        <w:t>shoe.</w:t>
      </w:r>
    </w:p>
    <w:p w14:paraId="4CFB0B37" w14:textId="77777777" w:rsidR="00F93913" w:rsidRPr="00F56765" w:rsidRDefault="00F93913" w:rsidP="00F93913">
      <w:pPr>
        <w:spacing w:after="120"/>
        <w:ind w:left="2268" w:right="1134" w:hanging="1134"/>
        <w:jc w:val="both"/>
        <w:rPr>
          <w:b/>
          <w:lang w:val="en-US"/>
        </w:rPr>
      </w:pPr>
      <w:r w:rsidRPr="00F56765">
        <w:rPr>
          <w:lang w:val="en-US"/>
        </w:rPr>
        <w:tab/>
        <w:t>Friction material area means all the area enclosed within the perimeter of the brake lining (see the red cross-hatched area, Figure 1</w:t>
      </w:r>
      <w:r w:rsidRPr="0034712C">
        <w:rPr>
          <w:b/>
          <w:bCs/>
          <w:lang w:val="en-US"/>
        </w:rPr>
        <w:t>, Figure 2</w:t>
      </w:r>
      <w:r w:rsidRPr="00F56765">
        <w:rPr>
          <w:lang w:val="en-US"/>
        </w:rPr>
        <w:t>), thus excluding the presence of any grooves and/or chamfers:</w:t>
      </w:r>
    </w:p>
    <w:p w14:paraId="55EA25CE" w14:textId="77777777" w:rsidR="00F93913" w:rsidRPr="0034712C" w:rsidRDefault="00F93913" w:rsidP="00F93913">
      <w:pPr>
        <w:keepNext/>
        <w:spacing w:after="120"/>
        <w:ind w:left="2268" w:right="1134" w:hanging="1134"/>
        <w:jc w:val="both"/>
        <w:rPr>
          <w:bCs/>
        </w:rPr>
      </w:pPr>
      <w:r w:rsidRPr="0034712C">
        <w:rPr>
          <w:bCs/>
          <w:lang w:val="en-US"/>
        </w:rPr>
        <w:tab/>
      </w:r>
      <w:r w:rsidRPr="0034712C">
        <w:rPr>
          <w:bCs/>
        </w:rPr>
        <w:t>Figure 1</w:t>
      </w:r>
    </w:p>
    <w:p w14:paraId="12B92E19" w14:textId="77777777" w:rsidR="00F93913" w:rsidRDefault="00F93913" w:rsidP="00F93913">
      <w:pPr>
        <w:spacing w:after="120"/>
        <w:ind w:left="567" w:right="1134"/>
        <w:jc w:val="center"/>
        <w:rPr>
          <w:b/>
        </w:rPr>
      </w:pPr>
      <w:r>
        <w:rPr>
          <w:b/>
          <w:noProof/>
          <w:lang w:val="it-IT" w:eastAsia="it-IT"/>
        </w:rPr>
        <w:drawing>
          <wp:inline distT="0" distB="0" distL="0" distR="0" wp14:anchorId="17B26885" wp14:editId="32607901">
            <wp:extent cx="2200275" cy="211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2114550"/>
                    </a:xfrm>
                    <a:prstGeom prst="rect">
                      <a:avLst/>
                    </a:prstGeom>
                    <a:noFill/>
                    <a:ln>
                      <a:noFill/>
                    </a:ln>
                  </pic:spPr>
                </pic:pic>
              </a:graphicData>
            </a:graphic>
          </wp:inline>
        </w:drawing>
      </w:r>
    </w:p>
    <w:p w14:paraId="652A3BE3" w14:textId="77777777" w:rsidR="00F93913" w:rsidRPr="0034712C" w:rsidRDefault="00F93913" w:rsidP="00F93913">
      <w:pPr>
        <w:spacing w:after="120"/>
        <w:ind w:left="1701" w:right="1134" w:firstLine="567"/>
        <w:rPr>
          <w:b/>
        </w:rPr>
      </w:pPr>
      <w:r w:rsidRPr="0034712C">
        <w:rPr>
          <w:b/>
        </w:rPr>
        <w:t>Figure 2</w:t>
      </w:r>
    </w:p>
    <w:p w14:paraId="20486642" w14:textId="77777777" w:rsidR="00F93913" w:rsidRDefault="00F93913" w:rsidP="00F93913">
      <w:pPr>
        <w:spacing w:after="120"/>
        <w:ind w:left="567" w:right="1134"/>
        <w:jc w:val="center"/>
        <w:rPr>
          <w:b/>
        </w:rPr>
      </w:pPr>
      <w:r w:rsidRPr="008F0024">
        <w:rPr>
          <w:b/>
          <w:noProof/>
          <w:lang w:val="it-IT" w:eastAsia="it-IT"/>
        </w:rPr>
        <w:drawing>
          <wp:inline distT="0" distB="0" distL="0" distR="0" wp14:anchorId="3A0EE82A" wp14:editId="68ED7410">
            <wp:extent cx="2473960" cy="2661784"/>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06204" cy="2696476"/>
                    </a:xfrm>
                    <a:prstGeom prst="rect">
                      <a:avLst/>
                    </a:prstGeom>
                  </pic:spPr>
                </pic:pic>
              </a:graphicData>
            </a:graphic>
          </wp:inline>
        </w:drawing>
      </w:r>
    </w:p>
    <w:p w14:paraId="1487AFF2" w14:textId="77777777" w:rsidR="00F93913" w:rsidRDefault="00F93913" w:rsidP="00F93913">
      <w:pPr>
        <w:suppressAutoHyphens w:val="0"/>
        <w:spacing w:line="240" w:lineRule="auto"/>
        <w:rPr>
          <w:lang w:val="en-US"/>
        </w:rPr>
      </w:pPr>
      <w:r>
        <w:rPr>
          <w:lang w:val="en-US"/>
        </w:rPr>
        <w:br w:type="page"/>
      </w:r>
    </w:p>
    <w:p w14:paraId="347592B5" w14:textId="24B6B656" w:rsidR="00F93913" w:rsidRPr="00F56765" w:rsidRDefault="00F93913" w:rsidP="00F93913">
      <w:pPr>
        <w:spacing w:after="120"/>
        <w:ind w:left="2268" w:right="1134"/>
        <w:jc w:val="both"/>
        <w:rPr>
          <w:lang w:val="en-US"/>
        </w:rPr>
      </w:pPr>
      <w:r>
        <w:rPr>
          <w:lang w:val="en-US"/>
        </w:rPr>
        <w:lastRenderedPageBreak/>
        <w:t>Three</w:t>
      </w:r>
      <w:r w:rsidRPr="00F56765">
        <w:rPr>
          <w:lang w:val="en-US"/>
        </w:rPr>
        <w:t xml:space="preserve"> area groups are foreseen, as in Table 1:</w:t>
      </w:r>
    </w:p>
    <w:p w14:paraId="1D8A01A6" w14:textId="77777777" w:rsidR="00F93913" w:rsidRPr="0034712C" w:rsidRDefault="00F93913" w:rsidP="00F93913">
      <w:pPr>
        <w:spacing w:after="120"/>
        <w:ind w:left="2268" w:right="1134"/>
        <w:jc w:val="both"/>
        <w:rPr>
          <w:bCs/>
          <w:lang w:val="en-US"/>
        </w:rPr>
      </w:pPr>
      <w:r w:rsidRPr="0034712C">
        <w:rPr>
          <w:bCs/>
          <w:lang w:val="en-US"/>
        </w:rPr>
        <w:t>Table 1</w:t>
      </w:r>
    </w:p>
    <w:tbl>
      <w:tblPr>
        <w:tblW w:w="3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2244"/>
      </w:tblGrid>
      <w:tr w:rsidR="00F93913" w14:paraId="7D35E84B" w14:textId="77777777" w:rsidTr="00C9049E">
        <w:trPr>
          <w:jc w:val="center"/>
        </w:trPr>
        <w:tc>
          <w:tcPr>
            <w:tcW w:w="756" w:type="dxa"/>
            <w:tcBorders>
              <w:top w:val="single" w:sz="4" w:space="0" w:color="auto"/>
              <w:left w:val="single" w:sz="4" w:space="0" w:color="auto"/>
              <w:bottom w:val="single" w:sz="12" w:space="0" w:color="auto"/>
              <w:right w:val="single" w:sz="4" w:space="0" w:color="auto"/>
            </w:tcBorders>
            <w:hideMark/>
          </w:tcPr>
          <w:p w14:paraId="526DF341" w14:textId="77777777" w:rsidR="00F93913" w:rsidRPr="00F56765" w:rsidRDefault="00F93913" w:rsidP="00C9049E">
            <w:pPr>
              <w:suppressAutoHyphens w:val="0"/>
              <w:spacing w:after="120" w:line="240" w:lineRule="auto"/>
              <w:jc w:val="center"/>
              <w:rPr>
                <w:rFonts w:eastAsia="SimSun"/>
                <w:i/>
                <w:sz w:val="18"/>
                <w:lang w:val="en-US"/>
              </w:rPr>
            </w:pPr>
            <w:r w:rsidRPr="00F56765">
              <w:rPr>
                <w:rFonts w:eastAsia="SimSun"/>
                <w:i/>
                <w:sz w:val="18"/>
                <w:lang w:val="en-US"/>
              </w:rPr>
              <w:t>Group</w:t>
            </w:r>
          </w:p>
        </w:tc>
        <w:tc>
          <w:tcPr>
            <w:tcW w:w="2244" w:type="dxa"/>
            <w:tcBorders>
              <w:top w:val="single" w:sz="4" w:space="0" w:color="auto"/>
              <w:left w:val="single" w:sz="4" w:space="0" w:color="auto"/>
              <w:bottom w:val="single" w:sz="12" w:space="0" w:color="auto"/>
              <w:right w:val="single" w:sz="4" w:space="0" w:color="auto"/>
            </w:tcBorders>
            <w:hideMark/>
          </w:tcPr>
          <w:p w14:paraId="5F19D60F" w14:textId="77777777" w:rsidR="00F93913" w:rsidRPr="00F56765" w:rsidRDefault="00F93913" w:rsidP="00C9049E">
            <w:pPr>
              <w:suppressAutoHyphens w:val="0"/>
              <w:spacing w:after="120" w:line="240" w:lineRule="auto"/>
              <w:jc w:val="center"/>
              <w:rPr>
                <w:rFonts w:eastAsia="SimSun"/>
                <w:i/>
                <w:sz w:val="18"/>
                <w:lang w:val="en-US"/>
              </w:rPr>
            </w:pPr>
            <w:r w:rsidRPr="00F56765">
              <w:rPr>
                <w:rFonts w:eastAsia="SimSun"/>
                <w:i/>
                <w:sz w:val="18"/>
                <w:lang w:val="en-US"/>
              </w:rPr>
              <w:t>Brake lining area</w:t>
            </w:r>
            <w:r>
              <w:rPr>
                <w:rFonts w:eastAsia="SimSun"/>
                <w:i/>
                <w:sz w:val="18"/>
                <w:szCs w:val="24"/>
                <w:lang w:val="en-US" w:eastAsia="zh-CN"/>
              </w:rPr>
              <w:br/>
            </w:r>
            <w:r w:rsidRPr="00F56765">
              <w:rPr>
                <w:rFonts w:eastAsia="SimSun"/>
                <w:i/>
                <w:sz w:val="18"/>
                <w:lang w:val="en-US"/>
              </w:rPr>
              <w:t>[cm</w:t>
            </w:r>
            <w:r w:rsidRPr="00F56765">
              <w:rPr>
                <w:rFonts w:eastAsia="SimSun"/>
                <w:i/>
                <w:sz w:val="18"/>
                <w:vertAlign w:val="superscript"/>
                <w:lang w:val="en-US"/>
              </w:rPr>
              <w:t>2</w:t>
            </w:r>
            <w:r w:rsidRPr="00F56765">
              <w:rPr>
                <w:rFonts w:eastAsia="SimSun"/>
                <w:i/>
                <w:sz w:val="18"/>
                <w:lang w:val="en-US"/>
              </w:rPr>
              <w:t>]</w:t>
            </w:r>
          </w:p>
        </w:tc>
      </w:tr>
      <w:tr w:rsidR="00F93913" w14:paraId="2F183DF2" w14:textId="77777777" w:rsidTr="00C9049E">
        <w:trPr>
          <w:jc w:val="center"/>
        </w:trPr>
        <w:tc>
          <w:tcPr>
            <w:tcW w:w="756" w:type="dxa"/>
            <w:tcBorders>
              <w:top w:val="single" w:sz="12" w:space="0" w:color="auto"/>
              <w:left w:val="single" w:sz="4" w:space="0" w:color="auto"/>
              <w:bottom w:val="single" w:sz="4" w:space="0" w:color="auto"/>
              <w:right w:val="single" w:sz="4" w:space="0" w:color="auto"/>
            </w:tcBorders>
            <w:vAlign w:val="center"/>
            <w:hideMark/>
          </w:tcPr>
          <w:p w14:paraId="181D8633" w14:textId="77777777" w:rsidR="00F93913" w:rsidRPr="00F56765" w:rsidRDefault="00F93913" w:rsidP="00C9049E">
            <w:pPr>
              <w:suppressAutoHyphens w:val="0"/>
              <w:spacing w:after="120" w:line="240" w:lineRule="auto"/>
              <w:jc w:val="center"/>
              <w:rPr>
                <w:rFonts w:eastAsia="SimSun"/>
                <w:lang w:val="it-IT"/>
              </w:rPr>
            </w:pPr>
            <w:r w:rsidRPr="00F56765">
              <w:rPr>
                <w:rFonts w:eastAsia="SimSun"/>
                <w:lang w:val="it-IT"/>
              </w:rPr>
              <w:t>A</w:t>
            </w:r>
          </w:p>
        </w:tc>
        <w:tc>
          <w:tcPr>
            <w:tcW w:w="2244" w:type="dxa"/>
            <w:tcBorders>
              <w:top w:val="single" w:sz="12" w:space="0" w:color="auto"/>
              <w:left w:val="single" w:sz="4" w:space="0" w:color="auto"/>
              <w:bottom w:val="single" w:sz="4" w:space="0" w:color="auto"/>
              <w:right w:val="single" w:sz="4" w:space="0" w:color="auto"/>
            </w:tcBorders>
            <w:vAlign w:val="center"/>
            <w:hideMark/>
          </w:tcPr>
          <w:p w14:paraId="3FB21D3B" w14:textId="77777777" w:rsidR="00F93913" w:rsidRPr="00F56765" w:rsidRDefault="00F93913" w:rsidP="00C9049E">
            <w:pPr>
              <w:suppressAutoHyphens w:val="0"/>
              <w:spacing w:after="120" w:line="240" w:lineRule="auto"/>
              <w:jc w:val="center"/>
              <w:rPr>
                <w:rFonts w:eastAsia="SimSun"/>
                <w:lang w:val="it-IT"/>
              </w:rPr>
            </w:pPr>
            <w:r w:rsidRPr="00F56765">
              <w:rPr>
                <w:rFonts w:eastAsia="SimSun" w:hint="eastAsia"/>
                <w:lang w:val="it-IT"/>
              </w:rPr>
              <w:t>≤</w:t>
            </w:r>
            <w:r w:rsidRPr="00F56765">
              <w:rPr>
                <w:rFonts w:eastAsia="SimSun" w:hint="eastAsia"/>
                <w:lang w:val="it-IT"/>
              </w:rPr>
              <w:t>15</w:t>
            </w:r>
          </w:p>
        </w:tc>
      </w:tr>
      <w:tr w:rsidR="00F93913" w14:paraId="207A68E8" w14:textId="77777777" w:rsidTr="00C9049E">
        <w:trP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14:paraId="500D3AC4" w14:textId="77777777" w:rsidR="00F93913" w:rsidRPr="00F56765" w:rsidRDefault="00F93913" w:rsidP="00C9049E">
            <w:pPr>
              <w:suppressAutoHyphens w:val="0"/>
              <w:spacing w:after="120" w:line="240" w:lineRule="auto"/>
              <w:jc w:val="center"/>
              <w:rPr>
                <w:rFonts w:eastAsia="SimSun"/>
                <w:lang w:val="it-IT"/>
              </w:rPr>
            </w:pPr>
            <w:r w:rsidRPr="00F56765">
              <w:rPr>
                <w:rFonts w:eastAsia="SimSun"/>
                <w:lang w:val="it-IT"/>
              </w:rPr>
              <w:t>B</w:t>
            </w:r>
          </w:p>
        </w:tc>
        <w:tc>
          <w:tcPr>
            <w:tcW w:w="2244" w:type="dxa"/>
            <w:tcBorders>
              <w:top w:val="single" w:sz="4" w:space="0" w:color="auto"/>
              <w:left w:val="single" w:sz="4" w:space="0" w:color="auto"/>
              <w:bottom w:val="single" w:sz="4" w:space="0" w:color="auto"/>
              <w:right w:val="single" w:sz="4" w:space="0" w:color="auto"/>
            </w:tcBorders>
            <w:vAlign w:val="center"/>
            <w:hideMark/>
          </w:tcPr>
          <w:p w14:paraId="2694407B" w14:textId="77777777" w:rsidR="00F93913" w:rsidRPr="00F56765" w:rsidRDefault="00F93913" w:rsidP="00C9049E">
            <w:pPr>
              <w:suppressAutoHyphens w:val="0"/>
              <w:spacing w:after="120" w:line="240" w:lineRule="auto"/>
              <w:jc w:val="center"/>
              <w:rPr>
                <w:rFonts w:eastAsia="SimSun"/>
                <w:lang w:val="it-IT"/>
              </w:rPr>
            </w:pPr>
            <w:r w:rsidRPr="00F56765">
              <w:rPr>
                <w:rFonts w:eastAsia="SimSun"/>
                <w:lang w:val="it-IT"/>
              </w:rPr>
              <w:t xml:space="preserve">&gt; 15 </w:t>
            </w:r>
            <w:r w:rsidRPr="00F56765">
              <w:rPr>
                <w:rFonts w:eastAsia="SimSun" w:hint="eastAsia"/>
                <w:lang w:val="it-IT"/>
              </w:rPr>
              <w:t>≤</w:t>
            </w:r>
            <w:r w:rsidRPr="00F56765">
              <w:rPr>
                <w:rFonts w:eastAsia="SimSun"/>
                <w:lang w:val="it-IT"/>
              </w:rPr>
              <w:t xml:space="preserve"> 22</w:t>
            </w:r>
          </w:p>
        </w:tc>
      </w:tr>
      <w:tr w:rsidR="00F93913" w14:paraId="11E060A7" w14:textId="77777777" w:rsidTr="00C9049E">
        <w:trPr>
          <w:jc w:val="center"/>
        </w:trPr>
        <w:tc>
          <w:tcPr>
            <w:tcW w:w="756" w:type="dxa"/>
            <w:tcBorders>
              <w:top w:val="single" w:sz="4" w:space="0" w:color="auto"/>
              <w:left w:val="single" w:sz="4" w:space="0" w:color="auto"/>
              <w:bottom w:val="single" w:sz="12" w:space="0" w:color="auto"/>
              <w:right w:val="single" w:sz="4" w:space="0" w:color="auto"/>
            </w:tcBorders>
            <w:vAlign w:val="center"/>
            <w:hideMark/>
          </w:tcPr>
          <w:p w14:paraId="131744EE" w14:textId="77777777" w:rsidR="00F93913" w:rsidRPr="00F56765" w:rsidRDefault="00F93913" w:rsidP="00C9049E">
            <w:pPr>
              <w:suppressAutoHyphens w:val="0"/>
              <w:spacing w:after="120" w:line="240" w:lineRule="auto"/>
              <w:jc w:val="center"/>
              <w:rPr>
                <w:rFonts w:eastAsia="SimSun"/>
                <w:lang w:val="it-IT"/>
              </w:rPr>
            </w:pPr>
            <w:r w:rsidRPr="00F56765">
              <w:rPr>
                <w:rFonts w:eastAsia="SimSun"/>
                <w:lang w:val="it-IT"/>
              </w:rPr>
              <w:t>C</w:t>
            </w:r>
          </w:p>
        </w:tc>
        <w:tc>
          <w:tcPr>
            <w:tcW w:w="2244" w:type="dxa"/>
            <w:tcBorders>
              <w:top w:val="single" w:sz="4" w:space="0" w:color="auto"/>
              <w:left w:val="single" w:sz="4" w:space="0" w:color="auto"/>
              <w:bottom w:val="single" w:sz="12" w:space="0" w:color="auto"/>
              <w:right w:val="single" w:sz="4" w:space="0" w:color="auto"/>
            </w:tcBorders>
            <w:vAlign w:val="center"/>
            <w:hideMark/>
          </w:tcPr>
          <w:p w14:paraId="7EBC1E39" w14:textId="77777777" w:rsidR="00F93913" w:rsidRPr="00F56765" w:rsidRDefault="00F93913" w:rsidP="00C9049E">
            <w:pPr>
              <w:suppressAutoHyphens w:val="0"/>
              <w:spacing w:after="120" w:line="240" w:lineRule="auto"/>
              <w:jc w:val="center"/>
              <w:rPr>
                <w:rFonts w:eastAsia="SimSun"/>
                <w:lang w:val="it-IT"/>
              </w:rPr>
            </w:pPr>
            <w:r w:rsidRPr="00F56765">
              <w:rPr>
                <w:rFonts w:eastAsia="SimSun"/>
                <w:lang w:val="it-IT"/>
              </w:rPr>
              <w:t>&gt; 22</w:t>
            </w:r>
          </w:p>
        </w:tc>
      </w:tr>
    </w:tbl>
    <w:p w14:paraId="5BCD759C" w14:textId="2414E70F" w:rsidR="006B1A47" w:rsidRDefault="006B1A47" w:rsidP="006B1A47">
      <w:pPr>
        <w:keepNext/>
        <w:keepLines/>
        <w:spacing w:before="120" w:after="120"/>
        <w:ind w:left="2268" w:right="1134" w:hanging="1134"/>
        <w:jc w:val="right"/>
        <w:rPr>
          <w:rFonts w:eastAsia="Malgun Gothic"/>
          <w:i/>
          <w:iCs/>
          <w:lang w:val="en-US"/>
        </w:rPr>
      </w:pPr>
      <w:r>
        <w:rPr>
          <w:rFonts w:eastAsia="Malgun Gothic"/>
          <w:i/>
          <w:iCs/>
          <w:lang w:val="en-US"/>
        </w:rPr>
        <w:t>“</w:t>
      </w:r>
    </w:p>
    <w:p w14:paraId="5C3BD5FD" w14:textId="7C239AD7" w:rsidR="00F93913" w:rsidRDefault="00F93913" w:rsidP="00F93913">
      <w:pPr>
        <w:keepNext/>
        <w:keepLines/>
        <w:spacing w:before="120" w:after="120"/>
        <w:ind w:left="2268" w:right="1134" w:hanging="1134"/>
        <w:jc w:val="both"/>
        <w:rPr>
          <w:rFonts w:eastAsia="Malgun Gothic"/>
          <w:lang w:val="en-US"/>
        </w:rPr>
      </w:pPr>
      <w:r w:rsidRPr="007F3E51">
        <w:rPr>
          <w:rFonts w:eastAsia="Malgun Gothic"/>
          <w:i/>
          <w:iCs/>
          <w:lang w:val="en-US"/>
        </w:rPr>
        <w:t xml:space="preserve">Paragraph </w:t>
      </w:r>
      <w:r>
        <w:rPr>
          <w:rFonts w:eastAsia="Malgun Gothic"/>
          <w:i/>
          <w:iCs/>
          <w:lang w:val="en-US"/>
        </w:rPr>
        <w:t>2</w:t>
      </w:r>
      <w:r w:rsidR="00AC148A">
        <w:rPr>
          <w:rFonts w:eastAsia="Malgun Gothic"/>
          <w:i/>
          <w:iCs/>
          <w:lang w:val="en-US"/>
        </w:rPr>
        <w:t>.</w:t>
      </w:r>
      <w:r w:rsidRPr="007F3E51">
        <w:rPr>
          <w:rFonts w:eastAsia="Malgun Gothic"/>
          <w:i/>
          <w:iCs/>
          <w:lang w:val="en-US"/>
        </w:rPr>
        <w:t>,</w:t>
      </w:r>
      <w:r>
        <w:rPr>
          <w:rFonts w:eastAsia="Malgun Gothic"/>
          <w:lang w:val="en-US"/>
        </w:rPr>
        <w:t xml:space="preserve"> amend to read:</w:t>
      </w:r>
    </w:p>
    <w:p w14:paraId="57E04D41" w14:textId="01252332" w:rsidR="00F93913" w:rsidRPr="00F56765" w:rsidRDefault="006B1A47" w:rsidP="00F93913">
      <w:pPr>
        <w:spacing w:before="120" w:after="120" w:line="240" w:lineRule="auto"/>
        <w:ind w:left="2268" w:right="1134" w:hanging="1134"/>
        <w:jc w:val="both"/>
        <w:rPr>
          <w:lang w:val="en-US"/>
        </w:rPr>
      </w:pPr>
      <w:r>
        <w:rPr>
          <w:lang w:val="en-US"/>
        </w:rPr>
        <w:t>“</w:t>
      </w:r>
      <w:r w:rsidR="00F93913" w:rsidRPr="00CB5461">
        <w:rPr>
          <w:lang w:val="en-US"/>
        </w:rPr>
        <w:t>2.</w:t>
      </w:r>
      <w:r w:rsidR="00F93913" w:rsidRPr="00CB5461">
        <w:rPr>
          <w:lang w:val="en-US"/>
        </w:rPr>
        <w:tab/>
      </w:r>
      <w:r w:rsidR="00F93913" w:rsidRPr="00F56765">
        <w:rPr>
          <w:lang w:val="en-US"/>
        </w:rPr>
        <w:t>Procedure for selection of the brake lining assembly representative of the group to be approved</w:t>
      </w:r>
    </w:p>
    <w:p w14:paraId="530090C0" w14:textId="77777777" w:rsidR="00F93913" w:rsidRPr="00F56765" w:rsidRDefault="00F93913" w:rsidP="00F93913">
      <w:pPr>
        <w:spacing w:after="120" w:line="240" w:lineRule="auto"/>
        <w:ind w:left="2268" w:right="1134" w:hanging="1134"/>
        <w:jc w:val="both"/>
        <w:rPr>
          <w:lang w:val="en-US"/>
        </w:rPr>
      </w:pPr>
      <w:r w:rsidRPr="00F56765">
        <w:rPr>
          <w:lang w:val="en-US"/>
        </w:rPr>
        <w:tab/>
        <w:t>The brake lining assembly to be approved is defined, according to the following criteria:</w:t>
      </w:r>
    </w:p>
    <w:p w14:paraId="57BE034B" w14:textId="77777777" w:rsidR="00F93913" w:rsidRPr="00F56765" w:rsidRDefault="00F93913" w:rsidP="00F93913">
      <w:pPr>
        <w:spacing w:after="120" w:line="240" w:lineRule="auto"/>
        <w:ind w:left="2835" w:right="1134" w:hanging="567"/>
        <w:jc w:val="both"/>
        <w:rPr>
          <w:lang w:val="en-US"/>
        </w:rPr>
      </w:pPr>
      <w:r w:rsidRPr="00F56765">
        <w:rPr>
          <w:lang w:val="en-US"/>
        </w:rPr>
        <w:t>(a)</w:t>
      </w:r>
      <w:r w:rsidRPr="00F56765">
        <w:rPr>
          <w:lang w:val="en-US"/>
        </w:rPr>
        <w:tab/>
        <w:t>Choice of friction material to be approved;</w:t>
      </w:r>
    </w:p>
    <w:p w14:paraId="2F914384" w14:textId="77777777" w:rsidR="00F93913" w:rsidRPr="00F56765" w:rsidRDefault="00F93913" w:rsidP="00F93913">
      <w:pPr>
        <w:spacing w:after="120" w:line="240" w:lineRule="auto"/>
        <w:ind w:left="2835" w:right="1134" w:hanging="567"/>
        <w:jc w:val="both"/>
        <w:rPr>
          <w:lang w:val="en-US"/>
        </w:rPr>
      </w:pPr>
      <w:r w:rsidRPr="00F56765">
        <w:rPr>
          <w:lang w:val="en-US"/>
        </w:rPr>
        <w:t>(b)</w:t>
      </w:r>
      <w:r w:rsidRPr="00F56765">
        <w:rPr>
          <w:lang w:val="en-US"/>
        </w:rPr>
        <w:tab/>
        <w:t>Verification of the applications where the chosen friction material is applied;</w:t>
      </w:r>
    </w:p>
    <w:p w14:paraId="72D7EEAD" w14:textId="77777777" w:rsidR="00F93913" w:rsidRPr="00F56765" w:rsidRDefault="00F93913" w:rsidP="00F93913">
      <w:pPr>
        <w:spacing w:after="120" w:line="240" w:lineRule="auto"/>
        <w:ind w:left="2835" w:right="1134" w:hanging="567"/>
        <w:jc w:val="both"/>
        <w:rPr>
          <w:lang w:val="en-US"/>
        </w:rPr>
      </w:pPr>
      <w:r w:rsidRPr="00F56765">
        <w:rPr>
          <w:lang w:val="en-US"/>
        </w:rPr>
        <w:t>(c)</w:t>
      </w:r>
      <w:r w:rsidRPr="00F56765">
        <w:rPr>
          <w:lang w:val="en-US"/>
        </w:rPr>
        <w:tab/>
        <w:t>Definition of the area of the selected brake lining assemblies according to Table 1, and classification into groups A – B – C;</w:t>
      </w:r>
    </w:p>
    <w:p w14:paraId="60EC46E0" w14:textId="77777777" w:rsidR="00F93913" w:rsidRPr="00F56765" w:rsidRDefault="00F93913" w:rsidP="00F93913">
      <w:pPr>
        <w:spacing w:after="120" w:line="240" w:lineRule="auto"/>
        <w:ind w:left="2835" w:right="1134" w:hanging="567"/>
        <w:jc w:val="both"/>
        <w:rPr>
          <w:lang w:val="en-US"/>
        </w:rPr>
      </w:pPr>
      <w:r w:rsidRPr="00F56765">
        <w:rPr>
          <w:lang w:val="en-US"/>
        </w:rPr>
        <w:t>(d)</w:t>
      </w:r>
      <w:r w:rsidRPr="00F56765">
        <w:rPr>
          <w:lang w:val="en-US"/>
        </w:rPr>
        <w:tab/>
        <w:t>For each group, selection of the most severe application, according to the highest value of the index Ep (kinetic energy by brake lining area), as follows:</w:t>
      </w:r>
    </w:p>
    <w:p w14:paraId="6367EC18" w14:textId="77777777" w:rsidR="00F93913" w:rsidRPr="00F56765" w:rsidRDefault="00F93913" w:rsidP="00F93913">
      <w:pPr>
        <w:pStyle w:val="ListParagraph1"/>
        <w:spacing w:after="120"/>
        <w:ind w:left="1080" w:right="1134"/>
        <w:jc w:val="center"/>
        <w:rPr>
          <w:rFonts w:ascii="Times New Roman" w:hAnsi="Times New Roman"/>
          <w:color w:val="000000"/>
          <w:sz w:val="20"/>
        </w:rPr>
      </w:pPr>
      <w:r w:rsidRPr="00F56765">
        <w:rPr>
          <w:rFonts w:ascii="Times New Roman" w:hAnsi="Times New Roman"/>
          <w:sz w:val="20"/>
        </w:rPr>
        <w:t>E</w:t>
      </w:r>
      <w:r w:rsidRPr="00F56765">
        <w:rPr>
          <w:rFonts w:ascii="Times New Roman" w:hAnsi="Times New Roman"/>
          <w:sz w:val="20"/>
          <w:vertAlign w:val="subscript"/>
        </w:rPr>
        <w:t>p</w:t>
      </w:r>
      <w:r w:rsidRPr="00F56765">
        <w:rPr>
          <w:rFonts w:ascii="Times New Roman" w:hAnsi="Times New Roman"/>
          <w:sz w:val="20"/>
        </w:rPr>
        <w:t xml:space="preserve"> = ½*M*p*(V*c)</w:t>
      </w:r>
      <w:r w:rsidRPr="00F56765">
        <w:rPr>
          <w:rFonts w:ascii="Times New Roman" w:hAnsi="Times New Roman"/>
          <w:sz w:val="20"/>
          <w:vertAlign w:val="superscript"/>
        </w:rPr>
        <w:t>2</w:t>
      </w:r>
      <w:r w:rsidRPr="00F56765">
        <w:rPr>
          <w:rFonts w:ascii="Times New Roman" w:hAnsi="Times New Roman"/>
          <w:sz w:val="20"/>
        </w:rPr>
        <w:t xml:space="preserve"> / (S*</w:t>
      </w:r>
      <w:proofErr w:type="spellStart"/>
      <w:r w:rsidRPr="00F56765">
        <w:rPr>
          <w:rFonts w:ascii="Times New Roman" w:hAnsi="Times New Roman"/>
          <w:color w:val="000000"/>
          <w:sz w:val="20"/>
        </w:rPr>
        <w:t>q</w:t>
      </w:r>
      <w:r w:rsidRPr="00F56765">
        <w:rPr>
          <w:rFonts w:ascii="Times New Roman" w:hAnsi="Times New Roman"/>
          <w:color w:val="000000"/>
          <w:sz w:val="20"/>
          <w:vertAlign w:val="subscript"/>
        </w:rPr>
        <w:t>p</w:t>
      </w:r>
      <w:proofErr w:type="spellEnd"/>
      <w:r w:rsidRPr="00F56765">
        <w:rPr>
          <w:rFonts w:ascii="Times New Roman" w:hAnsi="Times New Roman"/>
          <w:color w:val="000000"/>
          <w:sz w:val="20"/>
        </w:rPr>
        <w:t>)</w:t>
      </w:r>
    </w:p>
    <w:p w14:paraId="24D94410" w14:textId="77777777" w:rsidR="00F93913" w:rsidRPr="00F56765" w:rsidRDefault="00F93913" w:rsidP="00F93913">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where:</w:t>
      </w:r>
    </w:p>
    <w:p w14:paraId="3E14F081" w14:textId="77777777" w:rsidR="00F93913" w:rsidRPr="00F56765" w:rsidRDefault="00F93913" w:rsidP="00F93913">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Ep = kinetic energy index [kJ/cm2]</w:t>
      </w:r>
    </w:p>
    <w:p w14:paraId="445B64C6" w14:textId="77777777" w:rsidR="00F93913" w:rsidRPr="00F56765" w:rsidRDefault="00F93913" w:rsidP="00F93913">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M = gross vehicle weight of the vehicle [kg]</w:t>
      </w:r>
    </w:p>
    <w:p w14:paraId="0135C697" w14:textId="77777777" w:rsidR="00F93913" w:rsidRPr="00F56765" w:rsidRDefault="00F93913" w:rsidP="00F93913">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p = allocation percentage of the vehicle weight:</w:t>
      </w:r>
    </w:p>
    <w:p w14:paraId="07104D59" w14:textId="77777777" w:rsidR="00F93913" w:rsidRPr="00F56765" w:rsidRDefault="00F93913" w:rsidP="00F93913">
      <w:pPr>
        <w:pStyle w:val="ListParagraph1"/>
        <w:spacing w:after="120" w:line="240" w:lineRule="auto"/>
        <w:ind w:left="2268" w:right="1134"/>
        <w:contextualSpacing w:val="0"/>
        <w:rPr>
          <w:rFonts w:ascii="Times New Roman" w:hAnsi="Times New Roman"/>
          <w:sz w:val="20"/>
        </w:rPr>
      </w:pPr>
      <w:r w:rsidRPr="00CB5461">
        <w:rPr>
          <w:rFonts w:ascii="Times New Roman" w:hAnsi="Times New Roman"/>
          <w:sz w:val="20"/>
          <w:szCs w:val="24"/>
        </w:rPr>
        <w:t>(a)</w:t>
      </w:r>
      <w:r w:rsidRPr="00CB5461">
        <w:rPr>
          <w:rFonts w:ascii="Times New Roman" w:hAnsi="Times New Roman"/>
          <w:sz w:val="20"/>
          <w:szCs w:val="24"/>
        </w:rPr>
        <w:tab/>
      </w:r>
      <w:r w:rsidRPr="00F56765">
        <w:rPr>
          <w:rFonts w:ascii="Times New Roman" w:hAnsi="Times New Roman"/>
          <w:sz w:val="20"/>
        </w:rPr>
        <w:t>for front braking system:</w:t>
      </w:r>
    </w:p>
    <w:p w14:paraId="1774158B" w14:textId="77777777" w:rsidR="00F93913" w:rsidRPr="00F56765" w:rsidRDefault="00F93913" w:rsidP="00F93913">
      <w:pPr>
        <w:pStyle w:val="ListParagraph1"/>
        <w:spacing w:after="120" w:line="240" w:lineRule="auto"/>
        <w:ind w:left="2268" w:right="1134"/>
        <w:contextualSpacing w:val="0"/>
        <w:rPr>
          <w:rFonts w:ascii="Times New Roman" w:hAnsi="Times New Roman"/>
          <w:sz w:val="20"/>
        </w:rPr>
      </w:pPr>
      <w:r>
        <w:rPr>
          <w:rFonts w:ascii="Times New Roman" w:hAnsi="Times New Roman"/>
          <w:sz w:val="20"/>
          <w:szCs w:val="24"/>
        </w:rPr>
        <w:tab/>
      </w:r>
      <w:r>
        <w:rPr>
          <w:rFonts w:ascii="Times New Roman" w:hAnsi="Times New Roman"/>
          <w:sz w:val="20"/>
          <w:szCs w:val="24"/>
        </w:rPr>
        <w:tab/>
        <w:t>(</w:t>
      </w:r>
      <w:proofErr w:type="spellStart"/>
      <w:r>
        <w:rPr>
          <w:rFonts w:ascii="Times New Roman" w:hAnsi="Times New Roman"/>
          <w:sz w:val="20"/>
          <w:szCs w:val="24"/>
        </w:rPr>
        <w:t>i</w:t>
      </w:r>
      <w:proofErr w:type="spellEnd"/>
      <w:r>
        <w:rPr>
          <w:rFonts w:ascii="Times New Roman" w:hAnsi="Times New Roman"/>
          <w:sz w:val="20"/>
          <w:szCs w:val="24"/>
        </w:rPr>
        <w:t>)</w:t>
      </w:r>
      <w:r w:rsidRPr="00F56765">
        <w:rPr>
          <w:rFonts w:ascii="Times New Roman" w:hAnsi="Times New Roman"/>
          <w:sz w:val="20"/>
        </w:rPr>
        <w:tab/>
        <w:t>75</w:t>
      </w:r>
      <w:r>
        <w:rPr>
          <w:rFonts w:ascii="Times New Roman" w:hAnsi="Times New Roman"/>
          <w:sz w:val="20"/>
          <w:szCs w:val="24"/>
        </w:rPr>
        <w:t xml:space="preserve"> per cent</w:t>
      </w:r>
      <w:r w:rsidRPr="00F56765">
        <w:rPr>
          <w:rFonts w:ascii="Times New Roman" w:hAnsi="Times New Roman"/>
          <w:sz w:val="20"/>
        </w:rPr>
        <w:t xml:space="preserve"> in case of 1 brake disc</w:t>
      </w:r>
    </w:p>
    <w:p w14:paraId="5B6B3C0A" w14:textId="77777777" w:rsidR="00F93913" w:rsidRPr="00F56765" w:rsidRDefault="00F93913" w:rsidP="00F93913">
      <w:pPr>
        <w:pStyle w:val="ListParagraph1"/>
        <w:spacing w:after="120" w:line="240" w:lineRule="auto"/>
        <w:ind w:left="2268" w:right="1134"/>
        <w:contextualSpacing w:val="0"/>
        <w:rPr>
          <w:rFonts w:ascii="Times New Roman" w:hAnsi="Times New Roman"/>
          <w:sz w:val="20"/>
        </w:rPr>
      </w:pPr>
      <w:r>
        <w:rPr>
          <w:rFonts w:ascii="Times New Roman" w:hAnsi="Times New Roman"/>
          <w:sz w:val="20"/>
          <w:szCs w:val="24"/>
        </w:rPr>
        <w:tab/>
      </w:r>
      <w:r>
        <w:rPr>
          <w:rFonts w:ascii="Times New Roman" w:hAnsi="Times New Roman"/>
          <w:sz w:val="20"/>
          <w:szCs w:val="24"/>
        </w:rPr>
        <w:tab/>
        <w:t>(ii)</w:t>
      </w:r>
      <w:r w:rsidRPr="00F56765">
        <w:rPr>
          <w:rFonts w:ascii="Times New Roman" w:hAnsi="Times New Roman"/>
          <w:sz w:val="20"/>
        </w:rPr>
        <w:tab/>
        <w:t>37.5</w:t>
      </w:r>
      <w:r>
        <w:rPr>
          <w:rFonts w:ascii="Times New Roman" w:hAnsi="Times New Roman"/>
          <w:sz w:val="20"/>
          <w:szCs w:val="24"/>
        </w:rPr>
        <w:t xml:space="preserve"> per cent</w:t>
      </w:r>
      <w:r w:rsidRPr="00F56765">
        <w:rPr>
          <w:rFonts w:ascii="Times New Roman" w:hAnsi="Times New Roman"/>
          <w:sz w:val="20"/>
        </w:rPr>
        <w:t xml:space="preserve"> in case of 2 brake discs</w:t>
      </w:r>
    </w:p>
    <w:p w14:paraId="3BEB3937" w14:textId="77777777" w:rsidR="00F93913" w:rsidRPr="00F56765" w:rsidRDefault="00F93913" w:rsidP="00F93913">
      <w:pPr>
        <w:pStyle w:val="ListParagraph1"/>
        <w:keepNext/>
        <w:keepLines/>
        <w:spacing w:after="120" w:line="240" w:lineRule="auto"/>
        <w:ind w:left="2268" w:right="1134"/>
        <w:contextualSpacing w:val="0"/>
        <w:rPr>
          <w:rFonts w:ascii="Times New Roman" w:hAnsi="Times New Roman"/>
          <w:sz w:val="20"/>
        </w:rPr>
      </w:pPr>
      <w:r w:rsidRPr="00CB5461">
        <w:rPr>
          <w:rFonts w:ascii="Times New Roman" w:hAnsi="Times New Roman"/>
          <w:sz w:val="20"/>
          <w:szCs w:val="24"/>
        </w:rPr>
        <w:t>(b)</w:t>
      </w:r>
      <w:r w:rsidRPr="00CB5461">
        <w:rPr>
          <w:rFonts w:ascii="Times New Roman" w:hAnsi="Times New Roman"/>
          <w:sz w:val="20"/>
          <w:szCs w:val="24"/>
        </w:rPr>
        <w:tab/>
      </w:r>
      <w:r w:rsidRPr="00F56765">
        <w:rPr>
          <w:rFonts w:ascii="Times New Roman" w:hAnsi="Times New Roman"/>
          <w:sz w:val="20"/>
        </w:rPr>
        <w:t>for rear braking system:</w:t>
      </w:r>
    </w:p>
    <w:p w14:paraId="49FED297" w14:textId="491C9B9C" w:rsidR="00F93913" w:rsidRPr="00F56765" w:rsidRDefault="00F93913" w:rsidP="00F93913">
      <w:pPr>
        <w:pStyle w:val="ListParagraph1"/>
        <w:keepNext/>
        <w:keepLines/>
        <w:spacing w:after="120" w:line="240" w:lineRule="auto"/>
        <w:ind w:left="2268" w:right="1134"/>
        <w:contextualSpacing w:val="0"/>
        <w:rPr>
          <w:rFonts w:ascii="Times New Roman" w:hAnsi="Times New Roman"/>
          <w:sz w:val="20"/>
        </w:rPr>
      </w:pPr>
      <w:r>
        <w:rPr>
          <w:rFonts w:ascii="Times New Roman" w:hAnsi="Times New Roman"/>
          <w:sz w:val="20"/>
          <w:szCs w:val="24"/>
        </w:rPr>
        <w:tab/>
      </w:r>
      <w:r>
        <w:rPr>
          <w:rFonts w:ascii="Times New Roman" w:hAnsi="Times New Roman"/>
          <w:sz w:val="20"/>
          <w:szCs w:val="24"/>
        </w:rPr>
        <w:tab/>
        <w:t>(</w:t>
      </w:r>
      <w:proofErr w:type="spellStart"/>
      <w:r>
        <w:rPr>
          <w:rFonts w:ascii="Times New Roman" w:hAnsi="Times New Roman"/>
          <w:sz w:val="20"/>
          <w:szCs w:val="24"/>
        </w:rPr>
        <w:t>i</w:t>
      </w:r>
      <w:proofErr w:type="spellEnd"/>
      <w:r>
        <w:rPr>
          <w:rFonts w:ascii="Times New Roman" w:hAnsi="Times New Roman"/>
          <w:sz w:val="20"/>
          <w:szCs w:val="24"/>
        </w:rPr>
        <w:t>)</w:t>
      </w:r>
      <w:r w:rsidRPr="00F56765">
        <w:rPr>
          <w:rFonts w:ascii="Times New Roman" w:hAnsi="Times New Roman"/>
          <w:sz w:val="20"/>
        </w:rPr>
        <w:tab/>
        <w:t>50</w:t>
      </w:r>
      <w:r w:rsidR="006B1A47">
        <w:rPr>
          <w:rFonts w:ascii="Times New Roman" w:hAnsi="Times New Roman"/>
          <w:sz w:val="20"/>
        </w:rPr>
        <w:t xml:space="preserve"> per cent</w:t>
      </w:r>
    </w:p>
    <w:p w14:paraId="4FE1BC01" w14:textId="77777777" w:rsidR="00F93913" w:rsidRPr="00F56765" w:rsidRDefault="00F93913" w:rsidP="00F93913">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V = vehicle maximum speed [m/s]</w:t>
      </w:r>
    </w:p>
    <w:p w14:paraId="21F64157" w14:textId="77777777" w:rsidR="00F93913" w:rsidRPr="00F56765" w:rsidRDefault="00F93913" w:rsidP="00F93913">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c = correction coefficient of speed:</w:t>
      </w:r>
    </w:p>
    <w:p w14:paraId="7F356B50" w14:textId="63E5E435" w:rsidR="00F93913" w:rsidRPr="00F56765" w:rsidRDefault="00F93913" w:rsidP="00F93913">
      <w:pPr>
        <w:pStyle w:val="ListParagraph1"/>
        <w:spacing w:after="120" w:line="240" w:lineRule="auto"/>
        <w:ind w:left="2268" w:right="1134"/>
        <w:contextualSpacing w:val="0"/>
        <w:rPr>
          <w:rFonts w:ascii="Times New Roman" w:hAnsi="Times New Roman"/>
          <w:sz w:val="20"/>
        </w:rPr>
      </w:pPr>
      <w:r>
        <w:rPr>
          <w:rFonts w:ascii="Times New Roman" w:hAnsi="Times New Roman"/>
          <w:sz w:val="20"/>
          <w:szCs w:val="24"/>
        </w:rPr>
        <w:t>(</w:t>
      </w:r>
      <w:r w:rsidR="00781E38">
        <w:rPr>
          <w:rFonts w:ascii="Times New Roman" w:hAnsi="Times New Roman"/>
          <w:sz w:val="20"/>
          <w:szCs w:val="24"/>
        </w:rPr>
        <w:t>a</w:t>
      </w:r>
      <w:r>
        <w:rPr>
          <w:rFonts w:ascii="Times New Roman" w:hAnsi="Times New Roman"/>
          <w:sz w:val="20"/>
          <w:szCs w:val="24"/>
        </w:rPr>
        <w:t>)</w:t>
      </w:r>
      <w:r w:rsidRPr="00CB5461">
        <w:rPr>
          <w:rFonts w:ascii="Times New Roman" w:hAnsi="Times New Roman"/>
          <w:sz w:val="20"/>
          <w:szCs w:val="24"/>
        </w:rPr>
        <w:tab/>
      </w:r>
      <w:r w:rsidRPr="00F56765">
        <w:rPr>
          <w:rFonts w:ascii="Times New Roman" w:hAnsi="Times New Roman"/>
          <w:sz w:val="20"/>
        </w:rPr>
        <w:t>for front braking system = 0.8</w:t>
      </w:r>
    </w:p>
    <w:p w14:paraId="3F62CB8E" w14:textId="50A1DEB4" w:rsidR="00F93913" w:rsidRPr="00F56765" w:rsidRDefault="00F93913" w:rsidP="00F93913">
      <w:pPr>
        <w:pStyle w:val="ListParagraph1"/>
        <w:spacing w:after="120" w:line="240" w:lineRule="auto"/>
        <w:ind w:left="2268" w:right="1134"/>
        <w:contextualSpacing w:val="0"/>
        <w:rPr>
          <w:rFonts w:ascii="Times New Roman" w:hAnsi="Times New Roman"/>
          <w:sz w:val="20"/>
        </w:rPr>
      </w:pPr>
      <w:r w:rsidRPr="00CB5461">
        <w:rPr>
          <w:rFonts w:ascii="Times New Roman" w:hAnsi="Times New Roman"/>
          <w:sz w:val="20"/>
          <w:szCs w:val="24"/>
        </w:rPr>
        <w:t>(</w:t>
      </w:r>
      <w:r w:rsidR="00781E38">
        <w:rPr>
          <w:rFonts w:ascii="Times New Roman" w:hAnsi="Times New Roman"/>
          <w:sz w:val="20"/>
          <w:szCs w:val="24"/>
        </w:rPr>
        <w:t>b</w:t>
      </w:r>
      <w:r w:rsidRPr="00CB5461">
        <w:rPr>
          <w:rFonts w:ascii="Times New Roman" w:hAnsi="Times New Roman"/>
          <w:sz w:val="20"/>
          <w:szCs w:val="24"/>
        </w:rPr>
        <w:t>)</w:t>
      </w:r>
      <w:r w:rsidRPr="00CB5461">
        <w:rPr>
          <w:rFonts w:ascii="Times New Roman" w:hAnsi="Times New Roman"/>
          <w:sz w:val="20"/>
          <w:szCs w:val="24"/>
        </w:rPr>
        <w:tab/>
      </w:r>
      <w:r w:rsidRPr="00F56765">
        <w:rPr>
          <w:rFonts w:ascii="Times New Roman" w:hAnsi="Times New Roman"/>
          <w:sz w:val="20"/>
        </w:rPr>
        <w:t>for rear braking system: variable according to the brake disc</w:t>
      </w:r>
      <w:r w:rsidRPr="0034712C">
        <w:rPr>
          <w:rFonts w:ascii="Times New Roman" w:hAnsi="Times New Roman"/>
          <w:b/>
          <w:bCs/>
          <w:sz w:val="20"/>
        </w:rPr>
        <w:t>, or drum,</w:t>
      </w:r>
      <w:r w:rsidRPr="00C330FB">
        <w:rPr>
          <w:rFonts w:ascii="Times New Roman" w:hAnsi="Times New Roman"/>
          <w:color w:val="FF00FF"/>
          <w:sz w:val="20"/>
        </w:rPr>
        <w:t xml:space="preserve"> </w:t>
      </w:r>
      <w:r w:rsidRPr="00F56765">
        <w:rPr>
          <w:rFonts w:ascii="Times New Roman" w:hAnsi="Times New Roman"/>
          <w:sz w:val="20"/>
        </w:rPr>
        <w:t>diameter:</w:t>
      </w:r>
    </w:p>
    <w:p w14:paraId="4C27EB37" w14:textId="77777777" w:rsidR="00F93913" w:rsidRPr="00C330FB" w:rsidRDefault="00F93913" w:rsidP="00F93913">
      <w:pPr>
        <w:pStyle w:val="ListParagraph1"/>
        <w:spacing w:after="120" w:line="240" w:lineRule="auto"/>
        <w:ind w:left="2835" w:right="1134"/>
        <w:contextualSpacing w:val="0"/>
        <w:rPr>
          <w:rFonts w:ascii="Times New Roman" w:hAnsi="Times New Roman"/>
          <w:sz w:val="20"/>
          <w:lang w:val="it-IT"/>
        </w:rPr>
      </w:pPr>
      <w:r w:rsidRPr="00CB5461">
        <w:rPr>
          <w:rFonts w:ascii="Times New Roman" w:hAnsi="Times New Roman"/>
          <w:sz w:val="20"/>
          <w:szCs w:val="24"/>
        </w:rPr>
        <w:tab/>
      </w:r>
      <w:r w:rsidRPr="00C330FB">
        <w:rPr>
          <w:rFonts w:ascii="Times New Roman" w:hAnsi="Times New Roman"/>
          <w:sz w:val="20"/>
          <w:szCs w:val="24"/>
          <w:lang w:val="it-IT"/>
        </w:rPr>
        <w:t>(i)</w:t>
      </w:r>
      <w:r w:rsidRPr="00C330FB">
        <w:rPr>
          <w:rFonts w:ascii="Times New Roman" w:hAnsi="Times New Roman"/>
          <w:sz w:val="20"/>
          <w:lang w:val="it-IT"/>
        </w:rPr>
        <w:tab/>
        <w:t>0.5</w:t>
      </w:r>
      <w:r w:rsidRPr="00C330FB">
        <w:rPr>
          <w:rFonts w:ascii="Times New Roman" w:hAnsi="Times New Roman"/>
          <w:sz w:val="20"/>
          <w:lang w:val="it-IT"/>
        </w:rPr>
        <w:tab/>
        <w:t xml:space="preserve">for Ø </w:t>
      </w:r>
      <w:r w:rsidRPr="00C330FB">
        <w:rPr>
          <w:rFonts w:ascii="Times New Roman" w:hAnsi="Times New Roman" w:hint="eastAsia"/>
          <w:sz w:val="20"/>
          <w:lang w:val="it-IT"/>
        </w:rPr>
        <w:t>≤</w:t>
      </w:r>
      <w:r w:rsidRPr="00C330FB">
        <w:rPr>
          <w:rFonts w:ascii="Times New Roman" w:hAnsi="Times New Roman"/>
          <w:sz w:val="20"/>
          <w:lang w:val="it-IT"/>
        </w:rPr>
        <w:t xml:space="preserve"> 245 [mm]</w:t>
      </w:r>
    </w:p>
    <w:p w14:paraId="327774A6" w14:textId="77777777" w:rsidR="00F93913" w:rsidRPr="00C330FB" w:rsidRDefault="00F93913" w:rsidP="00F93913">
      <w:pPr>
        <w:pStyle w:val="ListParagraph1"/>
        <w:spacing w:after="120" w:line="240" w:lineRule="auto"/>
        <w:ind w:left="2835" w:right="1134"/>
        <w:contextualSpacing w:val="0"/>
        <w:rPr>
          <w:rFonts w:ascii="Times New Roman" w:hAnsi="Times New Roman"/>
          <w:sz w:val="20"/>
          <w:lang w:val="it-IT"/>
        </w:rPr>
      </w:pPr>
      <w:r w:rsidRPr="00C330FB">
        <w:rPr>
          <w:rFonts w:ascii="Times New Roman" w:hAnsi="Times New Roman"/>
          <w:sz w:val="20"/>
          <w:szCs w:val="24"/>
          <w:lang w:val="it-IT"/>
        </w:rPr>
        <w:tab/>
        <w:t>(ii)</w:t>
      </w:r>
      <w:r w:rsidRPr="00C330FB">
        <w:rPr>
          <w:rFonts w:ascii="Times New Roman" w:hAnsi="Times New Roman"/>
          <w:sz w:val="20"/>
          <w:lang w:val="it-IT"/>
        </w:rPr>
        <w:tab/>
        <w:t>0.6</w:t>
      </w:r>
      <w:r w:rsidRPr="00C330FB">
        <w:rPr>
          <w:rFonts w:ascii="Times New Roman" w:hAnsi="Times New Roman"/>
          <w:sz w:val="20"/>
          <w:lang w:val="it-IT"/>
        </w:rPr>
        <w:tab/>
        <w:t>per Ø &gt; 245 &lt; 280 [mm]</w:t>
      </w:r>
    </w:p>
    <w:p w14:paraId="2BC2CBB7" w14:textId="77777777" w:rsidR="00F93913" w:rsidRPr="00F56765" w:rsidRDefault="00F93913" w:rsidP="00F93913">
      <w:pPr>
        <w:pStyle w:val="ListParagraph1"/>
        <w:spacing w:after="120" w:line="240" w:lineRule="auto"/>
        <w:ind w:left="2835" w:right="1134"/>
        <w:contextualSpacing w:val="0"/>
        <w:rPr>
          <w:rFonts w:ascii="Times New Roman" w:hAnsi="Times New Roman"/>
          <w:sz w:val="20"/>
        </w:rPr>
      </w:pPr>
      <w:r w:rsidRPr="00C330FB">
        <w:rPr>
          <w:rFonts w:ascii="Times New Roman" w:hAnsi="Times New Roman"/>
          <w:sz w:val="20"/>
          <w:szCs w:val="24"/>
          <w:lang w:val="it-IT"/>
        </w:rPr>
        <w:tab/>
      </w:r>
      <w:r>
        <w:rPr>
          <w:rFonts w:ascii="Times New Roman" w:hAnsi="Times New Roman"/>
          <w:sz w:val="20"/>
          <w:szCs w:val="24"/>
        </w:rPr>
        <w:t>(iii)</w:t>
      </w:r>
      <w:r w:rsidRPr="00F56765">
        <w:rPr>
          <w:rFonts w:ascii="Times New Roman" w:hAnsi="Times New Roman"/>
          <w:sz w:val="20"/>
        </w:rPr>
        <w:tab/>
        <w:t>0.75</w:t>
      </w:r>
      <w:r w:rsidRPr="00F56765">
        <w:rPr>
          <w:rFonts w:ascii="Times New Roman" w:hAnsi="Times New Roman"/>
          <w:sz w:val="20"/>
        </w:rPr>
        <w:tab/>
        <w:t xml:space="preserve">per Ø </w:t>
      </w:r>
      <w:r w:rsidRPr="00F56765">
        <w:rPr>
          <w:rFonts w:ascii="Times New Roman" w:hAnsi="Times New Roman" w:hint="eastAsia"/>
          <w:sz w:val="20"/>
        </w:rPr>
        <w:t>≥</w:t>
      </w:r>
      <w:r w:rsidRPr="00F56765">
        <w:rPr>
          <w:rFonts w:ascii="Times New Roman" w:hAnsi="Times New Roman"/>
          <w:sz w:val="20"/>
        </w:rPr>
        <w:t xml:space="preserve"> 280 [mm]</w:t>
      </w:r>
    </w:p>
    <w:p w14:paraId="6B0DE2ED" w14:textId="77777777" w:rsidR="00F93913" w:rsidRPr="00F56765" w:rsidRDefault="00F93913" w:rsidP="00F93913">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S = brake lining area as defined in Table 1 [cm</w:t>
      </w:r>
      <w:r w:rsidRPr="00F56765">
        <w:rPr>
          <w:rFonts w:ascii="Times New Roman" w:hAnsi="Times New Roman"/>
          <w:sz w:val="20"/>
          <w:vertAlign w:val="superscript"/>
        </w:rPr>
        <w:t>2</w:t>
      </w:r>
      <w:r w:rsidRPr="00F56765">
        <w:rPr>
          <w:rFonts w:ascii="Times New Roman" w:hAnsi="Times New Roman"/>
          <w:sz w:val="20"/>
        </w:rPr>
        <w:t>].</w:t>
      </w:r>
    </w:p>
    <w:p w14:paraId="02AD8B62" w14:textId="750093E4" w:rsidR="007F3E51" w:rsidRPr="001407DC" w:rsidRDefault="00F93913" w:rsidP="001407DC">
      <w:pPr>
        <w:pStyle w:val="ListParagraph1"/>
        <w:spacing w:after="120" w:line="240" w:lineRule="auto"/>
        <w:ind w:left="2268" w:right="1134"/>
        <w:contextualSpacing w:val="0"/>
        <w:rPr>
          <w:rFonts w:ascii="Times New Roman" w:hAnsi="Times New Roman"/>
          <w:color w:val="FF00FF"/>
          <w:sz w:val="20"/>
        </w:rPr>
      </w:pPr>
      <w:proofErr w:type="spellStart"/>
      <w:r>
        <w:rPr>
          <w:rFonts w:ascii="Times New Roman" w:hAnsi="Times New Roman"/>
          <w:sz w:val="20"/>
        </w:rPr>
        <w:t>q</w:t>
      </w:r>
      <w:r w:rsidRPr="00F56765">
        <w:rPr>
          <w:rFonts w:ascii="Times New Roman" w:hAnsi="Times New Roman"/>
          <w:sz w:val="20"/>
          <w:vertAlign w:val="subscript"/>
        </w:rPr>
        <w:t>p</w:t>
      </w:r>
      <w:proofErr w:type="spellEnd"/>
      <w:r w:rsidRPr="00F56765">
        <w:rPr>
          <w:rFonts w:ascii="Times New Roman" w:hAnsi="Times New Roman"/>
          <w:sz w:val="20"/>
        </w:rPr>
        <w:t xml:space="preserve"> = number of</w:t>
      </w:r>
      <w:r>
        <w:rPr>
          <w:rFonts w:ascii="Times New Roman" w:hAnsi="Times New Roman"/>
          <w:sz w:val="20"/>
        </w:rPr>
        <w:t xml:space="preserve"> </w:t>
      </w:r>
      <w:r w:rsidRPr="00F56765">
        <w:rPr>
          <w:rFonts w:ascii="Times New Roman" w:hAnsi="Times New Roman"/>
          <w:sz w:val="20"/>
        </w:rPr>
        <w:t>pads</w:t>
      </w:r>
      <w:r w:rsidRPr="001166D9">
        <w:rPr>
          <w:rFonts w:ascii="Times New Roman" w:hAnsi="Times New Roman"/>
          <w:sz w:val="20"/>
        </w:rPr>
        <w:t xml:space="preserve"> in 1 caliper </w:t>
      </w:r>
      <w:r w:rsidRPr="0034712C">
        <w:rPr>
          <w:rFonts w:ascii="Times New Roman" w:hAnsi="Times New Roman"/>
          <w:b/>
          <w:bCs/>
          <w:sz w:val="20"/>
        </w:rPr>
        <w:t>or number of active brake shoes of the relevant axle.</w:t>
      </w:r>
    </w:p>
    <w:p w14:paraId="3D391609" w14:textId="77777777" w:rsidR="003078A0" w:rsidRPr="006D0011" w:rsidRDefault="003078A0" w:rsidP="005E1406">
      <w:pPr>
        <w:pStyle w:val="HChG"/>
      </w:pPr>
      <w:r w:rsidRPr="001240A8">
        <w:rPr>
          <w:lang w:val="en-US"/>
        </w:rPr>
        <w:lastRenderedPageBreak/>
        <w:tab/>
      </w:r>
      <w:r w:rsidRPr="006D0011">
        <w:t>II.</w:t>
      </w:r>
      <w:r w:rsidRPr="006D0011">
        <w:tab/>
        <w:t>Justification</w:t>
      </w:r>
    </w:p>
    <w:p w14:paraId="6FAD2FC2" w14:textId="3B65C958" w:rsidR="001407DC" w:rsidRDefault="00D8183C" w:rsidP="001407DC">
      <w:pPr>
        <w:pStyle w:val="SingleTxtG"/>
        <w:rPr>
          <w:lang w:val="en-US"/>
        </w:rPr>
      </w:pPr>
      <w:r>
        <w:rPr>
          <w:rFonts w:asciiTheme="majorBidi" w:hAnsiTheme="majorBidi" w:cstheme="majorBidi"/>
          <w:lang w:val="sv-SE"/>
        </w:rPr>
        <w:tab/>
      </w:r>
      <w:r w:rsidR="001407DC">
        <w:rPr>
          <w:rFonts w:asciiTheme="majorBidi" w:hAnsiTheme="majorBidi" w:cstheme="majorBidi"/>
          <w:lang w:val="sv-SE"/>
        </w:rPr>
        <w:t>1.</w:t>
      </w:r>
      <w:r w:rsidR="001407DC">
        <w:rPr>
          <w:rFonts w:asciiTheme="majorBidi" w:hAnsiTheme="majorBidi" w:cstheme="majorBidi"/>
          <w:lang w:val="sv-SE"/>
        </w:rPr>
        <w:tab/>
      </w:r>
      <w:r w:rsidR="003B08BA">
        <w:rPr>
          <w:rFonts w:asciiTheme="majorBidi" w:hAnsiTheme="majorBidi" w:cstheme="majorBidi"/>
          <w:lang w:val="sv-SE"/>
        </w:rPr>
        <w:t xml:space="preserve">Information have been found to be missing </w:t>
      </w:r>
      <w:r w:rsidR="00974FDE">
        <w:rPr>
          <w:rFonts w:asciiTheme="majorBidi" w:hAnsiTheme="majorBidi" w:cstheme="majorBidi"/>
          <w:lang w:val="sv-SE"/>
        </w:rPr>
        <w:t xml:space="preserve">while implementing UN Regulation </w:t>
      </w:r>
      <w:r w:rsidR="00974FDE">
        <w:rPr>
          <w:rFonts w:asciiTheme="majorBidi" w:hAnsiTheme="majorBidi" w:cstheme="majorBidi"/>
          <w:lang w:val="sv-SE"/>
        </w:rPr>
        <w:br/>
        <w:t>No. 90</w:t>
      </w:r>
      <w:r w:rsidR="001407DC">
        <w:rPr>
          <w:lang w:val="en-US"/>
        </w:rPr>
        <w:t xml:space="preserve">. </w:t>
      </w:r>
    </w:p>
    <w:p w14:paraId="51E28BE3" w14:textId="534BFD06" w:rsidR="001407DC" w:rsidRDefault="001407DC" w:rsidP="001407DC">
      <w:pPr>
        <w:pStyle w:val="SingleTxtG"/>
        <w:rPr>
          <w:lang w:val="en-US"/>
        </w:rPr>
      </w:pPr>
      <w:r>
        <w:rPr>
          <w:lang w:val="en-US"/>
        </w:rPr>
        <w:t>2.</w:t>
      </w:r>
      <w:r>
        <w:rPr>
          <w:lang w:val="en-US"/>
        </w:rPr>
        <w:tab/>
      </w:r>
      <w:r w:rsidR="009B171E">
        <w:rPr>
          <w:lang w:val="en-US"/>
        </w:rPr>
        <w:t>D</w:t>
      </w:r>
      <w:r>
        <w:rPr>
          <w:lang w:val="en-US"/>
        </w:rPr>
        <w:t xml:space="preserve">espite </w:t>
      </w:r>
      <w:r w:rsidR="009B171E">
        <w:rPr>
          <w:lang w:val="en-US"/>
        </w:rPr>
        <w:t xml:space="preserve">of </w:t>
      </w:r>
      <w:r w:rsidR="00974FDE">
        <w:rPr>
          <w:lang w:val="en-US"/>
        </w:rPr>
        <w:t>its</w:t>
      </w:r>
      <w:r>
        <w:rPr>
          <w:lang w:val="en-US"/>
        </w:rPr>
        <w:t xml:space="preserve"> purpose</w:t>
      </w:r>
      <w:r w:rsidR="00974FDE">
        <w:rPr>
          <w:lang w:val="en-US"/>
        </w:rPr>
        <w:t xml:space="preserve">, which </w:t>
      </w:r>
      <w:r>
        <w:rPr>
          <w:lang w:val="en-US"/>
        </w:rPr>
        <w:t xml:space="preserve">is to specify the grouping criteria of the brake lining assemblies for vehicles of </w:t>
      </w:r>
      <w:r w:rsidR="009B171E">
        <w:rPr>
          <w:lang w:val="en-US"/>
        </w:rPr>
        <w:t>C</w:t>
      </w:r>
      <w:r>
        <w:rPr>
          <w:lang w:val="en-US"/>
        </w:rPr>
        <w:t xml:space="preserve">ategory L, </w:t>
      </w:r>
      <w:r w:rsidR="00974FDE">
        <w:rPr>
          <w:lang w:val="en-US"/>
        </w:rPr>
        <w:t>Annex 7a</w:t>
      </w:r>
      <w:r>
        <w:rPr>
          <w:lang w:val="en-US"/>
        </w:rPr>
        <w:t xml:space="preserve"> does not provide explicit directions for the grouping of brake shoes. </w:t>
      </w:r>
    </w:p>
    <w:p w14:paraId="3379C983" w14:textId="455ABA5C" w:rsidR="001407DC" w:rsidRDefault="00057050" w:rsidP="001407DC">
      <w:pPr>
        <w:pStyle w:val="SingleTxtG"/>
        <w:rPr>
          <w:lang w:val="en-US"/>
        </w:rPr>
      </w:pPr>
      <w:r>
        <w:rPr>
          <w:lang w:val="en-US"/>
        </w:rPr>
        <w:t>3.</w:t>
      </w:r>
      <w:r>
        <w:rPr>
          <w:lang w:val="en-US"/>
        </w:rPr>
        <w:tab/>
      </w:r>
      <w:r w:rsidR="001407DC">
        <w:rPr>
          <w:lang w:val="en-US"/>
        </w:rPr>
        <w:t>Par</w:t>
      </w:r>
      <w:r>
        <w:rPr>
          <w:lang w:val="en-US"/>
        </w:rPr>
        <w:t xml:space="preserve">agraph </w:t>
      </w:r>
      <w:r w:rsidR="001407DC">
        <w:rPr>
          <w:lang w:val="en-US"/>
        </w:rPr>
        <w:t>2.2.3</w:t>
      </w:r>
      <w:r w:rsidR="00E22F1E">
        <w:rPr>
          <w:lang w:val="en-US"/>
        </w:rPr>
        <w:t>.</w:t>
      </w:r>
      <w:r w:rsidR="001407DC">
        <w:rPr>
          <w:lang w:val="en-US"/>
        </w:rPr>
        <w:t xml:space="preserve"> defines </w:t>
      </w:r>
      <w:r w:rsidR="001407DC" w:rsidRPr="000B241B">
        <w:rPr>
          <w:i/>
          <w:iCs/>
          <w:lang w:val="en-US"/>
        </w:rPr>
        <w:t>"Brake lining assembly"</w:t>
      </w:r>
      <w:r w:rsidR="001407DC" w:rsidRPr="000B241B">
        <w:rPr>
          <w:lang w:val="en-US"/>
        </w:rPr>
        <w:t xml:space="preserve"> </w:t>
      </w:r>
      <w:r w:rsidR="001407DC">
        <w:rPr>
          <w:lang w:val="en-US"/>
        </w:rPr>
        <w:t>as</w:t>
      </w:r>
      <w:r w:rsidR="001407DC" w:rsidRPr="000B241B">
        <w:rPr>
          <w:lang w:val="en-US"/>
        </w:rPr>
        <w:t xml:space="preserve"> a component of a friction brake which is pressed against a drum or disc, respectively, to produce the friction force</w:t>
      </w:r>
      <w:r w:rsidR="001407DC">
        <w:rPr>
          <w:lang w:val="en-US"/>
        </w:rPr>
        <w:t xml:space="preserve"> and a “</w:t>
      </w:r>
      <w:r w:rsidR="001407DC" w:rsidRPr="000B241B">
        <w:rPr>
          <w:i/>
          <w:iCs/>
          <w:lang w:val="en-US"/>
        </w:rPr>
        <w:t>brake shoes assembly”</w:t>
      </w:r>
      <w:r w:rsidR="001407DC">
        <w:rPr>
          <w:lang w:val="en-US"/>
        </w:rPr>
        <w:t xml:space="preserve"> as a type of brake lining assembly. Therefore, it is necessary to provide clear instructions about grouping criteria for brake shoes (as already done for brake pads) to allow brake shoes manufacturers to proceed with the homologation accordingly to this </w:t>
      </w:r>
      <w:r w:rsidR="00781170">
        <w:rPr>
          <w:lang w:val="en-US"/>
        </w:rPr>
        <w:t>R</w:t>
      </w:r>
      <w:r w:rsidR="001407DC">
        <w:rPr>
          <w:lang w:val="en-US"/>
        </w:rPr>
        <w:t xml:space="preserve">egulation. </w:t>
      </w:r>
    </w:p>
    <w:p w14:paraId="74BF5CEC" w14:textId="6AAC3F19" w:rsidR="00D8183C" w:rsidRPr="00F554DE" w:rsidRDefault="00057050" w:rsidP="00F554DE">
      <w:pPr>
        <w:pStyle w:val="SingleTxtG"/>
        <w:rPr>
          <w:lang w:val="en-US"/>
        </w:rPr>
      </w:pPr>
      <w:r>
        <w:rPr>
          <w:lang w:val="en-US"/>
        </w:rPr>
        <w:t>4.</w:t>
      </w:r>
      <w:r>
        <w:rPr>
          <w:lang w:val="en-US"/>
        </w:rPr>
        <w:tab/>
      </w:r>
      <w:r w:rsidR="001407DC">
        <w:rPr>
          <w:lang w:val="en-US"/>
        </w:rPr>
        <w:t xml:space="preserve">This proposal is intended to </w:t>
      </w:r>
      <w:r w:rsidR="00F554DE">
        <w:rPr>
          <w:lang w:val="en-US"/>
        </w:rPr>
        <w:t>clarify</w:t>
      </w:r>
      <w:r w:rsidR="001407DC">
        <w:rPr>
          <w:lang w:val="en-US"/>
        </w:rPr>
        <w:t xml:space="preserve"> the regulation and its scope. It does not modify in any </w:t>
      </w:r>
      <w:r w:rsidR="00F554DE">
        <w:rPr>
          <w:lang w:val="en-US"/>
        </w:rPr>
        <w:t>way</w:t>
      </w:r>
      <w:r w:rsidR="001407DC">
        <w:rPr>
          <w:lang w:val="en-US"/>
        </w:rPr>
        <w:t xml:space="preserve"> its technical content.</w:t>
      </w:r>
    </w:p>
    <w:p w14:paraId="420680E9" w14:textId="77777777"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8A753" w14:textId="77777777" w:rsidR="002D1DFF" w:rsidRDefault="002D1DFF"/>
  </w:endnote>
  <w:endnote w:type="continuationSeparator" w:id="0">
    <w:p w14:paraId="5E27A73F" w14:textId="77777777" w:rsidR="002D1DFF" w:rsidRDefault="002D1DFF"/>
  </w:endnote>
  <w:endnote w:type="continuationNotice" w:id="1">
    <w:p w14:paraId="1208DFF0" w14:textId="77777777" w:rsidR="002D1DFF" w:rsidRDefault="002D1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5800" w14:textId="74A65617" w:rsidR="00C02CAF" w:rsidRDefault="00C02CAF" w:rsidP="00C02CAF">
    <w:pPr>
      <w:pStyle w:val="Footer"/>
    </w:pPr>
    <w:r w:rsidRPr="0027112F">
      <w:rPr>
        <w:noProof/>
        <w:lang w:val="en-US"/>
      </w:rPr>
      <w:drawing>
        <wp:anchor distT="0" distB="0" distL="114300" distR="114300" simplePos="0" relativeHeight="251659264" behindDoc="0" locked="1" layoutInCell="1" allowOverlap="1" wp14:anchorId="2756EE2C" wp14:editId="4CFBD85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C41B92D" w14:textId="5D00BBF7" w:rsidR="00C02CAF" w:rsidRPr="00C02CAF" w:rsidRDefault="00C02CAF" w:rsidP="00C02CAF">
    <w:pPr>
      <w:pStyle w:val="Footer"/>
      <w:ind w:right="1134"/>
      <w:rPr>
        <w:sz w:val="20"/>
      </w:rPr>
    </w:pPr>
    <w:r>
      <w:rPr>
        <w:sz w:val="20"/>
      </w:rPr>
      <w:t>GE.21-09630(E)</w:t>
    </w:r>
    <w:r>
      <w:rPr>
        <w:noProof/>
        <w:sz w:val="20"/>
      </w:rPr>
      <w:drawing>
        <wp:anchor distT="0" distB="0" distL="114300" distR="114300" simplePos="0" relativeHeight="251660288" behindDoc="0" locked="0" layoutInCell="1" allowOverlap="1" wp14:anchorId="6957E947" wp14:editId="13A49C11">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18071" w14:textId="77777777" w:rsidR="002D1DFF" w:rsidRPr="000B175B" w:rsidRDefault="002D1DFF" w:rsidP="000B175B">
      <w:pPr>
        <w:tabs>
          <w:tab w:val="right" w:pos="2155"/>
        </w:tabs>
        <w:spacing w:after="80"/>
        <w:ind w:left="680"/>
        <w:rPr>
          <w:u w:val="single"/>
        </w:rPr>
      </w:pPr>
      <w:r>
        <w:rPr>
          <w:u w:val="single"/>
        </w:rPr>
        <w:tab/>
      </w:r>
    </w:p>
  </w:footnote>
  <w:footnote w:type="continuationSeparator" w:id="0">
    <w:p w14:paraId="57567792" w14:textId="77777777" w:rsidR="002D1DFF" w:rsidRPr="00FC68B7" w:rsidRDefault="002D1DFF" w:rsidP="00FC68B7">
      <w:pPr>
        <w:tabs>
          <w:tab w:val="left" w:pos="2155"/>
        </w:tabs>
        <w:spacing w:after="80"/>
        <w:ind w:left="680"/>
        <w:rPr>
          <w:u w:val="single"/>
        </w:rPr>
      </w:pPr>
      <w:r>
        <w:rPr>
          <w:u w:val="single"/>
        </w:rPr>
        <w:tab/>
      </w:r>
    </w:p>
  </w:footnote>
  <w:footnote w:type="continuationNotice" w:id="1">
    <w:p w14:paraId="4EED4F82" w14:textId="77777777" w:rsidR="002D1DFF" w:rsidRDefault="002D1DFF"/>
  </w:footnote>
  <w:footnote w:id="2">
    <w:p w14:paraId="08CE98C1" w14:textId="48A97A72" w:rsidR="00EA475E" w:rsidRPr="00EA475E" w:rsidRDefault="0052477C">
      <w:pPr>
        <w:pStyle w:val="FootnoteText"/>
      </w:pPr>
      <w:r>
        <w:rPr>
          <w:rStyle w:val="FootnoteReference"/>
        </w:rPr>
        <w:tab/>
      </w:r>
      <w:r w:rsidRPr="00EA475E">
        <w:rPr>
          <w:rStyle w:val="FootnoteReference"/>
          <w:sz w:val="20"/>
          <w:vertAlign w:val="baseline"/>
        </w:rPr>
        <w:t>*</w:t>
      </w:r>
      <w:r>
        <w:tab/>
      </w:r>
      <w:r w:rsidRPr="006F7487">
        <w:rPr>
          <w:szCs w:val="18"/>
          <w:lang w:val="en-US"/>
        </w:rPr>
        <w:t xml:space="preserve">In accordance with the </w:t>
      </w:r>
      <w:proofErr w:type="spellStart"/>
      <w:r w:rsidRPr="006F7487">
        <w:rPr>
          <w:szCs w:val="18"/>
          <w:lang w:val="en-US"/>
        </w:rPr>
        <w:t>programme</w:t>
      </w:r>
      <w:proofErr w:type="spellEnd"/>
      <w:r w:rsidRPr="006F7487">
        <w:rPr>
          <w:szCs w:val="18"/>
          <w:lang w:val="en-US"/>
        </w:rPr>
        <w:t xml:space="preserve"> of work of the Inland Transport Committee for 2021 as outlined in proposed </w:t>
      </w:r>
      <w:proofErr w:type="spellStart"/>
      <w:r w:rsidRPr="006F7487">
        <w:rPr>
          <w:szCs w:val="18"/>
          <w:lang w:val="en-US"/>
        </w:rPr>
        <w:t>programme</w:t>
      </w:r>
      <w:proofErr w:type="spellEnd"/>
      <w:r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F558" w14:textId="64D94A3C"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D111D5">
      <w:t>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1FC7" w14:textId="4E7967BC" w:rsidR="00C14B9E" w:rsidRPr="00844BB6" w:rsidRDefault="00C14B9E" w:rsidP="00844BB6">
    <w:pPr>
      <w:pStyle w:val="Header"/>
      <w:jc w:val="right"/>
    </w:pPr>
    <w:r>
      <w:t>ECE/TRANS/WP.29/GR</w:t>
    </w:r>
    <w:r w:rsidR="001821A8">
      <w:t>VA</w:t>
    </w:r>
    <w:r>
      <w:t>/20</w:t>
    </w:r>
    <w:r w:rsidR="00503150">
      <w:t>2</w:t>
    </w:r>
    <w:r w:rsidR="005556CB">
      <w:t>1</w:t>
    </w:r>
    <w:r w:rsidR="001821A8">
      <w:t>/</w:t>
    </w:r>
    <w:r w:rsidR="002B0D00">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35B92"/>
    <w:rsid w:val="00037649"/>
    <w:rsid w:val="0004548E"/>
    <w:rsid w:val="00046B1F"/>
    <w:rsid w:val="00047DEE"/>
    <w:rsid w:val="00050374"/>
    <w:rsid w:val="00050724"/>
    <w:rsid w:val="00050F6B"/>
    <w:rsid w:val="00052635"/>
    <w:rsid w:val="00057050"/>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17BC9"/>
    <w:rsid w:val="00121DC8"/>
    <w:rsid w:val="001242E7"/>
    <w:rsid w:val="001268BF"/>
    <w:rsid w:val="001326B0"/>
    <w:rsid w:val="00135769"/>
    <w:rsid w:val="001407DC"/>
    <w:rsid w:val="00141447"/>
    <w:rsid w:val="00144EA3"/>
    <w:rsid w:val="00152F62"/>
    <w:rsid w:val="00153D6B"/>
    <w:rsid w:val="00155860"/>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4109"/>
    <w:rsid w:val="002941EE"/>
    <w:rsid w:val="002A07AE"/>
    <w:rsid w:val="002A6F8E"/>
    <w:rsid w:val="002B0D00"/>
    <w:rsid w:val="002B13FB"/>
    <w:rsid w:val="002B2288"/>
    <w:rsid w:val="002B2D35"/>
    <w:rsid w:val="002B6A6D"/>
    <w:rsid w:val="002C446B"/>
    <w:rsid w:val="002D1DFF"/>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E47"/>
    <w:rsid w:val="00397432"/>
    <w:rsid w:val="003A547D"/>
    <w:rsid w:val="003A5F76"/>
    <w:rsid w:val="003A6810"/>
    <w:rsid w:val="003B08BA"/>
    <w:rsid w:val="003B1A66"/>
    <w:rsid w:val="003B313F"/>
    <w:rsid w:val="003C132F"/>
    <w:rsid w:val="003C2CC4"/>
    <w:rsid w:val="003C3E06"/>
    <w:rsid w:val="003C4887"/>
    <w:rsid w:val="003C5060"/>
    <w:rsid w:val="003C534D"/>
    <w:rsid w:val="003C54BB"/>
    <w:rsid w:val="003D13F2"/>
    <w:rsid w:val="003D188B"/>
    <w:rsid w:val="003D4B23"/>
    <w:rsid w:val="003E130E"/>
    <w:rsid w:val="003E350C"/>
    <w:rsid w:val="003E49AA"/>
    <w:rsid w:val="003E4CC6"/>
    <w:rsid w:val="003E7CFA"/>
    <w:rsid w:val="003F09D3"/>
    <w:rsid w:val="003F09FB"/>
    <w:rsid w:val="003F0C22"/>
    <w:rsid w:val="003F1D39"/>
    <w:rsid w:val="003F5B8E"/>
    <w:rsid w:val="004000C3"/>
    <w:rsid w:val="00410C89"/>
    <w:rsid w:val="0041174E"/>
    <w:rsid w:val="00417281"/>
    <w:rsid w:val="00421E4F"/>
    <w:rsid w:val="00422E03"/>
    <w:rsid w:val="00423620"/>
    <w:rsid w:val="0042491E"/>
    <w:rsid w:val="004256DD"/>
    <w:rsid w:val="00426B9B"/>
    <w:rsid w:val="00427A7A"/>
    <w:rsid w:val="00430358"/>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A7100"/>
    <w:rsid w:val="004C2461"/>
    <w:rsid w:val="004C4906"/>
    <w:rsid w:val="004C4CB4"/>
    <w:rsid w:val="004C4E98"/>
    <w:rsid w:val="004C7462"/>
    <w:rsid w:val="004D62C2"/>
    <w:rsid w:val="004E71CD"/>
    <w:rsid w:val="004E77B2"/>
    <w:rsid w:val="004F331E"/>
    <w:rsid w:val="004F511F"/>
    <w:rsid w:val="00503150"/>
    <w:rsid w:val="0050325F"/>
    <w:rsid w:val="005036DB"/>
    <w:rsid w:val="00504B2D"/>
    <w:rsid w:val="00515C2C"/>
    <w:rsid w:val="0052136D"/>
    <w:rsid w:val="0052477C"/>
    <w:rsid w:val="0052565E"/>
    <w:rsid w:val="005265F3"/>
    <w:rsid w:val="005268DD"/>
    <w:rsid w:val="00526F73"/>
    <w:rsid w:val="0052775E"/>
    <w:rsid w:val="00530CE1"/>
    <w:rsid w:val="0053571D"/>
    <w:rsid w:val="005420F2"/>
    <w:rsid w:val="005463C5"/>
    <w:rsid w:val="00553A49"/>
    <w:rsid w:val="005556CB"/>
    <w:rsid w:val="0056209A"/>
    <w:rsid w:val="00562286"/>
    <w:rsid w:val="005628B6"/>
    <w:rsid w:val="00563012"/>
    <w:rsid w:val="00571D37"/>
    <w:rsid w:val="00573ADF"/>
    <w:rsid w:val="005768FE"/>
    <w:rsid w:val="00590FBF"/>
    <w:rsid w:val="005941EC"/>
    <w:rsid w:val="0059724D"/>
    <w:rsid w:val="00597421"/>
    <w:rsid w:val="005A1C80"/>
    <w:rsid w:val="005A6C50"/>
    <w:rsid w:val="005B13ED"/>
    <w:rsid w:val="005B143A"/>
    <w:rsid w:val="005B17DC"/>
    <w:rsid w:val="005B320C"/>
    <w:rsid w:val="005B3DB3"/>
    <w:rsid w:val="005B4E13"/>
    <w:rsid w:val="005B7AC9"/>
    <w:rsid w:val="005B7C50"/>
    <w:rsid w:val="005C342F"/>
    <w:rsid w:val="005C6FD1"/>
    <w:rsid w:val="005C7D1E"/>
    <w:rsid w:val="005D56EB"/>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31872"/>
    <w:rsid w:val="00640B26"/>
    <w:rsid w:val="006412EB"/>
    <w:rsid w:val="00652D0A"/>
    <w:rsid w:val="0065770E"/>
    <w:rsid w:val="00662BB6"/>
    <w:rsid w:val="00666436"/>
    <w:rsid w:val="00671B51"/>
    <w:rsid w:val="0067362F"/>
    <w:rsid w:val="00676606"/>
    <w:rsid w:val="006823C3"/>
    <w:rsid w:val="00684C21"/>
    <w:rsid w:val="006A2530"/>
    <w:rsid w:val="006B1A47"/>
    <w:rsid w:val="006B5286"/>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079A0"/>
    <w:rsid w:val="007102B4"/>
    <w:rsid w:val="007174B8"/>
    <w:rsid w:val="007246B0"/>
    <w:rsid w:val="0072632A"/>
    <w:rsid w:val="007327D5"/>
    <w:rsid w:val="00737B66"/>
    <w:rsid w:val="00740A9A"/>
    <w:rsid w:val="007427D9"/>
    <w:rsid w:val="00742935"/>
    <w:rsid w:val="007436BD"/>
    <w:rsid w:val="007442EF"/>
    <w:rsid w:val="00747E46"/>
    <w:rsid w:val="00752D13"/>
    <w:rsid w:val="00752E99"/>
    <w:rsid w:val="0075321C"/>
    <w:rsid w:val="007625AE"/>
    <w:rsid w:val="007629C8"/>
    <w:rsid w:val="0076402E"/>
    <w:rsid w:val="0077047D"/>
    <w:rsid w:val="00772B02"/>
    <w:rsid w:val="00773190"/>
    <w:rsid w:val="007763E4"/>
    <w:rsid w:val="00781170"/>
    <w:rsid w:val="00781E38"/>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24AF"/>
    <w:rsid w:val="007D6741"/>
    <w:rsid w:val="007E01E9"/>
    <w:rsid w:val="007E1088"/>
    <w:rsid w:val="007E2401"/>
    <w:rsid w:val="007E4A9D"/>
    <w:rsid w:val="007E61DF"/>
    <w:rsid w:val="007E63F3"/>
    <w:rsid w:val="007F2313"/>
    <w:rsid w:val="007F3E51"/>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3D05"/>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C2DA4"/>
    <w:rsid w:val="008D2A0A"/>
    <w:rsid w:val="008E0678"/>
    <w:rsid w:val="008E15D4"/>
    <w:rsid w:val="008F0BD7"/>
    <w:rsid w:val="008F31D2"/>
    <w:rsid w:val="008F3FEC"/>
    <w:rsid w:val="008F487E"/>
    <w:rsid w:val="008F6074"/>
    <w:rsid w:val="00900DFA"/>
    <w:rsid w:val="00900E23"/>
    <w:rsid w:val="00905287"/>
    <w:rsid w:val="00906436"/>
    <w:rsid w:val="00913D72"/>
    <w:rsid w:val="009143FA"/>
    <w:rsid w:val="00914487"/>
    <w:rsid w:val="00915EF6"/>
    <w:rsid w:val="009223CA"/>
    <w:rsid w:val="009351E5"/>
    <w:rsid w:val="00940F93"/>
    <w:rsid w:val="00941911"/>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4FDE"/>
    <w:rsid w:val="009760F3"/>
    <w:rsid w:val="00976CFB"/>
    <w:rsid w:val="00982240"/>
    <w:rsid w:val="009829E3"/>
    <w:rsid w:val="009851A1"/>
    <w:rsid w:val="00987D21"/>
    <w:rsid w:val="0099587D"/>
    <w:rsid w:val="00997D1B"/>
    <w:rsid w:val="009A0830"/>
    <w:rsid w:val="009A0E8D"/>
    <w:rsid w:val="009B171E"/>
    <w:rsid w:val="009B1B82"/>
    <w:rsid w:val="009B24E3"/>
    <w:rsid w:val="009B26E7"/>
    <w:rsid w:val="009B441F"/>
    <w:rsid w:val="009B64BB"/>
    <w:rsid w:val="009C053D"/>
    <w:rsid w:val="009C2EC7"/>
    <w:rsid w:val="009C580F"/>
    <w:rsid w:val="009D6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664"/>
    <w:rsid w:val="00A6508B"/>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148A"/>
    <w:rsid w:val="00AC763B"/>
    <w:rsid w:val="00AD18A9"/>
    <w:rsid w:val="00AD425D"/>
    <w:rsid w:val="00AE1E19"/>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68A8"/>
    <w:rsid w:val="00BF6DED"/>
    <w:rsid w:val="00C01088"/>
    <w:rsid w:val="00C01D9D"/>
    <w:rsid w:val="00C02CAF"/>
    <w:rsid w:val="00C03CFF"/>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53B8A"/>
    <w:rsid w:val="00C629A0"/>
    <w:rsid w:val="00C640D9"/>
    <w:rsid w:val="00C64629"/>
    <w:rsid w:val="00C64DA6"/>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11D5"/>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620F"/>
    <w:rsid w:val="00E046DF"/>
    <w:rsid w:val="00E17AB7"/>
    <w:rsid w:val="00E211AD"/>
    <w:rsid w:val="00E22B0C"/>
    <w:rsid w:val="00E22F1E"/>
    <w:rsid w:val="00E23189"/>
    <w:rsid w:val="00E24189"/>
    <w:rsid w:val="00E27346"/>
    <w:rsid w:val="00E40A45"/>
    <w:rsid w:val="00E46D35"/>
    <w:rsid w:val="00E51E5C"/>
    <w:rsid w:val="00E53C20"/>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42D"/>
    <w:rsid w:val="00EA475E"/>
    <w:rsid w:val="00ED7A2A"/>
    <w:rsid w:val="00ED7DD3"/>
    <w:rsid w:val="00EE318F"/>
    <w:rsid w:val="00EE7C3E"/>
    <w:rsid w:val="00EF1D7F"/>
    <w:rsid w:val="00EF77F1"/>
    <w:rsid w:val="00F02D17"/>
    <w:rsid w:val="00F159A8"/>
    <w:rsid w:val="00F21D14"/>
    <w:rsid w:val="00F23ABD"/>
    <w:rsid w:val="00F25177"/>
    <w:rsid w:val="00F26D3E"/>
    <w:rsid w:val="00F30509"/>
    <w:rsid w:val="00F31E5F"/>
    <w:rsid w:val="00F554DE"/>
    <w:rsid w:val="00F6100A"/>
    <w:rsid w:val="00F70CDF"/>
    <w:rsid w:val="00F80BC8"/>
    <w:rsid w:val="00F93781"/>
    <w:rsid w:val="00F93913"/>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ListParagraph1">
    <w:name w:val="List Paragraph1"/>
    <w:basedOn w:val="Normal"/>
    <w:rsid w:val="00F93913"/>
    <w:pPr>
      <w:suppressAutoHyphens w:val="0"/>
      <w:spacing w:after="200" w:line="276" w:lineRule="auto"/>
      <w:ind w:left="720"/>
      <w:contextualSpacing/>
    </w:pPr>
    <w:rPr>
      <w:rFonts w:ascii="Calibri" w:eastAsia="SimSun"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48197-1784-4984-9816-BD75B2810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3.xml><?xml version="1.0" encoding="utf-8"?>
<ds:datastoreItem xmlns:ds="http://schemas.openxmlformats.org/officeDocument/2006/customXml" ds:itemID="{E137D484-120D-419B-BE10-DB397BF11D44}">
  <ds:schemaRefs>
    <ds:schemaRef ds:uri="http://schemas.openxmlformats.org/officeDocument/2006/bibliography"/>
  </ds:schemaRefs>
</ds:datastoreItem>
</file>

<file path=customXml/itemProps4.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652</Words>
  <Characters>3189</Characters>
  <Application>Microsoft Office Word</Application>
  <DocSecurity>0</DocSecurity>
  <Lines>104</Lines>
  <Paragraphs>69</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3802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ECE/TRANS/WP.29/GRVA/2021/29</dc:title>
  <dc:subject>2109630</dc:subject>
  <dc:creator>Francois Guichard</dc:creator>
  <cp:keywords/>
  <dc:description/>
  <cp:lastModifiedBy>Cristina BRIGOLI</cp:lastModifiedBy>
  <cp:revision>2</cp:revision>
  <cp:lastPrinted>2018-11-19T14:38:00Z</cp:lastPrinted>
  <dcterms:created xsi:type="dcterms:W3CDTF">2021-07-12T13:50:00Z</dcterms:created>
  <dcterms:modified xsi:type="dcterms:W3CDTF">2021-07-12T13:50:00Z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